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181939.xml.htm"/>
      <w:bookmarkStart w:id="1" w:name="kswkform4_17921819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Britt Christopher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CHIME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CALIFORNIA STREET,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Chime Financial, Inc.</w:t>
              </w:r>
            </w:hyperlink>
            <w:r>
              <w:rPr/>
              <w:t xml:space="preserve"> [ </w:t>
            </w:r>
            <w:r>
              <w:rPr>
                <w:rFonts w:ascii="Times;serif" w:hAnsi="Times;serif"/>
                <w:color w:val="0000FF"/>
                <w:sz w:val="24"/>
                <w:shd w:fill="FFFFFF" w:val="clear"/>
              </w:rPr>
              <w:t>CHYM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613"/>
        <w:gridCol w:w="1189"/>
        <w:gridCol w:w="993"/>
        <w:gridCol w:w="10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67,438</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w:t>
            </w:r>
          </w:p>
        </w:tc>
        <w:tc>
          <w:tcPr>
            <w:tcW w:w="11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292,979</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57,562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235,417</w:t>
            </w:r>
            <w:r>
              <w:rPr>
                <w:rFonts w:ascii="Times;serif" w:hAnsi="Times;serif"/>
                <w:color w:val="008000"/>
                <w:position w:val="7"/>
                <w:sz w:val="16"/>
                <w:sz w:val="20"/>
                <w:shd w:fill="FFFFFF" w:val="clear"/>
              </w:rPr>
              <w:t>(2)</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57,562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57,562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its tax withholding and remittance obligations in connection with the net settlement of restricted stock units ("RSUs") and does not represent a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RSUs. Each RSU represents a contingent right to receive one share of the Issuer's Class A Common Stock, subject to the applicable vesting schedule and conditions of each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Britt Living Trust, for which the Reporting Person serves as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Theresa Bloom,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1801" TargetMode="External"/><Relationship Id="rId5" Type="http://schemas.openxmlformats.org/officeDocument/2006/relationships/hyperlink" Target="http://www.sec.gov/cgi-bin/browse-edgar?action=getcompany&amp;CIK=00017955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3699</Characters>
  <CharactersWithSpaces>4302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