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42424"/>
        </w:rPr>
        <w:t>December 8,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Chime Financial, Inc.</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001-42693</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46-0925388</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34" w:lineRule="exact"/>
        <w:rPr>
          <w:sz w:val="24"/>
          <w:szCs w:val="24"/>
          <w:color w:val="auto"/>
        </w:rPr>
      </w:pPr>
    </w:p>
    <w:p>
      <w:pPr>
        <w:sectPr>
          <w:pgSz w:w="11900" w:h="16838" w:orient="portrait"/>
          <w:cols w:equalWidth="0" w:num="3">
            <w:col w:w="3900" w:space="720"/>
            <w:col w:w="2560" w:space="720"/>
            <w:col w:w="3340"/>
          </w:cols>
          <w:pgMar w:left="320" w:top="1245" w:right="33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 California Street, Suite 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 94111</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and zip code)</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(844) 244-6363</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ectPr>
          <w:pgSz w:w="11900" w:h="16838" w:orient="portrait"/>
          <w:cols w:equalWidth="0" w:num="1">
            <w:col w:w="11240"/>
          </w:cols>
          <w:pgMar w:left="320" w:top="1245" w:right="339" w:bottom="1440" w:gutter="0" w:footer="0" w:header="0"/>
          <w:type w:val="continuous"/>
        </w:sectPr>
      </w:pP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282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74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w:t>
            </w:r>
          </w:p>
        </w:tc>
        <w:tc>
          <w:tcPr>
            <w:tcW w:w="54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CHYM</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1" w:lineRule="exact"/>
        <w:rPr>
          <w:sz w:val="24"/>
          <w:szCs w:val="24"/>
          <w:color w:val="auto"/>
        </w:rPr>
      </w:pPr>
    </w:p>
    <w:p>
      <w:pPr>
        <w:ind w:right="220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ind w:right="320"/>
        <w:spacing w:after="0" w:line="302" w:lineRule="auto"/>
        <w:rPr>
          <w:sz w:val="20"/>
          <w:szCs w:val="20"/>
          <w:color w:val="auto"/>
        </w:rPr>
      </w:pPr>
      <w:r>
        <w:rPr>
          <w:rFonts w:ascii="Times New Roman" w:cs="Times New Roman" w:eastAsia="Times New Roman" w:hAnsi="Times New Roman"/>
          <w:sz w:val="18"/>
          <w:szCs w:val="18"/>
          <w:b w:val="1"/>
          <w:bCs w:val="1"/>
          <w:color w:val="auto"/>
        </w:rPr>
        <w:t>Item 5.02 – Departure of Directors or Certain Officers; Election of Directors; Appointment of Certain Officers; Compensatory Agreements of Certain Officers</w:t>
      </w:r>
    </w:p>
    <w:p>
      <w:pPr>
        <w:spacing w:after="0" w:line="18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December 10, 2025, Chime Financial, Inc. (the “Company”) announced that its Board of Directors appointed Mark Troughton as the Company’s President effective as of December 8, 2025.</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Mr. Troughton, age 57, previously served as the Company’s Chief Operating Officer from November 2019 to December 2025 and as Chief Business Officer from September 2019 to November 2019. Prior to joining the Company, Mr. Troughton served as President at Ring.com from 2016 through its acquisition by Amazon in 2018, as President at Whisper from 2015 to 2016, and as President, Americas of Wonga.com from 2012 to 2013. Before that, Mr. Troughton held various senior positions at Green Dot Corporation from 2003 to 2012, including as President, Cards &amp; Network from 2007 to 2012. Mr. Troughton holds a BCom, a BCom (Hons), and an MCom, each in finance, accounting, or related subjects, from the University of Cape Town (South Africa).</w:t>
      </w:r>
    </w:p>
    <w:p>
      <w:pPr>
        <w:spacing w:after="0" w:line="217" w:lineRule="exact"/>
        <w:rPr>
          <w:sz w:val="20"/>
          <w:szCs w:val="20"/>
          <w:color w:val="auto"/>
        </w:rPr>
      </w:pPr>
    </w:p>
    <w:p>
      <w:pPr>
        <w:jc w:val="both"/>
        <w:ind w:right="220"/>
        <w:spacing w:after="0" w:line="281" w:lineRule="auto"/>
        <w:rPr>
          <w:sz w:val="20"/>
          <w:szCs w:val="20"/>
          <w:color w:val="auto"/>
        </w:rPr>
      </w:pPr>
      <w:r>
        <w:rPr>
          <w:rFonts w:ascii="Times New Roman" w:cs="Times New Roman" w:eastAsia="Times New Roman" w:hAnsi="Times New Roman"/>
          <w:sz w:val="18"/>
          <w:szCs w:val="18"/>
          <w:color w:val="auto"/>
        </w:rPr>
        <w:t>There are no arrangements or understandings between Mr. Troughton and any other persons, pursuant to which he was appointed as President, no family relationships among any of the Company’s directors or executive officers and Mr. Troughton, and he has no direct or indirect interest in any transaction required to be disclosed pursuant to Item 404(a) of Regulation S-K.</w:t>
      </w:r>
    </w:p>
    <w:p>
      <w:pPr>
        <w:spacing w:after="0" w:line="19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In connection with his promotion to President, Mr. Troughton’s annual base salary will increase to $525,000. Mr. Troughton was also granted (i) restricted stock units covering 80,000 shares of the Company’s Class A common stock, which will vest quarterly over a four-year period, and (ii) options to purchase 160,000 shares of the Company’s Class A common stock, which will vest monthly over a four-year period. No other changes were made to the compensation of Mr. Troughton in connection with his promotion.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665480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2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Chime Financial, Inc.</w:t>
            </w:r>
          </w:p>
        </w:tc>
        <w:tc>
          <w:tcPr>
            <w:tcW w:w="0" w:type="dxa"/>
            <w:vAlign w:val="bottom"/>
          </w:tcPr>
          <w:p>
            <w:pPr>
              <w:spacing w:after="0"/>
              <w:rPr>
                <w:sz w:val="1"/>
                <w:szCs w:val="1"/>
                <w:color w:val="auto"/>
              </w:rPr>
            </w:pPr>
          </w:p>
        </w:tc>
      </w:tr>
      <w:tr>
        <w:trPr>
          <w:trHeight w:val="55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December 10, 2025</w:t>
            </w:r>
          </w:p>
        </w:tc>
        <w:tc>
          <w:tcPr>
            <w:tcW w:w="29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Adam Frankel</w:t>
            </w: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940" w:type="dxa"/>
            <w:vAlign w:val="bottom"/>
            <w:vMerge w:val="restart"/>
          </w:tcPr>
          <w:p>
            <w:pPr>
              <w:ind w:left="218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29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Adam Frankel</w:t>
            </w:r>
          </w:p>
        </w:tc>
        <w:tc>
          <w:tcPr>
            <w:tcW w:w="0" w:type="dxa"/>
            <w:vAlign w:val="bottom"/>
          </w:tcPr>
          <w:p>
            <w:pPr>
              <w:spacing w:after="0"/>
              <w:rPr>
                <w:sz w:val="1"/>
                <w:szCs w:val="1"/>
                <w:color w:val="auto"/>
              </w:rPr>
            </w:pPr>
          </w:p>
        </w:tc>
      </w:tr>
      <w:tr>
        <w:trPr>
          <w:trHeight w:val="284"/>
        </w:trPr>
        <w:tc>
          <w:tcPr>
            <w:tcW w:w="3580" w:type="dxa"/>
            <w:vAlign w:val="bottom"/>
          </w:tcPr>
          <w:p>
            <w:pPr>
              <w:spacing w:after="0"/>
              <w:rPr>
                <w:sz w:val="24"/>
                <w:szCs w:val="24"/>
                <w:color w:val="auto"/>
              </w:rPr>
            </w:pPr>
          </w:p>
        </w:tc>
        <w:tc>
          <w:tcPr>
            <w:tcW w:w="29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 and Corporate Secretary</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2025-12-10T15:10:30Z</dcterms:created>
  <dcterms:modified xsi:type="dcterms:W3CDTF">2025-12-10T15:10:30Z</dcterms:modified>
</cp:coreProperties>
</file>