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001-42693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bookmarkStart w:id="0" w:name="i-1"/>
      <w:bookmarkEnd w:id="0"/>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46-0925388</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94111</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(844) 244-6363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56"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held by non-affiliates of the Registrant on June 30, 2025, the last business day of its most recently completed second fiscal quarter, was $8.3 billion based on the closing sales price of the Registrant’s Class A common stock as reported on the Nasdaq Global Select Market on that date.Shares of the Registrant’s common stock held by each director, executive officer, and stockholders affiliated with a director or executive officer, have been excluded in that such persons may be deemed to be affiliates. This determination of affiliate status is not necessarily a conclusive determination for other purposes.</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As of February 26, 2026, the numbers of shares of the issuer’s Class A and Class B common stock outstanding were 351,967,531 and 32,132,289 and no shares of Class C common stock were outstanding.</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ind w:left="0" w:right="0" w:hanging="360"/>
                        <w:jc w:val="left"/>
                        <w:rPr/>
                      </w:pPr>
                      <w:r>
                        <w:rPr/>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45"/>
        <w:gridCol w:w="303"/>
        <w:gridCol w:w="307"/>
        <w:gridCol w:w="2931"/>
        <w:gridCol w:w="2917"/>
        <w:gridCol w:w="2933"/>
        <w:gridCol w:w="136"/>
        <w:gridCol w:w="136"/>
        <w:gridCol w:w="197"/>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center"/>
              <w:rPr/>
            </w:pPr>
            <w:hyperlink w:anchor="i1f3f56f875cf425ea78fcca0a339f364_661">
              <w:r>
                <w:rPr>
                  <w:rStyle w:val="InternetLink"/>
                  <w:rFonts w:ascii="Times New Roman;serif" w:hAnsi="Times New Roman;serif"/>
                  <w:b w:val="false"/>
                  <w:color w:val="0000FF"/>
                  <w:sz w:val="22"/>
                  <w:u w:val="single"/>
                </w:rPr>
                <w:t>PART I</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55">
              <w:r>
                <w:rPr>
                  <w:rStyle w:val="InternetLink"/>
                  <w:rFonts w:ascii="Times New Roman;serif" w:hAnsi="Times New Roman;serif"/>
                  <w:b w:val="false"/>
                  <w:color w:val="000080"/>
                  <w:sz w:val="20"/>
                  <w:u w:val="single"/>
                </w:rPr>
                <w:t>I</w:t>
              </w:r>
            </w:hyperlink>
            <w:hyperlink w:anchor="i1f3f56f875cf425ea78fcca0a339f364_655">
              <w:r>
                <w:rPr>
                  <w:rStyle w:val="InternetLink"/>
                  <w:rFonts w:ascii="Times New Roman;serif" w:hAnsi="Times New Roman;serif"/>
                  <w:b w:val="false"/>
                  <w:color w:val="000080"/>
                  <w:sz w:val="20"/>
                  <w:u w:val="single"/>
                </w:rPr>
                <w:t>TEM</w:t>
              </w:r>
            </w:hyperlink>
            <w:hyperlink w:anchor="i1f3f56f875cf425ea78fcca0a339f364_655">
              <w:r>
                <w:rPr>
                  <w:rStyle w:val="InternetLink"/>
                  <w:rFonts w:ascii="Times New Roman;serif" w:hAnsi="Times New Roman;serif"/>
                  <w:b w:val="false"/>
                  <w:color w:val="000080"/>
                  <w:sz w:val="20"/>
                  <w:u w:val="single"/>
                </w:rPr>
                <w:t xml:space="preserve"> 1.</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55">
              <w:r>
                <w:rPr>
                  <w:rStyle w:val="InternetLink"/>
                  <w:rFonts w:ascii="Times New Roman;serif" w:hAnsi="Times New Roman;serif"/>
                  <w:b w:val="false"/>
                  <w:color w:val="0000FF"/>
                  <w:sz w:val="20"/>
                  <w:u w:val="single"/>
                </w:rPr>
                <w:t>Business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55">
              <w:r>
                <w:rPr>
                  <w:rStyle w:val="InternetLink"/>
                  <w:rFonts w:ascii="Times New Roman;serif" w:hAnsi="Times New Roman;serif"/>
                  <w:b w:val="false"/>
                  <w:color w:val="0000FF"/>
                  <w:sz w:val="20"/>
                  <w:u w:val="single"/>
                </w:rPr>
                <w:t>4</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27">
              <w:r>
                <w:rPr>
                  <w:rStyle w:val="InternetLink"/>
                  <w:rFonts w:ascii="Times New Roman;serif" w:hAnsi="Times New Roman;serif"/>
                  <w:b w:val="false"/>
                  <w:color w:val="000080"/>
                  <w:sz w:val="20"/>
                  <w:u w:val="single"/>
                </w:rPr>
                <w:t>I</w:t>
              </w:r>
            </w:hyperlink>
            <w:hyperlink w:anchor="i1f3f56f875cf425ea78fcca0a339f364_127">
              <w:r>
                <w:rPr>
                  <w:rStyle w:val="InternetLink"/>
                  <w:rFonts w:ascii="Times New Roman;serif" w:hAnsi="Times New Roman;serif"/>
                  <w:b w:val="false"/>
                  <w:color w:val="000080"/>
                  <w:sz w:val="20"/>
                  <w:u w:val="single"/>
                </w:rPr>
                <w:t>TEM</w:t>
              </w:r>
            </w:hyperlink>
            <w:hyperlink w:anchor="i1f3f56f875cf425ea78fcca0a339f364_127">
              <w:r>
                <w:rPr>
                  <w:rStyle w:val="InternetLink"/>
                  <w:rFonts w:ascii="Times New Roman;serif" w:hAnsi="Times New Roman;serif"/>
                  <w:b w:val="false"/>
                  <w:color w:val="000080"/>
                  <w:sz w:val="20"/>
                  <w:u w:val="single"/>
                </w:rPr>
                <w:t xml:space="preserve"> 1A.</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27">
              <w:r>
                <w:rPr>
                  <w:rStyle w:val="InternetLink"/>
                  <w:rFonts w:ascii="Times New Roman;serif" w:hAnsi="Times New Roman;serif"/>
                  <w:b w:val="false"/>
                  <w:color w:val="0000FF"/>
                  <w:sz w:val="20"/>
                  <w:u w:val="single"/>
                </w:rPr>
                <w:t>Risk Factors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27">
              <w:r>
                <w:rPr>
                  <w:rStyle w:val="InternetLink"/>
                  <w:rFonts w:ascii="Times New Roman;serif" w:hAnsi="Times New Roman;serif"/>
                  <w:b w:val="false"/>
                  <w:color w:val="0000FF"/>
                  <w:sz w:val="20"/>
                  <w:u w:val="single"/>
                </w:rPr>
                <w:t>18</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50">
              <w:r>
                <w:rPr>
                  <w:rStyle w:val="InternetLink"/>
                  <w:rFonts w:ascii="Times New Roman;serif" w:hAnsi="Times New Roman;serif"/>
                  <w:b w:val="false"/>
                  <w:color w:val="000080"/>
                  <w:sz w:val="20"/>
                  <w:u w:val="single"/>
                </w:rPr>
                <w:t>ITEM</w:t>
              </w:r>
            </w:hyperlink>
            <w:hyperlink w:anchor="i1f3f56f875cf425ea78fcca0a339f364_650">
              <w:r>
                <w:rPr>
                  <w:rStyle w:val="InternetLink"/>
                  <w:rFonts w:ascii="Times New Roman;serif" w:hAnsi="Times New Roman;serif"/>
                  <w:b w:val="false"/>
                  <w:color w:val="000080"/>
                  <w:sz w:val="20"/>
                  <w:u w:val="single"/>
                </w:rPr>
                <w:t xml:space="preserve"> 1B.</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50">
              <w:r>
                <w:rPr>
                  <w:rStyle w:val="InternetLink"/>
                  <w:rFonts w:ascii="Times New Roman;serif" w:hAnsi="Times New Roman;serif"/>
                  <w:b w:val="false"/>
                  <w:color w:val="0000FF"/>
                  <w:sz w:val="20"/>
                  <w:u w:val="single"/>
                </w:rPr>
                <w:t>Unresolved Staff Comments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50">
              <w:r>
                <w:rPr>
                  <w:rStyle w:val="InternetLink"/>
                  <w:rFonts w:ascii="Times New Roman;serif" w:hAnsi="Times New Roman;serif"/>
                  <w:b w:val="false"/>
                  <w:color w:val="0000FF"/>
                  <w:sz w:val="20"/>
                  <w:u w:val="single"/>
                </w:rPr>
                <w:t>66</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72">
              <w:r>
                <w:rPr>
                  <w:rStyle w:val="InternetLink"/>
                  <w:rFonts w:ascii="Times New Roman;serif" w:hAnsi="Times New Roman;serif"/>
                  <w:b w:val="false"/>
                  <w:color w:val="000080"/>
                  <w:sz w:val="20"/>
                  <w:u w:val="single"/>
                </w:rPr>
                <w:t>ITEM</w:t>
              </w:r>
            </w:hyperlink>
            <w:hyperlink w:anchor="i1f3f56f875cf425ea78fcca0a339f364_672">
              <w:r>
                <w:rPr>
                  <w:rStyle w:val="InternetLink"/>
                  <w:rFonts w:ascii="Times New Roman;serif" w:hAnsi="Times New Roman;serif"/>
                  <w:b w:val="false"/>
                  <w:color w:val="000080"/>
                  <w:sz w:val="20"/>
                  <w:u w:val="single"/>
                </w:rPr>
                <w:t xml:space="preserve"> 1C.</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72">
              <w:r>
                <w:rPr>
                  <w:rStyle w:val="InternetLink"/>
                  <w:rFonts w:ascii="Times New Roman;serif" w:hAnsi="Times New Roman;serif"/>
                  <w:b w:val="false"/>
                  <w:color w:val="0000FF"/>
                  <w:sz w:val="20"/>
                  <w:u w:val="single"/>
                </w:rPr>
                <w:t>Cybersecurity</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72">
              <w:r>
                <w:rPr>
                  <w:rStyle w:val="InternetLink"/>
                  <w:rFonts w:ascii="Times New Roman;serif" w:hAnsi="Times New Roman;serif"/>
                  <w:b w:val="false"/>
                  <w:color w:val="0000FF"/>
                  <w:sz w:val="20"/>
                  <w:u w:val="single"/>
                </w:rPr>
                <w:t>67</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78">
              <w:r>
                <w:rPr>
                  <w:rStyle w:val="InternetLink"/>
                  <w:rFonts w:ascii="Times New Roman;serif" w:hAnsi="Times New Roman;serif"/>
                  <w:b w:val="false"/>
                  <w:color w:val="000080"/>
                  <w:sz w:val="20"/>
                  <w:u w:val="single"/>
                </w:rPr>
                <w:t>ITEM</w:t>
              </w:r>
            </w:hyperlink>
            <w:hyperlink w:anchor="i1f3f56f875cf425ea78fcca0a339f364_678">
              <w:r>
                <w:rPr>
                  <w:rStyle w:val="InternetLink"/>
                  <w:rFonts w:ascii="Times New Roman;serif" w:hAnsi="Times New Roman;serif"/>
                  <w:b w:val="false"/>
                  <w:color w:val="000080"/>
                  <w:sz w:val="20"/>
                  <w:u w:val="single"/>
                </w:rPr>
                <w:t xml:space="preserve"> 2.</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78">
              <w:r>
                <w:rPr>
                  <w:rStyle w:val="InternetLink"/>
                  <w:rFonts w:ascii="Times New Roman;serif" w:hAnsi="Times New Roman;serif"/>
                  <w:b w:val="false"/>
                  <w:color w:val="0000FF"/>
                  <w:sz w:val="20"/>
                  <w:u w:val="single"/>
                </w:rPr>
                <w:t>Properties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78">
              <w:r>
                <w:rPr>
                  <w:rStyle w:val="InternetLink"/>
                  <w:rFonts w:ascii="Times New Roman;serif" w:hAnsi="Times New Roman;serif"/>
                  <w:b w:val="false"/>
                  <w:color w:val="0000FF"/>
                  <w:sz w:val="20"/>
                  <w:u w:val="single"/>
                </w:rPr>
                <w:t>68</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24">
              <w:r>
                <w:rPr>
                  <w:rStyle w:val="InternetLink"/>
                  <w:rFonts w:ascii="Times New Roman;serif" w:hAnsi="Times New Roman;serif"/>
                  <w:b w:val="false"/>
                  <w:color w:val="000080"/>
                  <w:sz w:val="20"/>
                  <w:u w:val="single"/>
                </w:rPr>
                <w:t>ITEM</w:t>
              </w:r>
            </w:hyperlink>
            <w:hyperlink w:anchor="i1f3f56f875cf425ea78fcca0a339f364_124">
              <w:r>
                <w:rPr>
                  <w:rStyle w:val="InternetLink"/>
                  <w:rFonts w:ascii="Times New Roman;serif" w:hAnsi="Times New Roman;serif"/>
                  <w:b w:val="false"/>
                  <w:color w:val="000080"/>
                  <w:sz w:val="20"/>
                  <w:u w:val="single"/>
                </w:rPr>
                <w:t xml:space="preserve"> 3.</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24">
              <w:r>
                <w:rPr>
                  <w:rStyle w:val="InternetLink"/>
                  <w:rFonts w:ascii="Times New Roman;serif" w:hAnsi="Times New Roman;serif"/>
                  <w:b w:val="false"/>
                  <w:color w:val="0000FF"/>
                  <w:sz w:val="20"/>
                  <w:u w:val="single"/>
                </w:rPr>
                <w:t>Legal Proceedings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24">
              <w:r>
                <w:rPr>
                  <w:rStyle w:val="InternetLink"/>
                  <w:rFonts w:ascii="Times New Roman;serif" w:hAnsi="Times New Roman;serif"/>
                  <w:b w:val="false"/>
                  <w:color w:val="0000FF"/>
                  <w:sz w:val="20"/>
                  <w:u w:val="single"/>
                </w:rPr>
                <w:t>68</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6">
              <w:r>
                <w:rPr>
                  <w:rStyle w:val="InternetLink"/>
                  <w:rFonts w:ascii="Times New Roman;serif" w:hAnsi="Times New Roman;serif"/>
                  <w:b w:val="false"/>
                  <w:color w:val="000080"/>
                  <w:sz w:val="20"/>
                  <w:u w:val="single"/>
                </w:rPr>
                <w:t>ITEM</w:t>
              </w:r>
            </w:hyperlink>
            <w:hyperlink w:anchor="i1f3f56f875cf425ea78fcca0a339f364_136">
              <w:r>
                <w:rPr>
                  <w:rStyle w:val="InternetLink"/>
                  <w:rFonts w:ascii="Times New Roman;serif" w:hAnsi="Times New Roman;serif"/>
                  <w:b w:val="false"/>
                  <w:color w:val="000080"/>
                  <w:sz w:val="20"/>
                  <w:u w:val="single"/>
                </w:rPr>
                <w:t xml:space="preserve"> 4.</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6">
              <w:r>
                <w:rPr>
                  <w:rStyle w:val="InternetLink"/>
                  <w:rFonts w:ascii="Times New Roman;serif" w:hAnsi="Times New Roman;serif"/>
                  <w:b w:val="false"/>
                  <w:color w:val="0000FF"/>
                  <w:sz w:val="20"/>
                  <w:u w:val="single"/>
                </w:rPr>
                <w:t>Mine Safety Disclosures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6">
              <w:r>
                <w:rPr>
                  <w:rStyle w:val="InternetLink"/>
                  <w:rFonts w:ascii="Times New Roman;serif" w:hAnsi="Times New Roman;serif"/>
                  <w:b w:val="false"/>
                  <w:color w:val="0000FF"/>
                  <w:sz w:val="20"/>
                  <w:u w:val="single"/>
                </w:rPr>
                <w:t>68</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center"/>
              <w:rPr/>
            </w:pPr>
            <w:hyperlink w:anchor="i1f3f56f875cf425ea78fcca0a339f364_690">
              <w:r>
                <w:rPr>
                  <w:rStyle w:val="InternetLink"/>
                  <w:rFonts w:ascii="Times New Roman;serif" w:hAnsi="Times New Roman;serif"/>
                  <w:b w:val="false"/>
                  <w:color w:val="0000FF"/>
                  <w:sz w:val="22"/>
                  <w:u w:val="single"/>
                </w:rPr>
                <w:t>PART II</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22">
              <w:r>
                <w:rPr>
                  <w:rStyle w:val="InternetLink"/>
                  <w:rFonts w:ascii="Times New Roman;serif" w:hAnsi="Times New Roman;serif"/>
                  <w:b w:val="false"/>
                  <w:color w:val="000080"/>
                  <w:sz w:val="20"/>
                  <w:u w:val="single"/>
                </w:rPr>
                <w:t>ITEM</w:t>
              </w:r>
            </w:hyperlink>
            <w:hyperlink w:anchor="i1f3f56f875cf425ea78fcca0a339f364_722">
              <w:r>
                <w:rPr>
                  <w:rStyle w:val="InternetLink"/>
                  <w:rFonts w:ascii="Times New Roman;serif" w:hAnsi="Times New Roman;serif"/>
                  <w:b w:val="false"/>
                  <w:color w:val="000080"/>
                  <w:sz w:val="20"/>
                  <w:u w:val="single"/>
                </w:rPr>
                <w:t xml:space="preserve"> 5.</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22">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22">
              <w:r>
                <w:rPr>
                  <w:rStyle w:val="InternetLink"/>
                  <w:rFonts w:ascii="Times New Roman;serif" w:hAnsi="Times New Roman;serif"/>
                  <w:b w:val="false"/>
                  <w:color w:val="0000FF"/>
                  <w:sz w:val="20"/>
                  <w:u w:val="single"/>
                </w:rPr>
                <w:t>69</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28">
              <w:r>
                <w:rPr>
                  <w:rStyle w:val="InternetLink"/>
                  <w:rFonts w:ascii="Times New Roman;serif" w:hAnsi="Times New Roman;serif"/>
                  <w:b w:val="false"/>
                  <w:color w:val="000080"/>
                  <w:sz w:val="20"/>
                  <w:u w:val="single"/>
                </w:rPr>
                <w:t>ITEM</w:t>
              </w:r>
            </w:hyperlink>
            <w:hyperlink w:anchor="i1f3f56f875cf425ea78fcca0a339f364_728">
              <w:r>
                <w:rPr>
                  <w:rStyle w:val="InternetLink"/>
                  <w:rFonts w:ascii="Times New Roman;serif" w:hAnsi="Times New Roman;serif"/>
                  <w:b w:val="false"/>
                  <w:color w:val="000080"/>
                  <w:sz w:val="20"/>
                  <w:u w:val="single"/>
                </w:rPr>
                <w:t xml:space="preserve"> 6.</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28">
              <w:r>
                <w:rPr>
                  <w:rStyle w:val="InternetLink"/>
                  <w:rFonts w:ascii="Times New Roman;serif" w:hAnsi="Times New Roman;serif"/>
                  <w:b w:val="false"/>
                  <w:color w:val="0000FF"/>
                  <w:sz w:val="20"/>
                  <w:u w:val="single"/>
                </w:rPr>
                <w:t>[Removed and Reserved]</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28">
              <w:r>
                <w:rPr>
                  <w:rStyle w:val="InternetLink"/>
                  <w:rFonts w:ascii="Times New Roman;serif" w:hAnsi="Times New Roman;serif"/>
                  <w:b w:val="false"/>
                  <w:color w:val="0000FF"/>
                  <w:sz w:val="20"/>
                  <w:u w:val="single"/>
                </w:rPr>
                <w:t>71</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8">
              <w:r>
                <w:rPr>
                  <w:rStyle w:val="InternetLink"/>
                  <w:rFonts w:ascii="Times New Roman;serif" w:hAnsi="Times New Roman;serif"/>
                  <w:b w:val="false"/>
                  <w:color w:val="000080"/>
                  <w:sz w:val="20"/>
                  <w:u w:val="single"/>
                </w:rPr>
                <w:t>ITEM</w:t>
              </w:r>
            </w:hyperlink>
            <w:hyperlink w:anchor="i1f3f56f875cf425ea78fcca0a339f364_88">
              <w:r>
                <w:rPr>
                  <w:rStyle w:val="InternetLink"/>
                  <w:rFonts w:ascii="Times New Roman;serif" w:hAnsi="Times New Roman;serif"/>
                  <w:b w:val="false"/>
                  <w:color w:val="000080"/>
                  <w:sz w:val="20"/>
                  <w:u w:val="single"/>
                </w:rPr>
                <w:t xml:space="preserve"> 7.</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88">
              <w:r>
                <w:rPr>
                  <w:rStyle w:val="InternetLink"/>
                  <w:rFonts w:ascii="Times New Roman;serif" w:hAnsi="Times New Roman;serif"/>
                  <w:b w:val="false"/>
                  <w:color w:val="0000FF"/>
                  <w:sz w:val="20"/>
                  <w:u w:val="single"/>
                </w:rPr>
                <w:t>72</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15">
              <w:r>
                <w:rPr>
                  <w:rStyle w:val="InternetLink"/>
                  <w:rFonts w:ascii="Times New Roman;serif" w:hAnsi="Times New Roman;serif"/>
                  <w:b w:val="false"/>
                  <w:color w:val="000080"/>
                  <w:sz w:val="20"/>
                  <w:u w:val="single"/>
                </w:rPr>
                <w:t>ITEM</w:t>
              </w:r>
            </w:hyperlink>
            <w:hyperlink w:anchor="i1f3f56f875cf425ea78fcca0a339f364_115">
              <w:r>
                <w:rPr>
                  <w:rStyle w:val="InternetLink"/>
                  <w:rFonts w:ascii="Times New Roman;serif" w:hAnsi="Times New Roman;serif"/>
                  <w:b w:val="false"/>
                  <w:color w:val="000080"/>
                  <w:sz w:val="20"/>
                  <w:u w:val="single"/>
                </w:rPr>
                <w:t xml:space="preserve"> 7A</w:t>
              </w:r>
            </w:hyperlink>
            <w:hyperlink w:anchor="i1f3f56f875cf425ea78fcca0a339f364_115">
              <w:r>
                <w:rPr>
                  <w:rStyle w:val="InternetLink"/>
                  <w:rFonts w:ascii="Times New Roman;serif" w:hAnsi="Times New Roman;serif"/>
                  <w:b w:val="false"/>
                  <w:color w:val="000080"/>
                  <w:sz w:val="20"/>
                  <w:u w:val="single"/>
                </w:rPr>
                <w:t>.</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15">
              <w:r>
                <w:rPr>
                  <w:rStyle w:val="InternetLink"/>
                  <w:rFonts w:ascii="Times New Roman;serif" w:hAnsi="Times New Roman;serif"/>
                  <w:b w:val="false"/>
                  <w:color w:val="0000FF"/>
                  <w:sz w:val="20"/>
                  <w:u w:val="single"/>
                </w:rPr>
                <w:t>Quantitative and Qualitative Disclosures About Market Risk</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15">
              <w:r>
                <w:rPr>
                  <w:rStyle w:val="InternetLink"/>
                  <w:rFonts w:ascii="Times New Roman;serif" w:hAnsi="Times New Roman;serif"/>
                  <w:b w:val="false"/>
                  <w:color w:val="0000FF"/>
                  <w:sz w:val="20"/>
                  <w:u w:val="single"/>
                </w:rPr>
                <w:t>88</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
              <w:r>
                <w:rPr>
                  <w:rStyle w:val="InternetLink"/>
                  <w:rFonts w:ascii="Times New Roman;serif" w:hAnsi="Times New Roman;serif"/>
                  <w:b w:val="false"/>
                  <w:color w:val="000080"/>
                  <w:sz w:val="20"/>
                  <w:u w:val="single"/>
                </w:rPr>
                <w:t>ITEM</w:t>
              </w:r>
            </w:hyperlink>
            <w:hyperlink w:anchor="i1f3f56f875cf425ea78fcca0a339f364_13">
              <w:r>
                <w:rPr>
                  <w:rStyle w:val="InternetLink"/>
                  <w:rFonts w:ascii="Times New Roman;serif" w:hAnsi="Times New Roman;serif"/>
                  <w:b w:val="false"/>
                  <w:color w:val="000080"/>
                  <w:sz w:val="20"/>
                  <w:u w:val="single"/>
                </w:rPr>
                <w:t xml:space="preserve"> 8.</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
              <w:r>
                <w:rPr>
                  <w:rStyle w:val="InternetLink"/>
                  <w:rFonts w:ascii="Times New Roman;serif" w:hAnsi="Times New Roman;serif"/>
                  <w:b w:val="false"/>
                  <w:color w:val="0000FF"/>
                  <w:sz w:val="20"/>
                  <w:u w:val="single"/>
                </w:rPr>
                <w:t>Financial Statements and Supplementary Data</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
              <w:r>
                <w:rPr>
                  <w:rStyle w:val="InternetLink"/>
                  <w:rFonts w:ascii="Times New Roman;serif" w:hAnsi="Times New Roman;serif"/>
                  <w:b w:val="false"/>
                  <w:color w:val="0000FF"/>
                  <w:sz w:val="20"/>
                  <w:u w:val="single"/>
                </w:rPr>
                <w:t>89</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41">
              <w:r>
                <w:rPr>
                  <w:rStyle w:val="InternetLink"/>
                  <w:rFonts w:ascii="Times New Roman;serif" w:hAnsi="Times New Roman;serif"/>
                  <w:b w:val="false"/>
                  <w:color w:val="000080"/>
                  <w:sz w:val="20"/>
                  <w:u w:val="single"/>
                </w:rPr>
                <w:t>ITEM</w:t>
              </w:r>
            </w:hyperlink>
            <w:hyperlink w:anchor="i1f3f56f875cf425ea78fcca0a339f364_741">
              <w:r>
                <w:rPr>
                  <w:rStyle w:val="InternetLink"/>
                  <w:rFonts w:ascii="Times New Roman;serif" w:hAnsi="Times New Roman;serif"/>
                  <w:b w:val="false"/>
                  <w:color w:val="000080"/>
                  <w:sz w:val="20"/>
                  <w:u w:val="single"/>
                </w:rPr>
                <w:t xml:space="preserve"> 9.</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4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41">
              <w:r>
                <w:rPr>
                  <w:rStyle w:val="InternetLink"/>
                  <w:rFonts w:ascii="Times New Roman;serif" w:hAnsi="Times New Roman;serif"/>
                  <w:b w:val="false"/>
                  <w:color w:val="0000FF"/>
                  <w:sz w:val="20"/>
                  <w:u w:val="single"/>
                </w:rPr>
                <w:t>134</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18">
              <w:r>
                <w:rPr>
                  <w:rStyle w:val="InternetLink"/>
                  <w:rFonts w:ascii="Times New Roman;serif" w:hAnsi="Times New Roman;serif"/>
                  <w:b w:val="false"/>
                  <w:color w:val="000080"/>
                  <w:sz w:val="20"/>
                  <w:u w:val="single"/>
                </w:rPr>
                <w:t>ITEM</w:t>
              </w:r>
            </w:hyperlink>
            <w:hyperlink w:anchor="i1f3f56f875cf425ea78fcca0a339f364_118">
              <w:r>
                <w:rPr>
                  <w:rStyle w:val="InternetLink"/>
                  <w:rFonts w:ascii="Times New Roman;serif" w:hAnsi="Times New Roman;serif"/>
                  <w:b w:val="false"/>
                  <w:color w:val="000080"/>
                  <w:sz w:val="20"/>
                  <w:u w:val="single"/>
                </w:rPr>
                <w:t xml:space="preserve"> 9A.</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18">
              <w:r>
                <w:rPr>
                  <w:rStyle w:val="InternetLink"/>
                  <w:rFonts w:ascii="Times New Roman;serif" w:hAnsi="Times New Roman;serif"/>
                  <w:b w:val="false"/>
                  <w:color w:val="0000FF"/>
                  <w:sz w:val="20"/>
                  <w:u w:val="single"/>
                </w:rPr>
                <w:t>Controls and Procedures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18">
              <w:r>
                <w:rPr>
                  <w:rStyle w:val="InternetLink"/>
                  <w:rFonts w:ascii="Times New Roman;serif" w:hAnsi="Times New Roman;serif"/>
                  <w:b w:val="false"/>
                  <w:color w:val="0000FF"/>
                  <w:sz w:val="20"/>
                  <w:u w:val="single"/>
                </w:rPr>
                <w:t>134</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9">
              <w:r>
                <w:rPr>
                  <w:rStyle w:val="InternetLink"/>
                  <w:rFonts w:ascii="Times New Roman;serif" w:hAnsi="Times New Roman;serif"/>
                  <w:b w:val="false"/>
                  <w:color w:val="000080"/>
                  <w:sz w:val="20"/>
                  <w:u w:val="single"/>
                </w:rPr>
                <w:t>ITEM</w:t>
              </w:r>
            </w:hyperlink>
            <w:hyperlink w:anchor="i1f3f56f875cf425ea78fcca0a339f364_139">
              <w:r>
                <w:rPr>
                  <w:rStyle w:val="InternetLink"/>
                  <w:rFonts w:ascii="Times New Roman;serif" w:hAnsi="Times New Roman;serif"/>
                  <w:b w:val="false"/>
                  <w:color w:val="000080"/>
                  <w:sz w:val="20"/>
                  <w:u w:val="single"/>
                </w:rPr>
                <w:t xml:space="preserve"> 9B.</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9">
              <w:r>
                <w:rPr>
                  <w:rStyle w:val="InternetLink"/>
                  <w:rFonts w:ascii="Times New Roman;serif" w:hAnsi="Times New Roman;serif"/>
                  <w:b w:val="false"/>
                  <w:color w:val="0000FF"/>
                  <w:sz w:val="20"/>
                  <w:u w:val="single"/>
                </w:rPr>
                <w:t>Other Information</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9">
              <w:r>
                <w:rPr>
                  <w:rStyle w:val="InternetLink"/>
                  <w:rFonts w:ascii="Times New Roman;serif" w:hAnsi="Times New Roman;serif"/>
                  <w:b w:val="false"/>
                  <w:color w:val="0000FF"/>
                  <w:sz w:val="20"/>
                  <w:u w:val="single"/>
                </w:rPr>
                <w:t>134</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2748779070393">
              <w:r>
                <w:rPr>
                  <w:rStyle w:val="InternetLink"/>
                  <w:rFonts w:ascii="Times New Roman;serif" w:hAnsi="Times New Roman;serif"/>
                  <w:b w:val="false"/>
                  <w:color w:val="000080"/>
                  <w:sz w:val="20"/>
                  <w:u w:val="single"/>
                </w:rPr>
                <w:t>I</w:t>
              </w:r>
            </w:hyperlink>
            <w:hyperlink w:anchor="i1f3f56f875cf425ea78fcca0a339f364_2748779070393">
              <w:r>
                <w:rPr>
                  <w:rStyle w:val="InternetLink"/>
                  <w:rFonts w:ascii="Times New Roman;serif" w:hAnsi="Times New Roman;serif"/>
                  <w:b w:val="false"/>
                  <w:color w:val="000080"/>
                  <w:sz w:val="20"/>
                  <w:u w:val="single"/>
                </w:rPr>
                <w:t xml:space="preserve">TEM 9C. </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2748779070393">
              <w:r>
                <w:rPr>
                  <w:rStyle w:val="InternetLink"/>
                  <w:rFonts w:ascii="Times New Roman;serif" w:hAnsi="Times New Roman;serif"/>
                  <w:b w:val="false"/>
                  <w:color w:val="0000FF"/>
                  <w:sz w:val="20"/>
                  <w:u w:val="single"/>
                </w:rPr>
                <w:t>Disclosure Regarding Foreign Jurisdictions that Prevent Inspections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9">
              <w:r>
                <w:rPr>
                  <w:rStyle w:val="InternetLink"/>
                  <w:rFonts w:ascii="Times New Roman;serif" w:hAnsi="Times New Roman;serif"/>
                  <w:b w:val="false"/>
                  <w:color w:val="0000FF"/>
                  <w:sz w:val="20"/>
                  <w:u w:val="single"/>
                </w:rPr>
                <w:t>134</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center"/>
              <w:rPr/>
            </w:pPr>
            <w:hyperlink w:anchor="i1f3f56f875cf425ea78fcca0a339f364_121">
              <w:r>
                <w:rPr>
                  <w:rStyle w:val="InternetLink"/>
                  <w:rFonts w:ascii="Times New Roman;serif" w:hAnsi="Times New Roman;serif"/>
                  <w:b w:val="false"/>
                  <w:color w:val="0000FF"/>
                  <w:sz w:val="22"/>
                  <w:u w:val="single"/>
                </w:rPr>
                <w:t>PART III</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0">
              <w:r>
                <w:rPr>
                  <w:rStyle w:val="InternetLink"/>
                  <w:rFonts w:ascii="Times New Roman;serif" w:hAnsi="Times New Roman;serif"/>
                  <w:b w:val="false"/>
                  <w:color w:val="000080"/>
                  <w:sz w:val="20"/>
                  <w:u w:val="single"/>
                </w:rPr>
                <w:t>ITEM</w:t>
              </w:r>
            </w:hyperlink>
            <w:hyperlink w:anchor="i1f3f56f875cf425ea78fcca0a339f364_130">
              <w:r>
                <w:rPr>
                  <w:rStyle w:val="InternetLink"/>
                  <w:rFonts w:ascii="Times New Roman;serif" w:hAnsi="Times New Roman;serif"/>
                  <w:b w:val="false"/>
                  <w:color w:val="000080"/>
                  <w:sz w:val="20"/>
                  <w:u w:val="single"/>
                </w:rPr>
                <w:t xml:space="preserve"> 10.</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0">
              <w:r>
                <w:rPr>
                  <w:rStyle w:val="InternetLink"/>
                  <w:rFonts w:ascii="Times New Roman;serif" w:hAnsi="Times New Roman;serif"/>
                  <w:b w:val="false"/>
                  <w:color w:val="0000FF"/>
                  <w:sz w:val="20"/>
                  <w:u w:val="single"/>
                </w:rPr>
                <w:t xml:space="preserve">Directors, Executive Officers, and Corporate Governance </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0">
              <w:r>
                <w:rPr>
                  <w:rStyle w:val="InternetLink"/>
                  <w:rFonts w:ascii="Times New Roman;serif" w:hAnsi="Times New Roman;serif"/>
                  <w:b w:val="false"/>
                  <w:color w:val="0000FF"/>
                  <w:sz w:val="20"/>
                  <w:u w:val="single"/>
                </w:rPr>
                <w:t>136</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3">
              <w:r>
                <w:rPr>
                  <w:rStyle w:val="InternetLink"/>
                  <w:rFonts w:ascii="Times New Roman;serif" w:hAnsi="Times New Roman;serif"/>
                  <w:b w:val="false"/>
                  <w:color w:val="000080"/>
                  <w:sz w:val="20"/>
                  <w:u w:val="single"/>
                </w:rPr>
                <w:t>ITEM</w:t>
              </w:r>
            </w:hyperlink>
            <w:hyperlink w:anchor="i1f3f56f875cf425ea78fcca0a339f364_133">
              <w:r>
                <w:rPr>
                  <w:rStyle w:val="InternetLink"/>
                  <w:rFonts w:ascii="Times New Roman;serif" w:hAnsi="Times New Roman;serif"/>
                  <w:b w:val="false"/>
                  <w:color w:val="000080"/>
                  <w:sz w:val="20"/>
                  <w:u w:val="single"/>
                </w:rPr>
                <w:t xml:space="preserve"> 11.</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33">
              <w:r>
                <w:rPr>
                  <w:rStyle w:val="InternetLink"/>
                  <w:rFonts w:ascii="Times New Roman;serif" w:hAnsi="Times New Roman;serif"/>
                  <w:b w:val="false"/>
                  <w:color w:val="0000FF"/>
                  <w:sz w:val="20"/>
                  <w:u w:val="single"/>
                </w:rPr>
                <w:t>Executive Compensation</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33">
              <w:r>
                <w:rPr>
                  <w:rStyle w:val="InternetLink"/>
                  <w:rFonts w:ascii="Times New Roman;serif" w:hAnsi="Times New Roman;serif"/>
                  <w:b w:val="false"/>
                  <w:color w:val="0000FF"/>
                  <w:sz w:val="20"/>
                  <w:u w:val="single"/>
                </w:rPr>
                <w:t>136</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87">
              <w:r>
                <w:rPr>
                  <w:rStyle w:val="InternetLink"/>
                  <w:rFonts w:ascii="Times New Roman;serif" w:hAnsi="Times New Roman;serif"/>
                  <w:b w:val="false"/>
                  <w:color w:val="000080"/>
                  <w:sz w:val="20"/>
                  <w:u w:val="single"/>
                </w:rPr>
                <w:t>ITEM</w:t>
              </w:r>
            </w:hyperlink>
            <w:hyperlink w:anchor="i1f3f56f875cf425ea78fcca0a339f364_787">
              <w:r>
                <w:rPr>
                  <w:rStyle w:val="InternetLink"/>
                  <w:rFonts w:ascii="Times New Roman;serif" w:hAnsi="Times New Roman;serif"/>
                  <w:b w:val="false"/>
                  <w:color w:val="000080"/>
                  <w:sz w:val="20"/>
                  <w:u w:val="single"/>
                </w:rPr>
                <w:t xml:space="preserve"> 12.</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87">
              <w:r>
                <w:rPr>
                  <w:rStyle w:val="InternetLink"/>
                  <w:rFonts w:ascii="Times New Roman;serif" w:hAnsi="Times New Roman;serif"/>
                  <w:b w:val="false"/>
                  <w:color w:val="0000FF"/>
                  <w:sz w:val="20"/>
                  <w:u w:val="single"/>
                </w:rPr>
                <w:t>136</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93">
              <w:r>
                <w:rPr>
                  <w:rStyle w:val="InternetLink"/>
                  <w:rFonts w:ascii="Times New Roman;serif" w:hAnsi="Times New Roman;serif"/>
                  <w:b w:val="false"/>
                  <w:color w:val="000080"/>
                  <w:sz w:val="20"/>
                  <w:u w:val="single"/>
                </w:rPr>
                <w:t>ITEM</w:t>
              </w:r>
            </w:hyperlink>
            <w:hyperlink w:anchor="i1f3f56f875cf425ea78fcca0a339f364_793">
              <w:r>
                <w:rPr>
                  <w:rStyle w:val="InternetLink"/>
                  <w:rFonts w:ascii="Times New Roman;serif" w:hAnsi="Times New Roman;serif"/>
                  <w:b w:val="false"/>
                  <w:color w:val="000080"/>
                  <w:sz w:val="20"/>
                  <w:u w:val="single"/>
                </w:rPr>
                <w:t xml:space="preserve"> 13.</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93">
              <w:r>
                <w:rPr>
                  <w:rStyle w:val="InternetLink"/>
                  <w:rFonts w:ascii="Times New Roman;serif" w:hAnsi="Times New Roman;serif"/>
                  <w:b w:val="false"/>
                  <w:color w:val="0000FF"/>
                  <w:sz w:val="20"/>
                  <w:u w:val="single"/>
                </w:rPr>
                <w:t>Certain Relationships and Related Transactions, and Director Independence</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93">
              <w:r>
                <w:rPr>
                  <w:rStyle w:val="InternetLink"/>
                  <w:rFonts w:ascii="Times New Roman;serif" w:hAnsi="Times New Roman;serif"/>
                  <w:b w:val="false"/>
                  <w:color w:val="0000FF"/>
                  <w:sz w:val="20"/>
                  <w:u w:val="single"/>
                </w:rPr>
                <w:t>136</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99">
              <w:r>
                <w:rPr>
                  <w:rStyle w:val="InternetLink"/>
                  <w:rFonts w:ascii="Times New Roman;serif" w:hAnsi="Times New Roman;serif"/>
                  <w:b w:val="false"/>
                  <w:color w:val="000080"/>
                  <w:sz w:val="20"/>
                  <w:u w:val="single"/>
                </w:rPr>
                <w:t>ITEM</w:t>
              </w:r>
            </w:hyperlink>
            <w:hyperlink w:anchor="i1f3f56f875cf425ea78fcca0a339f364_799">
              <w:r>
                <w:rPr>
                  <w:rStyle w:val="InternetLink"/>
                  <w:rFonts w:ascii="Times New Roman;serif" w:hAnsi="Times New Roman;serif"/>
                  <w:b w:val="false"/>
                  <w:color w:val="000080"/>
                  <w:sz w:val="20"/>
                  <w:u w:val="single"/>
                </w:rPr>
                <w:t xml:space="preserve"> 14.</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99">
              <w:r>
                <w:rPr>
                  <w:rStyle w:val="InternetLink"/>
                  <w:rFonts w:ascii="Times New Roman;serif" w:hAnsi="Times New Roman;serif"/>
                  <w:b w:val="false"/>
                  <w:color w:val="0000FF"/>
                  <w:sz w:val="20"/>
                  <w:u w:val="single"/>
                </w:rPr>
                <w:t>Principal Accounting Fees and Services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99">
              <w:r>
                <w:rPr>
                  <w:rStyle w:val="InternetLink"/>
                  <w:rFonts w:ascii="Times New Roman;serif" w:hAnsi="Times New Roman;serif"/>
                  <w:b w:val="false"/>
                  <w:color w:val="0000FF"/>
                  <w:sz w:val="20"/>
                  <w:u w:val="single"/>
                </w:rPr>
                <w:t>136</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center"/>
              <w:rPr/>
            </w:pPr>
            <w:hyperlink w:anchor="i1f3f56f875cf425ea78fcca0a339f364_805">
              <w:r>
                <w:rPr>
                  <w:rStyle w:val="InternetLink"/>
                  <w:rFonts w:ascii="Times New Roman;serif" w:hAnsi="Times New Roman;serif"/>
                  <w:b w:val="false"/>
                  <w:color w:val="0000FF"/>
                  <w:sz w:val="22"/>
                  <w:u w:val="single"/>
                </w:rPr>
                <w:t>PART IV</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45">
              <w:r>
                <w:rPr>
                  <w:rStyle w:val="InternetLink"/>
                  <w:rFonts w:ascii="Times New Roman;serif" w:hAnsi="Times New Roman;serif"/>
                  <w:b w:val="false"/>
                  <w:color w:val="000080"/>
                  <w:sz w:val="20"/>
                  <w:u w:val="single"/>
                </w:rPr>
                <w:t>ITEM</w:t>
              </w:r>
            </w:hyperlink>
            <w:hyperlink w:anchor="i1f3f56f875cf425ea78fcca0a339f364_145">
              <w:r>
                <w:rPr>
                  <w:rStyle w:val="InternetLink"/>
                  <w:rFonts w:ascii="Times New Roman;serif" w:hAnsi="Times New Roman;serif"/>
                  <w:b w:val="false"/>
                  <w:color w:val="000080"/>
                  <w:sz w:val="20"/>
                  <w:u w:val="single"/>
                </w:rPr>
                <w:t xml:space="preserve"> 15.</w:t>
              </w:r>
            </w:hyperlink>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45">
              <w:r>
                <w:rPr>
                  <w:rStyle w:val="InternetLink"/>
                  <w:rFonts w:ascii="Times New Roman;serif" w:hAnsi="Times New Roman;serif"/>
                  <w:b w:val="false"/>
                  <w:color w:val="0000FF"/>
                  <w:sz w:val="20"/>
                  <w:u w:val="single"/>
                </w:rPr>
                <w:t>Exhibits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45">
              <w:r>
                <w:rPr>
                  <w:rStyle w:val="InternetLink"/>
                  <w:rFonts w:ascii="Times New Roman;serif" w:hAnsi="Times New Roman;serif"/>
                  <w:b w:val="false"/>
                  <w:color w:val="0000FF"/>
                  <w:sz w:val="20"/>
                  <w:u w:val="single"/>
                </w:rPr>
                <w:t>137</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649267442497">
              <w:r>
                <w:rPr>
                  <w:rStyle w:val="InternetLink"/>
                  <w:rFonts w:ascii="Times New Roman;serif" w:hAnsi="Times New Roman;serif"/>
                  <w:b w:val="false"/>
                  <w:color w:val="000080"/>
                  <w:sz w:val="20"/>
                  <w:u w:val="single"/>
                </w:rPr>
                <w:t>ITEM</w:t>
              </w:r>
            </w:hyperlink>
            <w:hyperlink w:anchor="i1f3f56f875cf425ea78fcca0a339f364_1649267442497">
              <w:r>
                <w:rPr>
                  <w:rStyle w:val="InternetLink"/>
                  <w:rFonts w:ascii="Times New Roman;serif" w:hAnsi="Times New Roman;serif"/>
                  <w:b w:val="false"/>
                  <w:color w:val="000080"/>
                  <w:sz w:val="20"/>
                  <w:u w:val="single"/>
                </w:rPr>
                <w:t xml:space="preserve"> 16.</w:t>
              </w:r>
            </w:hyperlink>
          </w:p>
        </w:tc>
        <w:tc>
          <w:tcPr>
            <w:tcW w:w="8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649267442497">
              <w:r>
                <w:rPr>
                  <w:rStyle w:val="InternetLink"/>
                  <w:rFonts w:ascii="Times New Roman;serif" w:hAnsi="Times New Roman;serif"/>
                  <w:b w:val="false"/>
                  <w:color w:val="0000FF"/>
                  <w:sz w:val="20"/>
                  <w:u w:val="single"/>
                </w:rPr>
                <w:t>Form 10-K Summary</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649267442497">
              <w:r>
                <w:rPr>
                  <w:rStyle w:val="InternetLink"/>
                  <w:rFonts w:ascii="Times New Roman;serif" w:hAnsi="Times New Roman;serif"/>
                  <w:b w:val="false"/>
                  <w:color w:val="0000FF"/>
                  <w:sz w:val="20"/>
                  <w:u w:val="single"/>
                </w:rPr>
                <w:t>137</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f3f56f875cf425ea78fcca0a339f364_148">
              <w:r>
                <w:rPr>
                  <w:rStyle w:val="InternetLink"/>
                  <w:rFonts w:ascii="Times New Roman;serif" w:hAnsi="Times New Roman;serif"/>
                  <w:b w:val="false"/>
                  <w:color w:val="0000FF"/>
                  <w:sz w:val="20"/>
                  <w:u w:val="single"/>
                </w:rPr>
                <w:t>Signatures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48">
              <w:r>
                <w:rPr>
                  <w:rStyle w:val="InternetLink"/>
                  <w:rFonts w:ascii="Times New Roman;serif" w:hAnsi="Times New Roman;serif"/>
                  <w:b w:val="false"/>
                  <w:color w:val="0000FF"/>
                  <w:sz w:val="20"/>
                  <w:u w:val="single"/>
                </w:rPr>
                <w:t>140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(this “Annual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Annual Report includes, among others, forward-looking statements regarding our: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and operating expenses, and our ability to achieve and maintain future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execute our business and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 and maintain and increase their engagement with our platform and their Purchase Volume, as well as our ARPAM;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cash, cash equivalents, and investments and amounts available under our credit facility to meet our working capital and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performance of, and our expectations regarding, certain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new products and bring them to market in a timely manner and make enhancements to current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our compliance with and the effects of existing and developing laws and regulations, including with respect to financial services and privacy and data protection;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related to the development, investment in, and integration of AI and ML technologies, including generative AI, into our products and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risk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new and evolving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and protect our brand;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and management of future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concerning our bank partners and other third-party service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expenses associated with being a public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Annual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Although we believe that we have a reasonable basis for each forward-looking statement contained in this Annual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other person assumes responsibility for the accuracy and completeness of any of these forward-looking statements. Moreover, the forward-looking statements made in this Annual Report relate only to our expectations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nearly 75% of the adult population that earn up to $100,000 annually, have struggled with bank relationships that are not always aligned with their best interests. So we set out to create a new approach, built on a foundation of trust rather than fine print and punitive fees. Through our direct relationships with FDIC-insured bank partners, we deliver easy-to-use products that address the most critical financial needs of everyday people —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founding, we are proud to have created some of the most impactful product innovations in consumer banking and payments. Through our broad suite of products, we have built trusted relationships with 9.5 million Active Members, with the majority of them relying on Chime to serve as their primary financial relationship as of December 31, 2025. Being the primary account relationship for our members establishes Chime as their central financial hub, and we believe these relationships are the most valuable in consumer financial services. As the central hub, Chime becomes the platform through which members consistently deposit their paychecks and conduct their everyday spend, creating durable and long-lasting relationships with high engagement.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 Recurring paycheck deposits through our platform also provide us with an advantage to offer our members access to valuable, short-term credit and liquidity products at scale given the privileged repayment position for such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contrast, traditional banks face structural limitations that prevent them from effectively serving everyday people. Traditional banks rely on a net interest margin-based business model, primarily monetizing customer deposits and lending. This approach works well for the most affluent customers with higher credit scores, who have high deposit balances and large borrowing needs, but is ineffective for everyday Americans, most of whom live paycheck-to-paycheck and often have more modest account balances and limited credit histories. While traditional banks focus on serving people with the largest deposits and highest credit scores, we will continue to raise the bar in financial services for everyday people.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 In 2025, Time Magazine named Chime as the top brand in the banking category in America. We believe we are setting a new standard in consumer financial services built on free or low-cost, innovative products and a member-obsessed philosophy. We are just getting started.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definitions of the key metrics used in this section, see the section titled “Management’s Discussion and Analysis of Financial Condition and Results of Operations—Key Metrics and Non-GAAP Financial Measures.”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MEMBERS ARE EVERYDAY AMERICANS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Everyday people are the individuals we all have the privilege of interacting with day to day. They work in healthcare, retail, hospitality, a variety of corporate jobs, and are essential workers who form the heart and soul of America. They are ambitious, resilient, and hustle to move their lives forward. Too often, however, their financial realities can make this progress challenging to achieve and easy to lose. In the United States, 196 million people — nearly 75% of the adult population — earn up to $100,000 annually. We primarily focus on attracting and serving these everyday Americans earning up to $100,000 annually. Many live paycheck-to-paycheck, often spending as much as — or more than — they earn each month to support themselves and their families. Everyday people need solutions that help avoid fees, bridge the gaps between paychecks, manage unexpected expenses, build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grow savings for life’s major milestones. Yet, traditional banks have consistently fallen short in addressing these pressing needs for everyday Americans.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COMPETITIVE ADVANTAGES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 focus on primary account relationships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designed our business to develop primary account relationships with our members, establishing Chime as their central financial hub. When we serve our members in a primary account relationship, we earn deep and habitual engagement and “top-of-wallet” card spend for their everyday, largely non-discretionary expenses. These relationships also provide a privileged repayment advantage for liquidity products and rich, first-party data, including member income, spending, transaction, social graph, and other engagement data, which enables product innovation. As we expand our platform offerings, we believe these relationships will help drive Active Member growth, position us well to continue to cross-sell additional products, and improve our ARPAM.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 commitment to innovate on new, member-aligned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founding, we have built a track record of launching pioneering products to address the most critical financial needs of everyday Americans — spending, saving, accessing liquidity, and building credit, all while avoiding punitive fees. We believe our ability to launch free or low-cost, innovative products such as Get Paid Early, SpotMe, Credit Builder, Chime Card and MyPay has allowed us to build a substantial and growing competitive advantage over traditional banks. Additionally, with the development and launch in 2024 of ChimeCore, our proprietary payment processor and ledger, we have built a foundation for even faster future product innovation to grow our advantage relative to traditional banks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 radical cost-to-serve 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constructed our model to serve everyday Americans, which meant taking a digital-first approach and building differentiated technology that allows us to serve our target audience at a significant cost advantage compared to traditional banks. Our digital-first approach has allowed us to reduce the significant expenses associated with bank branches and ATMs. Through our direct relationships with our bank partners, we conveniently offer access to a suite of banking products on our mobile application, while providing our members with nationwide access to physical locations to conveniently withdraw cash and make cash deposits where and when members need to through our partnerships with ATM and cash deposit networks. We have invested substantially over several years in our cloud-native technology platform, including ChimeCore, to be able to efficiently develop products and process and record financial transactions in-house. By operating our technology platform in-house, we are able to focus a greater portion of our technology spend on product innovation, avoid costly maintenance of legacy systems, and reduce or eliminate reliance on third-party vendors in areas such as transaction processing, financial ledgering, technology and product development, and technical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 loved and trusted brand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 category where everyday Americans are regularly dissatisfied and lack trust, we deliver products that our members love and that address their critical needs, resulting in Chime’s brand leadership. In 2025, Time Magazine named Chime as the top brand in the banking category in America. Recently, J.D. Power named Chime the leader in U.S. checking account openings, ahead of all other financial institutions. Furthermore, in 2026, NerdWallet named Chime the best checking account and best online banking experience. We have focused our brand strategy on winning brand ownership in the categories that matter most to everyday Americans: not having hidden fees, getting paid earlier, helping members build their credit scores. Our passionate community means our members are our biggest brand ambassadors. Chime members love and trust us and they pay it forward.</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GROWTH STRATEGIES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are in the early stages of addressing our significant serviceable and total addressable market opportunities. Key elements of our growth strategy include our plans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Attract and Acquire Active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 a substantial opportunity to grow our Active Members through our comprehensive marketing strategy, which includes social media engagement, product-led marketing, data-driven member acquisition, and member referrals. This strategy enables us to efficiently acquire new Active Members through both paid and organic channels. We aim to develop primary account relationships that drive deep levels of engagement and “top-of-wallet,” recurring card spend, fueling our payments-driven revenue model.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Increase Adoption of Our Existing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 opportunity to deepen our relationship with our members by increasing their adoption of existing products. As Active Members engage with more products, they increase their Purchase Volume and generate greater platform-related revenue, both of which drive higher ARPAM.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Expand Our Market Opportunity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Develop New Products.</w:t>
      </w:r>
      <w:r>
        <w:rPr>
          <w:color w:val="000000"/>
        </w:rPr>
        <w:t xml:space="preserve"> </w:t>
      </w:r>
      <w:r>
        <w:rPr>
          <w:rFonts w:ascii="Times New Roman;serif" w:hAnsi="Times New Roman;serif"/>
          <w:b w:val="false"/>
          <w:color w:val="000000"/>
          <w:sz w:val="20"/>
        </w:rPr>
        <w:t>We intend to continue expanding our product offerings to address additional financial needs of everyday Americans. We believe that over time we can increase our total addressable market opportunity by offering products in areas such as unsecured credit cards; longer term saving; investing and wealth management; insurance; and enhanced member rewards.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Expand our Audience.</w:t>
      </w:r>
      <w:r>
        <w:rPr>
          <w:color w:val="000000"/>
        </w:rPr>
        <w:t xml:space="preserve"> </w:t>
      </w:r>
      <w:r>
        <w:rPr>
          <w:rFonts w:ascii="Times New Roman;serif" w:hAnsi="Times New Roman;serif"/>
          <w:b w:val="false"/>
          <w:color w:val="000000"/>
          <w:sz w:val="20"/>
        </w:rPr>
        <w:t xml:space="preserve">As we expand our product offerings and the range of financial needs we address, we believe we can attract and acquire more members across a broader range of incomes, including those who earn up to $200,000 annually, who have many of the same financial needs as our current target demographic. We believe that as we broaden our platform and address more complex financial challenges for our members, we will also be well-positioned to address the financial needs of a wider audience.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Expand into the Employer Channel with Chime Enterprise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established Chime Enterprise in order to offer a suite of innovative products, including MyPay, through employers via Chime Workplace, an employee financial wellness solution. We believe that through the employer channel, we can access a large pipeline of potential new members at an efficient cost to drive continued Active Member growth. In 2025, we launched MyPay at Work. We’ve signed a number of employer partners and human capital management platforms. We are early in our journey with Chime Enterprise.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Selectively Pursue Strategic Investments and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are primarily focused on organic and member-driven growth, we may opportunistically pursue strategic investments or acquisitions that complement and enhance our platform. In the past, we have acquired and integrated Salt Labs, an enterprise employee rewards company, Charlie, a personal finance app, and Pinch, a credit-building tool that reports rent payments.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built a suite of affordable, easy-to-use products that address the most critical financial needs of everyday people. In a landscape dominated by high-cost providers, Chime is making banking free or low-cost for everyday Americans. All of our products are conveniently available through our mobile application.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Spending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spending products we offer through our platform provide our members access to FDIC-insured checking accounts and linked debit cards, nationwide ATM and cash deposit networks, and early access to their paycheck, allowing them to confidently manage their money and pay for everyday expenses.</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Checking Account. </w:t>
      </w:r>
      <w:r>
        <w:rPr>
          <w:rFonts w:ascii="Times New Roman;serif" w:hAnsi="Times New Roman;serif"/>
          <w:b w:val="false"/>
          <w:color w:val="000000"/>
          <w:sz w:val="20"/>
        </w:rPr>
        <w:t xml:space="preserve">Chime offers access to full-featured, FDIC-insured checking accounts provided through our platform by one of our bank partners, The Bancorp Bank, N.A. or Stride Bank, N.A. These checking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offer members access to essential features, all while benefiting from no monthly maintenance fees or minimum balance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Chime Debit Card. </w:t>
      </w:r>
      <w:r>
        <w:rPr>
          <w:rFonts w:ascii="Times New Roman;serif" w:hAnsi="Times New Roman;serif"/>
          <w:b w:val="false"/>
          <w:color w:val="000000"/>
          <w:sz w:val="20"/>
        </w:rPr>
        <w:t>Checking accounts are complemented by Chime Debit Cards, which are Visa-branded debit cards issued by our bank partners. Chime Debit Cards are accepted wherever Visa debit cards are accepted.</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ATM and Cash Deposit Network. </w:t>
      </w:r>
      <w:r>
        <w:rPr>
          <w:rFonts w:ascii="Times New Roman;serif" w:hAnsi="Times New Roman;serif"/>
          <w:b w:val="false"/>
          <w:color w:val="000000"/>
          <w:sz w:val="20"/>
        </w:rPr>
        <w:t xml:space="preserve">We provide our members access to nationwide networks that allow them to conveniently deposit and withdraw cash from their accounts, including ATMs that are Chime branded. </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Get Paid Early. </w:t>
      </w:r>
      <w:r>
        <w:rPr>
          <w:rFonts w:ascii="Times New Roman;serif" w:hAnsi="Times New Roman;serif"/>
          <w:b w:val="false"/>
          <w:color w:val="000000"/>
          <w:sz w:val="20"/>
        </w:rPr>
        <w:t>Get Paid Early provides members that direct deposit through Chime access to the full value of their paycheck up to two days before their scheduled pay date.</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Outbound Instant Transfer. </w:t>
      </w:r>
      <w:r>
        <w:rPr>
          <w:rFonts w:ascii="Times New Roman;serif" w:hAnsi="Times New Roman;serif"/>
          <w:b w:val="false"/>
          <w:color w:val="000000"/>
          <w:sz w:val="20"/>
        </w:rPr>
        <w:t>Outbound Instant Transfer gives members the ability to push money instantly to external accounts directly from the Chime app, offering a more convenient member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Chime Plus. </w:t>
      </w:r>
      <w:r>
        <w:rPr>
          <w:rFonts w:ascii="Times New Roman;serif" w:hAnsi="Times New Roman;serif"/>
          <w:b w:val="false"/>
          <w:color w:val="000000"/>
          <w:sz w:val="20"/>
        </w:rPr>
        <w:t>Chime Plus is a fee-free, premium membership tier that includes additional features designed to enhance our members’ mobile banking experiences. Exclusively available to members who set up a qualifying direct deposit through Chime, Chime Plus members receive an expanded set of financial tools, perks, and services, including cash back on eligible Chime Card spend, a higher savings APY and interest rates, exclusive cashback offers through Chime Deals, and priority member support.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liquidity products we offer through our platform, including SpotMe, MyPay, and Instant Loans, provide our eligible members access to short-term liquidity when they need it most for free or at a low cost.</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SpotMe. </w:t>
      </w:r>
      <w:r>
        <w:rPr>
          <w:rFonts w:ascii="Times New Roman;serif" w:hAnsi="Times New Roman;serif"/>
          <w:b w:val="false"/>
          <w:color w:val="000000"/>
          <w:sz w:val="20"/>
        </w:rPr>
        <w:t xml:space="preserve">SpotMe allows eligible members to overdraft fee-free within their available limit. SpotMe can be used for debit card purchases, Credit Builder and Chime Card secured credit card purchases, cash-back transactions, and ATM withdrawals. </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MyPay.</w:t>
      </w:r>
      <w:r>
        <w:rPr>
          <w:color w:val="000000"/>
        </w:rPr>
        <w:t xml:space="preserve"> </w:t>
      </w:r>
      <w:r>
        <w:rPr>
          <w:rFonts w:ascii="Times New Roman;serif" w:hAnsi="Times New Roman;serif"/>
          <w:b w:val="false"/>
          <w:color w:val="000000"/>
          <w:sz w:val="20"/>
        </w:rPr>
        <w:t xml:space="preserve">MyPay allows eligible members to access a portion of their earned pay on demand before payday for free within 24 hours, or instantly for a low fee. </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Instant Loans. </w:t>
      </w:r>
      <w:r>
        <w:rPr>
          <w:rFonts w:ascii="Times New Roman;serif" w:hAnsi="Times New Roman;serif"/>
          <w:b w:val="false"/>
          <w:color w:val="000000"/>
          <w:sz w:val="20"/>
        </w:rPr>
        <w:t xml:space="preserve">Instant Loans allows eligible members to borrow funds repaid in equal monthly installments over a specified period. Eligible members receiving direct deposit may be pre-approved for a loan and get notified of their eligibility within the Chime app.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Building Credit</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Chime Card and Credit Builder Credit Card. </w:t>
      </w:r>
      <w:r>
        <w:rPr>
          <w:rFonts w:ascii="Times New Roman;serif" w:hAnsi="Times New Roman;serif"/>
          <w:b w:val="false"/>
          <w:color w:val="000000"/>
          <w:sz w:val="20"/>
        </w:rPr>
        <w:t>The secured Chime Visa Credit Card and secured Chime Credit Builder Visa Credit Card are issued by our bank partners and help our members build credit through their everyday spend without paying fees or interest. Unlike unsecured credit cards and many other secured credit cards, Chime Card and Credit Builder secured credit cards have no annual fees or late fees, no interest charges on missed payments, and no application fees. Chime Card and Credit Builder secured credit cards are accepted wherever Visa credit cards are accepted.</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FICO Score Tracking. </w:t>
      </w:r>
      <w:r>
        <w:rPr>
          <w:rFonts w:ascii="Times New Roman;serif" w:hAnsi="Times New Roman;serif"/>
          <w:b w:val="false"/>
          <w:color w:val="000000"/>
          <w:sz w:val="20"/>
        </w:rPr>
        <w:t>Powered by Experian, Chime enables members using Credit Builder and Chime Card to view their FICO Score, seamlessly track their credit progress, and receive automatic alerts on credit score fluctuations directly through their Chime mobile application.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Savings and Perks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offers access to FDIC-insured savings products that help members effortlessly grow their savings with automatic features and competitive rates, with no minimum balances, no monthly fees, and no maximums on earned interest. We also offer our members opportunities to save on their everyday expenses, as well as file their state and federal taxes for free.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High Yield Savings Account. </w:t>
      </w:r>
      <w:r>
        <w:rPr>
          <w:rFonts w:ascii="Times New Roman;serif" w:hAnsi="Times New Roman;serif"/>
          <w:b w:val="false"/>
          <w:color w:val="000000"/>
          <w:sz w:val="20"/>
        </w:rPr>
        <w:t>Chime offers all members access to a high yield savings account through our bank partners with an attractive interest rate on members’ savings balances and no monthly fees.</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Automatic Savings Features.</w:t>
      </w:r>
      <w:r>
        <w:rPr>
          <w:color w:val="000000"/>
        </w:rPr>
        <w:t xml:space="preserve"> </w:t>
      </w:r>
      <w:r>
        <w:rPr>
          <w:rFonts w:ascii="Times New Roman;serif" w:hAnsi="Times New Roman;serif"/>
          <w:b w:val="false"/>
          <w:color w:val="000000"/>
          <w:sz w:val="20"/>
        </w:rPr>
        <w:t>We provide our members multiple ways to grow their savings automatically through Chime to help them achieve their goals faster.</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Chime Deals and Offers. </w:t>
      </w:r>
      <w:r>
        <w:rPr>
          <w:rFonts w:ascii="Times New Roman;serif" w:hAnsi="Times New Roman;serif"/>
          <w:b w:val="false"/>
          <w:color w:val="000000"/>
          <w:sz w:val="20"/>
        </w:rPr>
        <w:t>Through Chime Deals, our members have access to cash back deals at thousands of locations across the United States, with a focus on retailers in key spending categories including gas stations, grocery stores, and restaurants.</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Free Tax Filing. </w:t>
      </w:r>
      <w:r>
        <w:rPr>
          <w:rFonts w:ascii="Times New Roman;serif" w:hAnsi="Times New Roman;serif"/>
          <w:b w:val="false"/>
          <w:color w:val="000000"/>
          <w:sz w:val="20"/>
        </w:rPr>
        <w:t>With Chime Tax Filing, members can conveniently file state and federal taxes for free and receive their federal refund up to five days early via direct deposit. We have partnered with a registered tax e-file provider to offer members the opportunity to file their personal state and federal tax returns directly through our mobile application.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Community-focused products, including Pay Anyone and SpotMe Boosts, create opportunities for collaboration and support while strengthening connections among our members. We define a community connection with regard to each member as another member to whom such member has sent a referral, SpotMe Boost, or Pay Anyone payment.</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Pay Anyone. </w:t>
      </w:r>
      <w:r>
        <w:rPr>
          <w:rFonts w:ascii="Times New Roman;serif" w:hAnsi="Times New Roman;serif"/>
          <w:b w:val="false"/>
          <w:color w:val="000000"/>
          <w:sz w:val="20"/>
        </w:rPr>
        <w:t>Pay Anyone is a peer-to-peer payments product that enables our members to make instant, secure payments directly from the Chime mobile application. Our members can send money from their checking accounts at one of our bank partners to anyone, including friends, family, and co-workers, regardless of whether the recipient uses Chime.</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SpotMe Boosts. </w:t>
      </w:r>
      <w:r>
        <w:rPr>
          <w:rFonts w:ascii="Times New Roman;serif" w:hAnsi="Times New Roman;serif"/>
          <w:b w:val="false"/>
          <w:color w:val="000000"/>
          <w:sz w:val="20"/>
        </w:rPr>
        <w:t>SpotMe Boosts enable eligible Chime members to temporarily increase the overdraft limits of other members for free. This helps nurture a collaborative Chime member community and fosters new connections.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Chime Enterprise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Enterprise offers a suite of innovative products, including MyPay, through employers via Chime Workplace.</w:t>
      </w:r>
    </w:p>
    <w:p>
      <w:pPr>
        <w:pStyle w:val="TextBody"/>
        <w:bidi w:val="0"/>
        <w:spacing w:lineRule="auto" w:line="288" w:before="0" w:after="180"/>
        <w:ind w:left="0" w:right="0" w:firstLine="360"/>
        <w:jc w:val="left"/>
        <w:rPr/>
      </w:pPr>
      <w:r>
        <w:rPr>
          <w:color w:val="000000"/>
        </w:rPr>
        <w:t>•</w:t>
      </w:r>
      <w:r>
        <w:rPr>
          <w:rFonts w:ascii="Times New Roman;serif" w:hAnsi="Times New Roman;serif"/>
          <w:b/>
          <w:i/>
          <w:color w:val="000000"/>
          <w:sz w:val="20"/>
        </w:rPr>
        <w:t xml:space="preserve">Chime Workplace. </w:t>
      </w:r>
      <w:r>
        <w:rPr>
          <w:rFonts w:ascii="Times New Roman;serif" w:hAnsi="Times New Roman;serif"/>
          <w:b w:val="false"/>
          <w:color w:val="000000"/>
          <w:sz w:val="20"/>
        </w:rPr>
        <w:t>Through Chime Workplace, we target medium to large enterprises through which we offer access to a suite of financial services and employee benefits tools to their employees. Chime Workplace provides employees with access to existing products that address key financial needs for spending, saving, accessing liquidity and building credit. Chime Workplace provides employers a platform to facilitate these offerings and employee rewards, while providing aggregated and measurable insights into employee engagement with Chime Workplace through a centralized data portal.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built our proprietary, cloud-native technology platform in-house to drive product innovation and scale. Our technology platform is vertically-integrated, connecting payment networks and our bank partners all the way to the end products via a single unified system. Our platform enables control, rapid innovation, reliability, cost efficiency, scalability, and security across our product offerings and member experience.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foundational pillars of our technology platform are: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Flexible, Multi-Sourced Partnerships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platform leverages flexible, multi-sourced partnerships with card networks, bank partners, and ATM and cash deposit networks.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Cloud-Native Infrastructure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built and designed our technology platform to take advantage of the reliability, scalability, and flexibility benefits of cloud-native infrastructure. As an example, we can scale cloud capacity on demand, which has allowed us to avoid upfront investments on excess capacity.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ChimeCore – Our Proprietary Payment Processor and Ledger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November 2025, ChimeCore processes all of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ChimeCore gives us greater control in the way we design new financial products and powers our product development velocity. With ChimeCore, we have the flexibility to build products directly on our platform, which enables us to avoid development cycles integrating with third party vendors, which often have preconfigured product templates.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Data &amp; AI Platforms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Real-time Data Streaming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data streaming platform captures and processes real-time data with sub-second latency. Our real-time data feeds into our proprietary ML-powered risk decisioning and experimentation platforms, unlocking personalized member experiences.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Machine Learning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built our own machine learning platform to create models that inform fraud, risk, and underwriting decisions, drive product experimentation, and automate member support responses. Owning our ML platform facilitates the rapid development and deployment cycles of our ML models. These models are auto-retrained and backtested to regularly provide more accurate predictions, with retraining timelines as short as three weeks. Our real-time data streaming capabilities allow our ML models to generate sub-second latency predictions, which enable faster decision-making that is critical to identifying and preventing fraud.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Risk Decisioning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decisioning platform leverages rich, first-party data, including member income, spending, transaction, social graph, and other engagement data, to help reduce costs associated with transaction-related disputes and chargebacks. Our platform also powers our underwriting capabilities that support Chime-branded liquidity products. Through this platform, we develop risk and underwriting standards for review and adoption by our bank partners.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Experimentation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experimentation platform allows us to regularly iterate on and improve our products based on member insights informed by ML models using real-time data. Our platform was designed internally and is integrated with our other platforms, which allows us to jointly evaluate multiple experiments, such as changes to risk decisioning and member experience.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 support platform, including our agent interface and case management system, enables us to efficiently manage support interactions at scale. Our custom-built agent interface streamlines how support agents access member information and take action on accounts. Our integrated case management system drives efficiencies by assigning agents to cases in which they specialize and guiding agent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 traditional banking system has not effectively served everyday Americans, most of whom live paycheck-to-paycheck and often have more modest account balances and limited credit histories. Even if traditional banks were to focus on serving the core needs of everyday Americans, they are structurally limited due to rigid, high-cost business models, driven by their physical branch infrastructure and in-person delivery approach. We have taken a fundamentally different approach to serving everyday Americans based on our radical cost-to-serve advantage. While digital first banks and financial technology companies can avoid the costs of bank branch infrastructure, we believe we have differentiated ourselves through our approach that has focused on member-alignment, designing our business to develop primary account relationships with our members and establish Chime as their central financial hub. We view our main competition as traditional banks, including Bank of America, Capital One, Citibank, J.P. Morgan Chase, PNC Bank, and Wells Fargo. We also compete with online-only financial institutions, such as Ally, Discover, and SoFi. Other online-only financial institutions that operate in foreign jurisdictions, such as Nubank and Revolut, could in the future expand into the United States and compete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face competition from financial technology companies that offer or facilitate bank accounts, payments, and liquidity services, including Affirm, Klarna, and PayPal, and offerings such as Cash App. Although certain financial technology companies or offerings provide some comparable products, we believe many financial technology companies are predominantly known for single point solutions. Further, we believe many neobanks or smaller financial technology companies do not possess a scale of customer base to represent material competition to us. We believe that we compete favorably with financial technology competitors because we are building long-lasting and deep, multi-product relationships to advance our members’ financial journeys and our members are likely to associate us with a breadth of their financial needs rather than a single point solution.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continued competition from these types of current competitors, including as traditional banks attempt to replicate our product offerings, and as well as from new market entrants or financial technology companies expanding their offerings or customer bases.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principal competitive factors in our market include: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ability to attract, engage and retain members in a primary financial relationship;</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ability to effectively serve the needs of everyday Americans;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ability to deliver innovation and new products and services (in particular related to liquidity and credit building);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reliability and efficiency of the underlying technology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an efficient cost structure to enable delivery of free or low-cost financial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for financial technology companies, quality, number and strength of bank partner relationships;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recognized and trusted brand;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high quality customer support;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ability to manage risk effectively, including access to first-party data and the ability to effectively use such data to inform determinations regarding the availability and scale of liquidity products;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ability to maintain a proactive and robust compliance framework.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across the competitive factors in our market. Some of our competitors and potential competitors are larger and have one or more of the following: greater brand name recognition, longer operating histories, larger marketing budgets, greater market share in certain markets, and greater resources for the development of their offerings. Nonetheless, we believe that our dedicated focus on everyday Americans and competitive advantages will enable us to continue to capture an increasing share of our addressable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the risks to our business related to competition, see the section titled “Risk Factors—Risks Related to Our Business—We face substantial and intense competition in our industry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BANK PARTNERSHIPS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model is rooted in our partnerships with two OCC-regulated, FDIC-insured national banks: The Bancorp Bank, N.A. (“Bancorp”) and Stride Bank, N.A. (“Stride”). Our direct partnership model allows us to provide our members with access to our bank partners’ products and services such as full-featured, FDIC-insured checking accounts and high-yield savings accounts, as well as debit cards, secured credit cards, consumer loans, and essential financial network connectivity, including card and ATM networks and ACH services for payments, transfers, and settlements. Our bank partners benefit from inexpensive access to deposits, allowing them to increase and diversify their income. In return, Chime earns interchange-based fees, fees from access to out-of-network ATMs, MyPay instant transfer fees, net revenue based on high-yield savings balances, voluntary SpotMe tips, revenue related to Instant Loans, and fees from cash deposits made at locations outside our free network.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general, for each product provided by a bank partner that is offered through our platform, the product is provided to a member by either one of our bank partners. When we initially launch a new product, we have in the past and may continue to trial the product with only one bank partner before launching with both of our bank partners. Currently, all products provided by a bank partner through our platform can be provided by either of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complex regulatory environment. Our business is subject to a wide variety of local, state, and federal laws, regulations, licensing regimes, and industry standards, which we refer to collectively as laws and regulations. These laws and regulations govern numerous areas that are important to our business, and include, or may in the future include, those relating to banking, consumer protection, interchange fees, lending, debt collection, money transmission, payments services, anti-money laundering, international sanctions regimes, privacy, data protection, and data security. We are impacted by these laws and regulations both directly and indirectly, including by way of our partnerships with Bancorp and Stride.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closely monitor applicable laws and regulations and develop and maintain products and services that comply with the laws and regulations that currently impact, or may in the future impact, our business. For example, we analyze state licensing requirements applicable to the products offered to members through our platform. Currently, Chime offers access to the following products in all 50 states: checking accounts, including Chime-branded debit cards, Pay Anyone, SpotMe, and Credit Builder and Chime Card secured credit cards. Certain newer products, such as MyPay and Instant Loans, are not yet available in all 50 states.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in a robust government and public affairs team focused on developing and maintaining strong relationships with policymakers and regulators, staying on top of regulatory developments, and advocating on behalf of Chime and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could become subject to additional requirements if laws or regulations change in the jurisdictions in which we operate, if we release new products or services that implicate laws or regulations to which we are not currently subject today, or if we expand to additional jurisdictions that impose new legal or regulatory requirements. In addition, the regulatory framework for our products and services is evolving as federal and state governments, regulators, and courts consider the application of existing laws and potential adoption of new laws or regulations. Although certain of the products and services to which we offer access have been industry firsts and may be new to the market, we are typically required to comply with the traditional legal and regulatory regimes for consumer financial products and services. New laws and regulations, as well as uncertainty regarding the application of existing laws and regulations to our products and services, may negatively affect our business. This could include the need to obtain new or different types of licenses or comply with additional laws and regulations in order to conduct our business, which may require significant financial and human resources. For additional information relating to the regulation of our business, see the risks in the section titled “Risk Factors—Risks Related to Regulatory and Legal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Regulation of Our Bank Partnership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Bancorp and Stride are chartered as national banks and subject to regulation and supervision by the Office of the Comptroller of the Currency (“OCC”), as well as subject to other regulations including those promulgated by the Financial Crimes Enforcement Network (“FinCEN”), Federal Deposit Insurance Corporation (“FDIC”), the Federal Reserve, and the Consumer Financial Protection Bureau (“CFPB”). As a program manager and under contractual obligations to our bank partners, we develop and provide a platform to help our members achieve financial progress and select the banks we partner with to provide this platform to our members. As part of this relationship, we provide member support, including those related to card issuance and technology features, to members using their accounts through the platform. While the banks ultimately approve each program, we, as program managers, can configure the program design, negotiate key terms, and select certain vendors, subject to the requirements of the banks and applicable card networks. Our contracts with our bank partners entitle Chime to receive from such banks the fees generated from these card programs, less costs associated with our members’ transactions and certain fixed fees — either a percentage of the purchase volume or a set fee per transaction.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our bank partnership model, we are subject to a variety of laws and regulations, including certain laws and regulations which may apply to us because of our contractual relationships with our bank partners. The Federal banking agencies (Federal Reserve, OCC and FDIC) have well established guidance for banks and their third-party service providers, which they updated in 2023. This guidance applies directly to Chime and our partner banks relative to the totality of our bank partner relationships, including planning, contracts, strategies and goals, financial condition, risk management, information security and systems, operational resilience, audit rights, and performance benchmarks. In addition to supervisory authority over regulated banks, bank regulators have the authority to directly examine banks’ service providers to the same extent they examine a bank, including through onsite examination, under the Bank Service Company Act (“BSCA”). Given our bank partnership model, direct examination of Chime is possible should regulators exercise their authorities under the BSCA. All Chime members’ deposits are intended to be covered by FDIC insurance up to the applicable maximum deposit insurance amount through our bank partners. To ensure these deposits are insured by the FDIC on a pass-through basis, we, our bank partners, and community deposit sweep program banks must meet certain conditions established by the FDIC, such as having policies and procedures to appropriately maintain records of members’ actual ownership of funds and to ensure that deposit account records and titling of the accounts reflect that funds are held for the benefit of our members. “Pass-through” deposit insurance coverage means our partnerships with banks are designed such that deposits placed at our bank partners and at community deposit sweep program banks through the community deposit sweep program on behalf of our members are insured as if deposited directly at those banks by our members. Pass-through insurance allows each member to be separately insured up to the applicable maximum deposit insurance amount. The deposit account offerings through our platform are held directly with our bank partners, and we believe these offerings currently comply, and will continue to comply with all applicable requirements for each eligible member’s deposits to be covered by FDIC insurance, up to the applicable maximum deposit insurance amount. Through our platform, our members access checking accounts, in which funds are held by each of our bank partners in an omnibus account (a deposit account established for the benefit of multiple beneficial owners) on their books for the benefit of our members, as well as savings accounts that are part of our community deposit sweep program, in which funds are swept into interest-bearing deposit accounts at other FDIC-insured banks that participate in the sweep program. We maintain rigorous and detailed account ledgers for our members, which are reconciled daily by our bank partners. Chime is also subject to applicable regulations by the FDIC and CFPB regarding official signs and advertising requirements, false advertising, misrepresentation of insured status, and misuse of the FDIC’s name or logo. For additional information relating to the regulation of our bank partnership model, see the risks in the section titled “Risk Factors—Risks Related to Regulatory and Legal Matters—We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Interchange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a substantial majority of our revenue has been derived from interchange fees, generated by debit and credit card transactions of our members through our platform. Certain interchange fees and the amounts thereof are subject to regulation in the United States. Provisions of the Dodd-Frank Act commonly referred to as the Durbin Amendment required the Federal Reserve Board to implement regulations that impact debit card interchange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card network exclusivity, and transaction routing. Accordingly, the Federal Reserve Board has promulgated regulations that, among other things, impose limitations on the amount of debit card interchange fees certain financial institutions may receive. The Dodd-Frank Act and the Federal Reserve Board’s implementing regulations exempt banks with under $10 billion in assets, which include both of our bank partners, from the limitations on the amount of debit card interchange fees. While our bank partners are currently exempt from the limitations on debit card interchange fees imposed by the Dodd-Frank Act and its implementing regulations, and we expect them to continue to be exempt, more restrictive regulations governing interchange fees for debit or credit cards may be adopted, existing regulations may become subject to new or differing interpretations or enforcement, including with respect to their applicability to interchange fees associated with our members’ card transactions. For additional information, see the section titled “Risk Factors—Risks Related to Our Business—Changes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 Consumer Protection Requirements, Association, and Card Network Rules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must comply with various consumer protection laws and rules. The CFPB is the principal federal regulator responsible for administering federal consumer financial law. The CFPB issues rules governing consumer finance markets, and oversees compliance with and enforces federal consumer financial laws. For example, the CFPB recently issued a final rule, to which Chime is subject, establishing supervisory authority over nonbank covered persons that are larger participants in a market for “general-use digital consumer payment applications.” A nonbank qualifies as a larger participant under this rule if it facilitates an annual covered consumer payment transaction volume of at least 50 million transactions, and the transaction volume of our members through our platform exceeds this threshold. While Congress has adopted a joint resolution to disapprove this final rule, nonbanks subject to the CFPB’s supervisory authority under this rule also may be subject to other CFPB supervisory authorities. We are subject to supervision by the CFPB, and the CFPB may, among other things, to conduct comprehensive and rigorous examinations to assess our compliance with consumer financial laws, which in turn may result in matters requiring attention, as well as potentially a referral for investigation and enforcement action, which may result in civil monetary penalties and limits on our activities or functions, among other relief. The CFPB has broad authority to create and modify federal regulations with respect to consumer financial products and services, including the origination, brokering, servicing, transfer, and collection of consumer loans and other consumer financial products or services we may facilitate or provide. The CFPB also has substantial power to regulate financial products and services offered to consumers from both banks and non-bank providers and their respective service providers, including rulemaking authority under federal laws such as the Truth in Lending Act, the Equal Credit Opportunity Act, the Fair Credit Reporting Act, the Electronic Funds Transfer Act. Under Title X of the Dodd-Frank Act, the CFPB has the authority to pursue enforcement actions against companies that offer or provide consumer financial products or services, or those companies’ service providers, that allegedly engage in unfair, deceptive, or abusive acts or practices (“UDAAP”) or allegedly violate other laws including enumerated consumer laws defined in 12 U.S.C. § 5481. Where a company has allegedly violated Title X of the Dodd-Frank Act or CFPB regulations under Title X, the Dodd-Frank Act also empowers state attorneys general and state regulators to bring civil actions to enforce such laws and regulations. Title X authorizes the CFPB to seek a range of remedies, including civil money penalties, rescission of contracts, refund of money, restitution, disgorgement of profits or other compensation for unjust enrichment, damages, public notification of the violation, and “conduct” restrictions (i.e., future limits on a company’s activities or functions). The CFPB frequently enters into consent orders with entities to resolve investigations. For example, in May 2024, we entered into a Consent Order with the CFPB agreeing to pay a $3.25 million penalty to the CFPB and a total of $1.3 million in redress to certain former members who received allegedly delayed account balance refunds upon the closure of their savings or checking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CFPB also has issued guidance stating that institutions under its supervision may be held responsible for the actions of certain companies with which they contract. The CFPB has made it clear that it expects supervised institutions to maintain an effective process for managing risks associated with their vendor relationships. In connection with this vendor risk management process, we are expected to perform due diligence reviews of potential vendors, review their policies and procedures and internal training materials to confirm the vendor conducts appropriate training and oversight, include enforceable consequences in contracts with vendors regarding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comply with consumer protection requirements, and take prompt action, including terminating the relationship, in the event that vendors fail to meet our expectations.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our business activities, we or our bank partners are subject to applicable requirements under other rules, federal statutes, and federal regulations. The regulatory framework applicable to consumer financial services providers is evolving and uncertain. Additional or different requirements may apply to our business in the future. While we have developed policies and procedures designed to assist in compliance with these laws and regulations, no assurance is given that our compliance policies and procedures will be effective in all cases or will be adequate as laws change or are applied in a new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more information, see the sections titled “Risk Factors—Risks Related to Regulatory and Legal Matters—The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and “Risk Factors—Risks Related to Regulatory and Legal Matters—Stringent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State Licensing Requirements and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collaboration with our bank partners, we provide access to liquidity products through our platform that are subject to lending laws and standards of each individual U.S. state in which we operate. This means that when individual states differ in how they regulate various aspects of consumer lending activity and the offering of consumer credit products, we must operate in accordance with those jurisdictional-specific requirements to the extent applicable.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state licensing and other requirements, as well as supervisory examination by state regulatory authorities, with respect to loans and other consumer credit products offered by our banking partners that we facilitate, and we have obtained, through our subsidiary Chime Capital, LLC, necessary licenses or conduct operations pursuant to relevant exemptions in the jurisdictions in which we operate. Licensing statutes and regulations vary from state to state and prescribe different requirements, including restrictions on loan origination and servicing practices (including limits on the type, amount, and manner of our fees),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Additionally, we have experienced, are currently and will likely continue to be subject to and experience exams by state regulators. These examinations have and may continue to result in findings or recommendations that have required us, and may continue to require us, to modify our internal controls and/or business practices. The application of state requirements to our business model is constantly evolving, and while we believe we are in compliance with applicable licensing requirements, state regulators may request or require that we obtain additional licenses or otherwise comply with additional requirements in the future, which may result in changes to our business practices. If we are found to have engaged in activities that require a state license without having the requisite license or in activities that are otherwise deemed to be in violation of state lending laws, the licensing authority may impose fines, impose restrictions on our operations in the relevant state, or seek other remedies for activities conducted in the state. For additional information, see the section titled “Risk Factors—Risks Related to Regulatory and Legal Matters—The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various laws and regulations govern the payments industry in the United States. One of our wholly-owned subsidiaries holds licenses to operate as a money transmitter (or its equivalent) in 39 U.S. states, and we intend to obtain additional money transmission licenses across the United States in the states where such licenses are required. As such, we are subject to, among other requirements, restrictions with respect to the investment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 funds, reporting requirements, bonding requirements, and supervisory inspection by state regulatory agencies.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requirements described above, we are subject to and seek to comply with other state and federal laws and regulations applicable to consumer lending and other consumer financial services, including additional requirements relating to loan disclosure, credit discrimination, credit reporting, debt collection and UDAAP prevention. These laws and regulations may be enforced by state banking or consumer protection regulatory agencies, state attorneys general, the CFPB, and private litigants, among others. Given our novel business model and the subjective nature of some of these laws and regulations, particularly UDAAP-prevention laws, we may become subject to regulatory scrutiny or legal challenge with respect to our compliance with these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nature of our business and our arrangements with third parties, including our bank partners, we are subject to compliance obligations related to the U.S. AML laws and regulations. We have developed and currently operate an AML program designed to prevent the offerings on our platform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including the designation of a BSA/AML compliance officer to oversee the programs. Our programs are designed to address these requirements and to assist in managing risk associated with money laundering and terrorist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are subject to anti-corruption and anti-bribery and similar laws, including the U.S. Foreign Corrupt Practices Act of 1977, as amended (the “FCPA”), the U.S. domestic bribery statute contained in 18 U.S.C. § 201, and the U.S. Travel Act.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The FCPA and other applicable anti-corruption and anti-bribery laws, including accounting provisions, are enforced by the Department of Justice and the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while we are not subject to escheat regulations, our bank partners are subject to unclaimed or abandoned property (escheat) laws in the United States. These state laws require our bank partners to turn over to certain government authorities the property of others that our bank partners hold that has been unclaimed for a specified period of time, such as account balances that are due to a member following discontinuation of our relationship. We may be required to cooperate with such bank partners in the course of their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regulatory agencies in the United States continue to examine a wide variety of laws and regulations that are or may be applicable to us and may impact our business. These issues include account recordkeeping, antidiscrimination, consumer protection, identity theft, privacy, data protection, data security, disclosure rules, electronic transfers, and marketing. As our business continues to develop and expand, we continue to monitor the additional rules and regulations that may become relevant.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intellectual property and other proprietary rights are valuable and important to our business. We rely on patents, copyrights, trademarks, service marks, trade secrets, license agreements, intellectual property assignment agreements, confidentiality procedures, non-disclosure agreements, and employee non-disclosure and invention assignment agreements to establish and protect our intellectual property and other proprietary rights. Though we rely in part upon these legal and contractual protections, we believe that factors such as the skills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ingenuity of our employees and the functionality and frequent enhancements to our solutions are larger contributors to our success in the marketplace.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in a patent program to identify and protect a substantial portion of our strategic intellectual property in technologies relevant to our business. We continually review our development efforts to assess the existence and patentability of new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ongoing trademark and service mark registration program pursuant to which we register our brand names and product names, taglines and logos in the United States and other countries to the extent we determine appropriate and cost-effective. In certain jurisdictions, we also have common law trademark rights. In addition, we have registered domain names for websites that we use in our business, such as www.chime.com and other variations.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endeavor to enter into confidentiality agreements with our employees, contractors, and other third parties with whom we do business in order to limit access to and disclosure of our proprietary information, confidential information, and trade secrets, as well as invention assignment agreements with our employees, consultants, and other third parties to clarify rights to intellectual property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cost-effective. Despite our efforts to protect our intellectual property and other proprietary rights, they may not be respected in the future or may be invalidated, circumvented, reduced in scope, deemed unenforceable or otherwise challenged. The efforts undertaken to protect our intellectual property and other proprietary rights, including our confidential information, may not be sufficient or effective. For additional information, see the sections titled “Risk Factors—Risks Related to Intellectual Property Matters—If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 “Risk Factors—Risks Related to Intellectual Property Matters—We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 and “Risk Factors—Risks Related to Intellectual Property Matters—We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1,519 Chimers across three offices.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focus on attracting, retaining, and developing talented and skilled employees. Management regularly reports to our board of directors on people-management topics, including corporate culture, diversity and inclusion, compensation and benefits, employee hiring, development and retention, and succession planning. Our board’s people, compensation, and culture committee provides input on important decisions with respect to talent retention and development, compensation, and benefits.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equity incentives to our employees through the grant of stock options and RSUs under our equity incentive plan that allow us to be competitive with comparable companies in our industry. We also have adopted an Employee Stock Purchase Plan pursuant to which eligible employees can purchase shares of our Class A common stock at a discount from the fair market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provide competitive health, wellness and retirement benefits for our employees, including medical, dental, vision, life insurance, paid time off, various voluntary insurance programs, and our 401(k) retirement plan. Furthermore, our employee assistance program offers employees information, referrals, and short-term counseling for personal issues affecting their work or personal life in order to help protect their physical, emotional, and financial well-being.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incorporated as 1debit, Inc. in Delaware in August 2012. Our website address is www.chime.com. Our principal executive office is at 101 California Street, Suite 500, San Francisco, California 94111. Our telephone number is (844) 244-6363.</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website at investors.chime.com, as soon as reasonably practicable after we file such material with, or furnish it to, the SEC, when such reports are available on the SEC’s website at www.sec.gov. We use our website, including our investor relations website at investors.chime.com, as a means of disclosing material non-public information and for complying with our disclosure obligations under Regulation FD.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highlighted in the section titled “Risk Factors” immediately following this summary. These risks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attract and retain Active Members, and maintain and increase the revenue we generate from our Active Members,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rules and practices regarding interchange fees, card network fees, and other fees and assessments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significant net losses, and we may not be able to achieve or maintain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unable to attract and retain Active Members, and maintain and increase the revenue we generate from our Active Members,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are currently available only to members who make qualifying direct deposits, such as direct depositing their paychecks, through Chime, which may limit our ability to grow these products and increase the revenue we generate from them.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bank partners to provide the banking services offered through our platform, such as opening and maintaining member bank accounts, issuing Chime-branded debit and credit cards, and providing short term loans to our members to support the liquidity products offered through our platform. Our relationships with our bank partners are a crucial part of our business as we do not have a banking license.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and have auto-renewed for an additional one-year term.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between banks and financial technology companies have been the subject of increased and evolving scrutiny from regulators and legislators in past years. Federal banking regulators, in some cases, have required increased oversight by banks of their partners or restricted banks’ ability to offer or expand programs. While more recent public statements by federal banking regulators acknowledge the benefits of bank fintech partnerships, federal banking regulators retain broad supervisory and enforcement authority of the bank partnership model. Federal banking regulators also retain the authority to make changes to the regulatory framework governing bank fintech partnerships, which,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Further, some state attorneys general have expressed increased skepticism toward, and in some cases hostility to, bank-fintech partnership models, particularly where fintech companies provide banking-like products and services directly to consumers, asserting that such arrangements may be inconsistent with consumer protection and may create regulatory compliance and risk-management challenges for bank partners. The potential for increased regulatory scrutiny may cause our current bank partners to reassess their partnerships with us and may deter new potential bank partners from entering a partnership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interchange fee rates or limitations or classification of transaction types, whether due to actions by the card networks or merchants, changes in legislation or regulation, or judicial decisions or settlements, may adversely affect our competitive position and reduce the payments revenue we generate, require us to change our business practices,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adoption of our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outbound instant transfers are processed by TabaPay, Inc., a third-party instant money movement platform; and we currently host our platform and support our operations using Amazon Web Services, a third-party provider of cloud infrastructure services. Historically, transactions have been processed by Galileo Financial Technologies, LLC (“Galileo”), a third-party payment processor. However, as of the end of 2025, we have transitioned our members’ transactions to being processed by ChimeCore. See the risk factor titled “Member transactions are now processed through ChimeCore. Any problems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card networks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significant net losses and we may not be able to achieve or maintain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incurred net losses of $1,009.9 million, $25.3 million and $203.2 million.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our IPO, stock-based compensation expense related to existing RSUs and other outstanding equity awards, and those to be awarded in the future has resulted in and will continue to result in increases in our expenses in future periods. As of December 31, 2025, we had $461.1 million of unrecognized stock-based compensation expense related to RSUs and other outstanding equity awards expected to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adequate revenue growth to exceed our expenditures, we may continue to incur losses in the future and may not be able to achieve or maintain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fluctuate from period-to-period, which may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and quarterly revenue, results of operations, and other key metrics have fluctuated significantly in the past and may vary significantly in the future due to a variety of factors, many of which are outside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other risks described in this “Risk Factors” section, factors that may cause our results of operations to fluctuate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Active Members’ use of our products, including their use of Chime-branded debit or credit cards to pay for goods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increase use and adoption of existing and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relationships with our bank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card networks to set interchange fees and the amount of such interchange fees that is remitted to Chime and our bank partners under our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or respond to changes in the competitive landscape;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products to address the market for financial services and 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investments in growth, including in our technology platform and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detect and mitigate fraudulent activity on our platform and mitigate the risk of credit decisions that result in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of liquidity products offered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vesting and settlement of equity awards, including any cash used to remit taxes on behalf of employees in connection with net share settlement of RSUs and PSUs, and the recognition of stock-based compensation expense;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efficiently complete or integrate any acquisitions or other strategic transactions that we may undertake;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third-party service providers for critical infrastructure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interruptions, delays in service, catastrophic events, and resulting interruptions in the availability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data breaches, malware, and other security or hacking incidents, or human error in administering our software and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risk management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regulatory scrutiny and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including consumer class action lawsuits, intellectual property claims, government investigations or inquiries, and regulatory fines, penalties, or disputes;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effective tax 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industry,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and intense competition in our industry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not function as intended due to errors in our software, systems, or processes, or human error in administering these systems or processes, which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System failures and interruptions in the availability of our platform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breaches, malware, and other security or hacking incidents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breaches, malware, and other security or hacking incidents have become more prevalent across industries and may occur on our systems or the systems of our bank partners, our third-party developers, and our third-party service providers or suppliers. Additionally, due to the proliferation and increased use of generative and agentic AI, many existing threats have become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Issues in the development and use of AI and ML, combined with an uncertain legal and regulatory environment, may harm our brand, cause us to incur liabilities,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including our employees,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a limited number of third-party AI-model providers and cloud platforms; any service interruption, change in license terms, or reduction in their training-data access could disrupt our products, require costly re-engineering, or expose us to claims of infringement. Furthermore, failures affecting our third-party AI-model providers and cloud platforms, attacks that exploit AI-specific vulnerabilities, or the misconfiguration or failure to implement effective controls within such models and platforms could result in the unauthorized access to data, inadvertent disclosure of data, or service interruptions.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products offered through our platform expose us to financial losses which may adversely affect our business, financial condition, and results of operations. For example, liquidity products such as SpotMe, MyPay, and Instant Loans, subject us to risk of loss if a member borrows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scale the liquidity products offered through our platform, we expect our transaction and risk losses will increase. For example, our transaction and risk losses increased in 2025, the first full year following the launch of MyPay, which negatively impacted our transaction margin. As MyPay continues to scale and as we expand the liquidity products offered through our platform, including Instant Loans, we expect that transaction margin will remain flat or decrease further in the near term compared to the first quarter of 2025.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risks associated with transaction disputes in connection with our members’ payment card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Fraudulent activity associated with our products may cause the use and acceptance of our products to decrease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and agentic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investigations, censures, disruption of business activities, or penalties, and potentially prevent us from satisfying our contractual obligations to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there are a number of third parties involved in processing transactions, including card networks,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if our risk management framework does not effectively identify, assess, and mitigate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transactions are now processed through ChimeCore, our proprietary payment processor and ledger. Any problems with ChimeCore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will continue to make substantial investments in ChimeCore, our proprietary payment processor and ledger, which launched in 2024. ChimeCore now processes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We have completed the migration of accounts and existing products to ChimeCore, but we cannot provide assurances regarding the future success of this full transition to ChimeCore.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in part on the experience and expertise of our Co-Founders, senior management team, and key technical employees, and the loss of any such key employee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continued service of Christopher Britt, our Co-Founder, Chairman, and Chief Executive Officer, and Ryan King, our Co-Founder and a member of our board of directors, as well as our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retain or motivate key personnel, hire qualified personnel, or maintain our corporate culture,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recent rapid growth may not be indicative of future growth, and we may not be able to manage our growth effectively,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a number of risks related to our strategic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Acquisitions involve numerous risks, any of which may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may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expenses, delays, or conditions imposed upon the acquisition or transaction, including due to required regulatory approvals or consents, or fees that may be triggered upon a failure to consummate an acquisition or transaction for certain reasons;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retain and obtain required regulatory approvals, licenses, and permits;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incurrence of debt or dilution related to equity issuances in connection with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address the foregoing risks or other problems encountered in connection with past or future acquisitions of businesses, new technologies, services, and other assets, strategic investments, and other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transactions, or if we fail to successfully integrate such acquisitions or investments,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Regulatory and Legal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the Federal Reserve Board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laws or regulations by us, our bank partners, or other third parties may subject us to a wide array of consequences, including investigations, sanctions, enforcement actions, disgorgement of unjust enrichment,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lawmakers, regulators and other public officials include interchange fee regulation, program monetization (including interest and fee structures and voluntary tipping by consumers), bank partnership supervision and regulation, earned wage access, disclosures, and the risks posed to consumers by digital-only financial services companies, including with respect to access to accounts, account closures, accuracy of account records, service interruptions, privacy and data protection concerns, fraud, and data breaches. Regulators and lawmakers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laws or regulations related to interchange fees may be enacted. For example, in 2024 Illinois enacted the Interchange Fee Prohibition Act (“IFPA”), which, among other things, prohibits card issuers, card networks, and other entities from receiving interchange fees from or charging a merchant on the portion of a card transaction that is attributable to taxes or gratuities. The IFPA is expected to be effective on July 1, 2026, and if it or legislation regulating interchange fees in other jurisdictions goes into effect, then revenue from interchange-based fees that we derive from transactions subject to such legislation may be harmed. Further, complying with a patchwork of state laws governing interchange fees may create compliance burdens for our bank partners and us,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w:t>
      </w:r>
      <w:r>
        <w:rPr>
          <w:color w:val="000000"/>
          <w:shd w:fill="FFFFFF" w:val="clear"/>
        </w:rPr>
        <w:t xml:space="preserve"> </w:t>
      </w:r>
      <w:r>
        <w:rPr>
          <w:rFonts w:ascii="Times New Roman;serif" w:hAnsi="Times New Roman;serif"/>
          <w:b w:val="false"/>
          <w:color w:val="000000"/>
          <w:sz w:val="20"/>
          <w:shd w:fill="FFFFFF" w:val="clear"/>
        </w:rPr>
        <w:t>by each of our bank partners in an omnibus account (a deposit account established for the benefit of multiple beneficial owners) on their books for the benefit of our members</w:t>
      </w:r>
      <w:r>
        <w:rPr>
          <w:rFonts w:ascii="Times New Roman;serif" w:hAnsi="Times New Roman;serif"/>
          <w:b w:val="false"/>
          <w:color w:val="000000"/>
          <w:sz w:val="20"/>
        </w:rPr>
        <w:t>,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through contractual obligations to our bank partners in connection with these programs, we are subject to evolving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CFPB has significant authority to regulate consumer financial services, and there is uncertainty as to how the agency’s actions or the actions of any other agency may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CFPB changes or modifies federal consumer financial protection regulations under its rulemaking authority, modifies past regulatory guidance or prior interpretations, or interprets existing regulations in a different or stricter manner than prior interpretations by us, the industry, or other regulators, our compliance costs and litigation exposure may increase materially. For example, regulatory guidance is currently uncertain and still evolving and there are not well-established regulatory norms for establishing compliance with respect to the application of the ECOA and Regulation B to credit risk models that rely upon alternative variables and ML. Evolving views regarding the use of AI and ML in providing financial services functions, such as assessing credit risk or providing member support, may result in the CFPB taking actions that result in requirements to alter impacted financial products, making them less attractive and restricting our ability to offer them, or to cease offering access to such financial products entirely.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 (iv) 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principles of federal preemption, the terms and conditions of the loans originated by banks such as our bank partners are based on the authority given to national banks and the maximum permitted rates for a “most favored lender” in the state from which the bank originates the loan. Additionally, through either federal preemption or express statutory exemptions, bank-originated loans typically are not subject to state consumer finance rate and fee restrictions, and also,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additional laws and regulations as we introduce new products or update our platform,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bank partners operate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found to be operating without having obtained necessary state or local licenses,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states have adopted laws regulating and requiring licensing or registration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is unclear. In addition, state and local licensing requirements may evolve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Certain of our information processing activities are subject to requirements of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deletion,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Chime Financial, Inc. does not currently engage as a business in the transfer of funds and is not a “money services business” or otherwise subject to anti-money-laundering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software and other proprietary works of authorship may be protected under copyright laws, we have not registered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AI tools by employees may unintentionally upload or reveal our confidential information to third-party AI providers, which could disclose trade secrets and weaken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and agentic AI impact the industries in which we operate, we face a higher risk of being the subject of such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obligations, or take other remedial actions,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Tax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substantial indebtedness and any failure to meet our debt obligations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contains restrictive covenants that may limit our operating flexibility,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may not be available to us on acceptable terms, if at all,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Chime Card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w:t>
      </w:r>
      <w:r>
        <w:rPr>
          <w:rFonts w:ascii="Times New Roman;serif" w:hAnsi="Times New Roman;serif"/>
          <w:b w:val="false"/>
          <w:color w:val="000000"/>
          <w:sz w:val="20"/>
        </w:rPr>
        <w:t>Nasdaq Global Select Market</w:t>
      </w:r>
      <w:r>
        <w:rPr>
          <w:rFonts w:ascii="Times New Roman;serif" w:hAnsi="Times New Roman;serif"/>
          <w:b w:val="false"/>
          <w:color w:val="000000"/>
          <w:sz w:val="20"/>
          <w:shd w:fill="FFFFFF" w:val="clear"/>
        </w:rPr>
        <w: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metrics and other figures presented herein, and real or perceived inaccuracies in such metrics may adversely affect our brand and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on our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our common stock prior to our initial public offering.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may increase our effective tax rate or cash tax payments, which may adversely affect our business, financial condition, and results of operations. For example, in 2022, the Inflation Reduction Act was enacted in the United States, which introduced, among its provisions, a minimum corporate income tax on certain large corporations and an excise tax of 1% on certain share repurchases by publicly-traded corporations. Although we do not anticipate the corporate minimum income tax will currently apply to us, changes in our business and any future regulations or other guidance on the interpretation and application of the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 the past recorded, and may in the future record, significant valuation allowances on our deferred tax assets, which may have a material impact on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or other tax attributes to offset future taxable income or tax liabilities may be subject to certain limitations,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December 31, 2025, we had approximately $1,123.4 million</w:t>
      </w:r>
      <w:r>
        <w:rPr>
          <w:color w:val="000000"/>
          <w:shd w:fill="FFFFFF" w:val="clear"/>
        </w:rPr>
        <w:t xml:space="preserve"> </w:t>
      </w:r>
      <w:r>
        <w:rPr>
          <w:rFonts w:ascii="Times New Roman;serif" w:hAnsi="Times New Roman;serif"/>
          <w:b w:val="false"/>
          <w:color w:val="000000"/>
          <w:sz w:val="20"/>
        </w:rPr>
        <w:t xml:space="preserve">and $994.7 million 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and Macroeconomic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deterioration of macroeconomic conditions may adversely affect our members,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social and governance (“ESG”) issues may harm our brand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by natural disasters, public health crises, political crises, or other unexpected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December 31, 2025, Christopher Britt, our Co-Founder, Chairman, and Chief Executive Officer, held approximately 34.2% of the voting power of our outstanding capital stock; and Ryan King, our Co-Founder and a member of our board of directors, held approximately 30.8%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December 31, 2025, Messrs. Britt and King would hold approximately 39.7% and 34.1% of the voting power of our outstanding capital stock. These future issuances of our Class B common stock will further dilute the voting power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 </w:t>
      </w:r>
      <w:r>
        <w:rPr>
          <w:rFonts w:ascii="Times New Roman;serif" w:hAnsi="Times New Roman;serif"/>
          <w:b w:val="false"/>
          <w:color w:val="000000"/>
          <w:sz w:val="20"/>
          <w:shd w:fill="FFFFFF" w:val="clear"/>
        </w:rPr>
        <w:t>Any future issuances of additional shares of Class B common stock will not be subject to approval by our stockholders except for our Co-Founders and as required by the Nasdaq listing rules.</w:t>
      </w:r>
      <w:r>
        <w:rPr>
          <w:color w:val="000000"/>
        </w:rPr>
        <w:t xml:space="preserve"> </w:t>
      </w:r>
      <w:r>
        <w:rPr>
          <w:rFonts w:ascii="Times New Roman;serif" w:hAnsi="Times New Roman;serif"/>
          <w:b w:val="false"/>
          <w:color w:val="000000"/>
          <w:sz w:val="20"/>
        </w:rPr>
        <w:t xml:space="preserve">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multi-class structure of our common stock may adversely affect the trading market for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may lose all or part of your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 including fluctuations due to general economic uncertainty or negative market sentiment;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market and trading volumes of technology and financial services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operating performance and stock market valuations of other technology or financial services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lock-up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significant data breaches involving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or non-financial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data published about us or other companies in our industry, whether or not such data is accurate;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shares of our Class A common stock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repurchases or expectations with respect to repurchases of our Class A common stock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Class A common stock or related derivative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issuance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regulatory action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or similar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such as war, incidents of terrorism, pandemics, or responses to such events;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certain stockholders are entitled, under our amended and restated investors’ rights agreement,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issuance of additional stock in connection with financings, acquisitions, investments, our equity incentive plans, or otherwise will dilute all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Repurchases of shares of our Class A Common Stock could also increase the volatility of the trading price of our Class A Common Stock and could diminish our cash reserves.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a share repurchase program to repurchase up to $200.0 million of our outstanding shares of Class A common stock. Under this program, repurchases may be made from time to time through open market purchases, in privately negotiated transactions, or by other means, including through the use of trading plans intended to qualify under Rule 10b5-1 under the Exchange Act, in accordance with applicable securities laws. Open market repurchases may be structured to occur in accordance with the requirements of Rule 10b-18 of the Exchange Act. The share repurchase program does not have a fixed expiration date, may be suspended or discontinued at any time, and does not obligate us to acquire any amount of Class A common stock. The timing, manner, and amount of any repurchases will depend on a variety of factors, including legal requirements, price, economic and market conditions and other considerations. In addition, the United States imposes a 1% excise tax on certain stock repurchases, which may increase the costs associated with repurchasing shares of our Class A common stock. We cannot guarantee that the share repurchase program will be fully consummated or that it will enhance long-term stockholder value. The share repurchase program could also affect the trading price of our Class A common stock and increase volatility, and any announcement of a reduction, suspension or termination of the program may result in a decrease in the trading price of our Class A common stock. In addition, repurchasing shares of our Class A common stock could diminish our cash and cash equivalents and marketable securities available to fund working capital, repayment of debt, capital expenditures, strategic acquisitions, investments, or business opportunities, and other general corporate purposes.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may make a merger, tender offer, or proxy contest difficult, thereby depressing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amendments to our amended and restated certificate of incorporation that require stockholder approval will require the affirmative vote of the holders of at least a majority of the voting power of the outstanding shares of our capital stock entitled to vote generally in the election of directors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special meeting of our stockholders will only be able to be called by a majority of our entire board of directors, the chairman of our board of directors, our Chief Executive Officer, or our president;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allows stockholders to remove directors only for cause;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authorizes undesignated preferred stock, the terms of which may be established and shares of which may be issued by our board of directors, without further action by our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policies and processes for assessing, identifying, and managing risk from cybersecurity threats, and have integrated these processes into our overall risk management systems and processes. While no organization can eliminate cybersecurity risk entirely, these processes are designed to identify, assess, and manage cybersecurity risks. We assess risks from cybersecurity threats, including potential unauthorized occurrences on or conducted through our information systems that may result in adverse effects on the confidentiality, integrity, or availability of our information systems or information residing therein. Such assessments are conducted on a periodic and risk-based basis, including at least annually and take into account changes in our business, technology, or threat landscape. We have also implemented a cybersecurity incident response plan that includes procedures for assessing, managing, and otherwise responding to cybersecurity incidents.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periodic risk assessments to identify cybersecurity threats, including in connection with material changes to our business practices that may affect our information systems. These risk assessments include consideration of reasonably foreseeable internal and external risks, the potential impact of such risks, and the sufficiency of existing safeguards in place to manage such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these risk assessments, we may implement or modify reasonable safeguards to address identified risks, as appropriate, and monitor the effectiveness of such safeguards. Decisions regarding the nature and timing of any actions are informed by risk considerations and operational factors. We designate senior personnel, including our Chief Security Officer and Chief Information Officer (“CISO”), to oversee aspects of the risk assessment and mitigation process. These efforts are coordinated with other functions, including technology, risk management, legal, and compliance, as appropriate.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overall risk management system, we provide cybersecurity awareness training to our employees. Personnel at all levels and departments are made aware of our cybersecurity policies through trainings. We may require additional or more tailored cybersecurity training for certain employees based on their specific job responsibilities. We may also conduct testing and exercises relating to our safeguards.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third-party service providers, including consultants and auditors, from time to time in connection with our risk assessment processes. We also maintain processes to identify and assess cybersecurity risks associated with our use of third-party service providers. As appropriate based on risk, our contracts with certain third-party service providers include provisions relating to information security measures and incident reporting in accordance with contractual requirements and applicable law regarding any suspected breach of security measures that may affect our company. We maintain designated points of contact for third-party service providers to report cybersecurity incidents or suspected security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not experienced cybersecurity incidents that have materially affected our business, strategy, results of operations, or financial condition.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One of the key functions of our board of directors (“Board”) is oversight of our risk management process, including risks from cybersecurity threats. The Board’s role is one of oversight, while management is responsible for the day-to-day management of cybersecurity risks. Our Board retains ultimate oversight responsibility for our risk management framework, including risks from cybersecurity threats, and has delegated primary oversight of cybersecurity risk matters to the Audit and Risk Committee (“Audit Committee”). Members of the Audit Committee receive periodic updates from management, including from our CISO, regarding cybersecurity risks,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CISO is responsible for overseeing our information security program and for assessing and managing material cybersecurity risks, in coordination with relevant internal teams. Our CISO has experience in information security and related fields, including leadership roles overseeing security programs for complex, regulated technology environments. We have a cybersecurity incident response team and a cybersecurity incident response plan that outlines the roles and responsibilities of key personnel, including representatives from relevant functions that may be involved in responding to, remediating and escalating such incidents. The involvement of particular personnel may vary depending on the nature and severity of an incident. Our CISO oversees our cybersecurity policies and processes, including those described in “Risk Management and Strategy”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CISO provides information to the Audit Committee regarding our company’s cybersecurity risks and activities, including recent cybersecurity incidents and related responses, as appropriate. The Audit Committee, in turn, reports to the Board regarding its cybersecurity oversight activities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corporate headquarters is located in San Francisco, California, where we currently lease approximately 201,898 square feet under a lease agreement that expires in 2032. We lease or license additional offices in the United States, including in Chicago, Illinois and New York, New York. We do not own any real property. We believe that these facilities are suitable to meet our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December 31, 2025 and December 31, 2024, the Company does not expect any claims with a reasonably possible adverse outcome to have a material impact to the Company, and accordingly, has not accrued for any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Market Information for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trades on the Nasdaq Stock Market LLC exchange under the symbol “CHYM” since June 12, 2025. Our Class B common stock and Class C common stock are not listed or traded on any stock exchange.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Holders of Record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approximately 183 stockholders of record of our Class A common stock, 21 stockholders of record of our Class B common stock, and no stockholders of record of our Class C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nor paid any cash dividends on our capital stock. We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on our Class A common stock with the cumulative total return of the Nasdaq Composite Index and the S&amp;P North American Technology Index. The graph assumes (i) that $100 was invested at the market close on June 12, 2025, the date that our Class A common stock commenced trading on the Nasdaq Global Select Market, in each of our Class A common stock, the Nasdaq Composite Index and the S&amp;P North American Technology Index and (ii) reinvestment of gross dividends. The graph uses the closing market price on June 12, 2025 of $37.11 per share as the initial value of our Class A common stock. The stock price performance shown in the graph represents past performance and should not be considered an indication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180" w:after="180"/>
        <w:jc w:val="center"/>
        <w:rPr/>
      </w:pPr>
      <w:r>
        <w:rPr/>
      </w:r>
    </w:p>
    <w:p>
      <w:pPr>
        <w:pStyle w:val="TextBody"/>
        <w:bidi w:val="0"/>
        <w:spacing w:before="0" w:after="180"/>
        <w:jc w:val="center"/>
        <w:rPr/>
      </w:pPr>
      <w:r>
        <w:rPr/>
        <w:drawing>
          <wp:inline distT="0" distB="0" distL="0" distR="0">
            <wp:extent cx="4572000" cy="3371850"/>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4572000" cy="3371850"/>
                    </a:xfrm>
                    <a:prstGeom prst="rect">
                      <a:avLst/>
                    </a:prstGeom>
                  </pic:spPr>
                </pic:pic>
              </a:graphicData>
            </a:graphic>
          </wp:inline>
        </w:drawing>
      </w:r>
      <w:bookmarkStart w:id="1" w:name="i-2"/>
      <w:bookmarkEnd w:id="1"/>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January 1, 2025 to (but not including) June 12, 2025 (the date of the filing of our Registration Statement on Form S-8), we granted an aggregate of 17,039,574 RSUs, including performance-based and market-based PSUs, under our 2012 Equity Incentive Plan to our employees to be settled in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we exchanged a total of 32,182,289 shares of Class A common stock held by Christopher Britt, our co-founder, Chairman, and Chief Executive Officer; Ryan King, our co-founder and a member of our board of directors; and certain related entities for an equivalent number of shares of Class B common stock pursuant to the terms of certain exchange agreements. No additional consideration was paid in connection with the exchange. We believe the offers, sales, and issuances of the above securities were exempt from registration under the Securities Act pursuant to Section 3(a)(9) of the Securities Act because our securities were exchanged by us with our existing security holders exclusively where no commission or other remuneration was paid or given directly or indirectly for soliciting such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initial public offering of our Class A common stock was effected pursuant to a Registration Statement on Form S-1 (File No. 333-287223) which was declared effective by the SEC on June 11, 2025. There has been no material change in the planned use of proceeds from our initial public offering as described in our Registration Statement and other periodic reports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relating to repurchases of our equity securities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583"/>
        <w:gridCol w:w="376"/>
        <w:gridCol w:w="380"/>
        <w:gridCol w:w="109"/>
        <w:gridCol w:w="109"/>
        <w:gridCol w:w="109"/>
        <w:gridCol w:w="740"/>
        <w:gridCol w:w="449"/>
        <w:gridCol w:w="451"/>
        <w:gridCol w:w="109"/>
        <w:gridCol w:w="109"/>
        <w:gridCol w:w="109"/>
        <w:gridCol w:w="276"/>
        <w:gridCol w:w="807"/>
        <w:gridCol w:w="142"/>
        <w:gridCol w:w="109"/>
        <w:gridCol w:w="109"/>
        <w:gridCol w:w="109"/>
        <w:gridCol w:w="930"/>
        <w:gridCol w:w="688"/>
        <w:gridCol w:w="690"/>
        <w:gridCol w:w="109"/>
        <w:gridCol w:w="109"/>
        <w:gridCol w:w="109"/>
        <w:gridCol w:w="421"/>
        <w:gridCol w:w="1649"/>
        <w:gridCol w:w="315"/>
      </w:tblGrid>
      <w:tr>
        <w:trPr/>
        <w:tc>
          <w:tcPr>
            <w:tcW w:w="58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Program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(1)</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October 1, 2025 to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November 1, 2025 to November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December 1, 2025 to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3,738,698 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3,738,698 </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In November 2025, our board of directors approved a share repurchase program with authorization to purchase up to $200.0 million of our Class A common stock at management’s discretion.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have a fixed expiration date, does not obligate us to repurchase any particular amount of Class A common stock, and may be suspended or discontinued at any time at our discretion without prior notice, subject to all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[REMOVED AND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section presents management’s perspective on our financial condition and results of operations. The following discussion and analysis is intended to highlight and supplement data and information presented elsewhere in this Annual Report on Form 10-K, and should be read in conjunction with our consolidated financial statements and notes elsewhere in this Annual Report.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nearly 75% of the adult population that earn up to $100,000 annually,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the most critical financial needs of everyday people across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broad suite of products, we have built trusted relationships with 9.5 million Active Members as of December 31, 2025. The majority of our Active Members rely on Chime to serve as their primary financial relationship, which we believe are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we closed our IPO of 36,800,000 shares of Class A common stock at a public offering price of $27.00. 30,700,765 shares of Class A common stock were sold by us, including 4,800,000 shares pursuant to the exercise of the option granted to the underwriters to purchase additional shares, and 6,099,235 shares of Class A common stock were sold by selling stockholders. We received net proceeds from the IPO of $770.6 million after deducting underwriting discounts and offering costs. In connection with the IPO, 32,182,289 shares of our Class A common stock owned by Christopher Britt, our co-founder, Chief Executive Officer and Chairman, and Ryan 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co-founder and a member of our board of directors (our “Co-Founders”) and their related entities were exchanged for an equivalent number of shares of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Metrics and 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several operating and financial metrics, including the key metrics set forth below, to help us evaluate our business and growth trends, establish budgets, evaluate the effectiveness of our investments, and assess 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Metrics</w:t>
      </w:r>
    </w:p>
    <w:tbl>
      <w:tblPr>
        <w:tblW w:w="8893" w:type="dxa"/>
        <w:jc w:val="left"/>
        <w:tblInd w:w="0" w:type="dxa"/>
        <w:tblLayout w:type="fixed"/>
        <w:tblCellMar>
          <w:top w:w="28" w:type="dxa"/>
          <w:left w:w="28" w:type="dxa"/>
          <w:bottom w:w="28" w:type="dxa"/>
          <w:right w:w="28" w:type="dxa"/>
        </w:tblCellMar>
      </w:tblPr>
      <w:tblGrid>
        <w:gridCol w:w="1599"/>
        <w:gridCol w:w="1407"/>
        <w:gridCol w:w="141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Volume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Active Members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Average Revenue per Active Member (ARPAM)</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(1)Presented as of the fourth quarter of each year.</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sending or receiving funds with Pay Anyone, outbound instant transfers, and other types of ACH or direct debit transfers. Purchase Volume exhibits seasonality, most prominently in the first quarter of each year due to increased spending following our members’ receipt of tax refunds. </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Active Members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a MyPay advance.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Average Revenue per Active Member (“ARPAM”)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prepared and presented in accordance with GAAP, we use certain non-GAAP financial measures, as described below, to facilitate analysis of our financial trends and for internal planning and forecasting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transaction profit, transaction margin, adjusted EBITDA, and adjusted EBITDA margin in conjunction with GAAP measures to evaluate our operating performance, formulate business plans, prepare budgets and forecasts, and make strategic decisions.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Profit and Transaction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to transaction profit:</w:t>
      </w:r>
    </w:p>
    <w:tbl>
      <w:tblPr>
        <w:tblW w:w="8508" w:type="dxa"/>
        <w:jc w:val="left"/>
        <w:tblInd w:w="0" w:type="dxa"/>
        <w:tblLayout w:type="fixed"/>
        <w:tblCellMar>
          <w:top w:w="28" w:type="dxa"/>
          <w:left w:w="28" w:type="dxa"/>
          <w:bottom w:w="28" w:type="dxa"/>
          <w:right w:w="28" w:type="dxa"/>
        </w:tblCellMar>
      </w:tblPr>
      <w:tblGrid>
        <w:gridCol w:w="1231"/>
        <w:gridCol w:w="1083"/>
        <w:gridCol w:w="1090"/>
        <w:gridCol w:w="109"/>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695"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1,923,723 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1,465,758 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152,375 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1,516,400 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1,246,071 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906,343 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Adjusted EBITDA and Adjusted EBITDA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We have also made an adjustment for one-time costs associated with ceasing the use of our third-party payment processor.</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EBITDA for each of the periods indicated:</w:t>
      </w:r>
    </w:p>
    <w:tbl>
      <w:tblPr>
        <w:tblW w:w="9307" w:type="dxa"/>
        <w:jc w:val="left"/>
        <w:tblInd w:w="0" w:type="dxa"/>
        <w:tblLayout w:type="fixed"/>
        <w:tblCellMar>
          <w:top w:w="28" w:type="dxa"/>
          <w:left w:w="28" w:type="dxa"/>
          <w:bottom w:w="28" w:type="dxa"/>
          <w:right w:w="28" w:type="dxa"/>
        </w:tblCellMar>
      </w:tblPr>
      <w:tblGrid>
        <w:gridCol w:w="1530"/>
        <w:gridCol w:w="1347"/>
        <w:gridCol w:w="1352"/>
        <w:gridCol w:w="109"/>
        <w:gridCol w:w="109"/>
        <w:gridCol w:w="109"/>
        <w:gridCol w:w="109"/>
        <w:gridCol w:w="109"/>
        <w:gridCol w:w="196"/>
        <w:gridCol w:w="946"/>
        <w:gridCol w:w="256"/>
        <w:gridCol w:w="109"/>
        <w:gridCol w:w="109"/>
        <w:gridCol w:w="109"/>
        <w:gridCol w:w="196"/>
        <w:gridCol w:w="721"/>
        <w:gridCol w:w="256"/>
        <w:gridCol w:w="109"/>
        <w:gridCol w:w="109"/>
        <w:gridCol w:w="109"/>
        <w:gridCol w:w="196"/>
        <w:gridCol w:w="811"/>
        <w:gridCol w:w="301"/>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635" w:type="dxa"/>
            <w:gridSpan w:val="6"/>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(1,009,936)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(203,202)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Certain legal and regulatory charges</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Third-party processor termination costs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(2)Relates to the CFPB Consent Order and related redress payments and the DFPI Consent Order.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one-time costs incurred in connection with ceasing the use of our third-party payment processor.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 Interchange fees are generally determined as a percentage of the underlying transaction value plus a fixed amount per transaction based upon rates set by the card networks.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we contract with our bank partners to provide Chime members with access to deposit products and services such as full-featured, FDIC-insured checking accounts, debit cards, and secured credit cards.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earn platform-related revenue from other products offered to our members that provide additional convenience, financial management tools, and access to liquidity. </w:t>
      </w:r>
      <w:r>
        <w:rPr>
          <w:rFonts w:ascii="Times New Roman;serif" w:hAnsi="Times New Roman;serif"/>
          <w:b w:val="false"/>
          <w:color w:val="000000"/>
          <w:sz w:val="20"/>
        </w:rPr>
        <w:t>These products include MyPay, ATMs, outbound instant transfers, third-party partnerships, SpotMe, cash deposits, Instant Loans, and high-yield savings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over 45,000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Outbound instant transfers allow members to instantly transfer funds from their Chime account to an external account at a fixed rate. Revenue is recognized at a point in time on a gross basis when the transfer of funds is settled.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SpotMe is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Instant Loans product allows members to borrow funds that are repaid in equal installments over a set period of time. Instant loans have a fixed interest rate with no late fees or compound interest. Our bank partner is the legal lender of the Instant Loan product. We earn revenue related to Instant Loans based on the interest charged to members, net of fees paid to the bank partner, at an amount that approximates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high-yield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include expenses relating to the our third-party and internally-developed payment processors. Through November 2025, we relied on a third-party processor to perform transaction authorization, settlement, payments, adjustments, and other account-level processing, as well as to maintain member account information and provide transaction reporting. Fees paid to the third-party processor were generally based on a fixed amount per transaction, subject to volume-based discounts. In November 2025, we completed our migration to ChimeCore, our proprietary payment processor and ledger. Costs associated with ChimeCore primarily include hosting and software-related expenses. Transaction processing and bank partner costs also include amortization of internal-use software related to supporting revenue-generating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in which the percentage generally decreases with scale.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card and ATM networks for providing the worldwide networks through which card payment, ATM transactions, and other money movements such as inbound and outbound transfers are authorized, processed, and settled. These fees are generally based on Purchase Volume, the total number of transactions in the period, and other money movement volume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will be impacted by our growth as well as our ability to drive efficiencies in transaction processing and bank partner costs, including through our transition of transaction processing to ChimeCore, as well as card and ATM costs, net of incentives. In absolute dollars, we expect that cost of revenue will fluctuate from period to period in the near term and increase in the long term. As a percentage of revenue, we expect cost of revenue will fluctuate from period to period in the near term and stabilize in the long term as we scale.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consists of our total revenue minus total cost of revenue.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primarily consist of losses relating to liquidity products both on- and off-balance sheet, overdrawn member accounts, and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relating to our off-balance sheet receivables that are retained by bank partners and relate to MyPay, Instant Loans,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relating to MyPay receivables we purchase, which are reflected on our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dispute losses result from member-initiated disputes with merchants or due to processing fraudulent transactions. We estimate the provision for transaction dispute losses each period based on current period data points and historical trends related to loss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transaction and risk losses will be impacted by the expansion of existing liquidity products and the introduction of new liquidity products offered through our platform. Following the launch of MyPay in 2024 and Instant Loans in 2025, our transaction and risk losses have increased. In absolute dollars, we expect that transaction and risk losses will fluctuate from period to period in the near term and increase in the long term. As a percentage of revenue, we expect that transaction and risk losses will fluctuate from period to period in the near term and in the long term.</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we use for certain member support and loss prevention services, the costs of physical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member support and operations expenses will fluctuate from period to period in the near term and increase in the long term as we continue to grow our Active Member base. As a percentage of revenue, we expect that member support and operations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general marketing and promotional activities, including advertising costs associated with the production and communication of advertisements in various media outlets, referral bonuses given to prospective and existing members with certain qualifying conditions, and other promotional activities. Sales and marketing expenses also include personnel-related expenses including salaries, employee benefit costs, and stock-based compensation for employees engaged in sales and marketing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sales and marketing expenses will generally increase from period to period in the near term and increase in the long term as we continue to invest in member acquisition. As a percentage of revenue, we expect that sales and marketing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technology and development expenses will generally increase from period to period in the near term and increase in the long term as we continue to make investments in product innovation. As a percentage of revenue, we expect that technology and development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general and administrative expenses will generally increase from period to period in the near term and increase in the long term. As a percentage of revenue, we expect that general and administrative expenses will fluctuate from period to period in the near term and decrease in the long term as we scale.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amortization of our capitalized software and depreciation on our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our cash and cash equivalents and marketable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911"/>
        <w:gridCol w:w="1552"/>
        <w:gridCol w:w="1564"/>
        <w:gridCol w:w="109"/>
        <w:gridCol w:w="109"/>
        <w:gridCol w:w="109"/>
        <w:gridCol w:w="109"/>
        <w:gridCol w:w="109"/>
        <w:gridCol w:w="211"/>
        <w:gridCol w:w="1020"/>
        <w:gridCol w:w="109"/>
        <w:gridCol w:w="109"/>
        <w:gridCol w:w="109"/>
        <w:gridCol w:w="109"/>
        <w:gridCol w:w="211"/>
        <w:gridCol w:w="976"/>
        <w:gridCol w:w="109"/>
        <w:gridCol w:w="109"/>
        <w:gridCol w:w="109"/>
        <w:gridCol w:w="109"/>
        <w:gridCol w:w="211"/>
        <w:gridCol w:w="976"/>
        <w:gridCol w:w="156"/>
      </w:tblGrid>
      <w:tr>
        <w:trPr/>
        <w:tc>
          <w:tcPr>
            <w:tcW w:w="191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236,270,347 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64,910,056 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63,104,219 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depreciation and amortization includes amounts as follows:</w:t>
      </w:r>
    </w:p>
    <w:tbl>
      <w:tblPr>
        <w:tblW w:w="8352" w:type="dxa"/>
        <w:jc w:val="left"/>
        <w:tblInd w:w="0" w:type="dxa"/>
        <w:tblLayout w:type="fixed"/>
        <w:tblCellMar>
          <w:top w:w="28" w:type="dxa"/>
          <w:left w:w="28" w:type="dxa"/>
          <w:bottom w:w="28" w:type="dxa"/>
          <w:right w:w="28" w:type="dxa"/>
        </w:tblCellMar>
      </w:tblPr>
      <w:tblGrid>
        <w:gridCol w:w="1580"/>
        <w:gridCol w:w="1390"/>
        <w:gridCol w:w="1394"/>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in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as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include stock-based compensation and related payroll tax as follows:</w:t>
      </w:r>
    </w:p>
    <w:tbl>
      <w:tblPr>
        <w:tblW w:w="8757" w:type="dxa"/>
        <w:jc w:val="left"/>
        <w:tblInd w:w="0" w:type="dxa"/>
        <w:tblLayout w:type="fixed"/>
        <w:tblCellMar>
          <w:top w:w="28" w:type="dxa"/>
          <w:left w:w="28" w:type="dxa"/>
          <w:bottom w:w="28" w:type="dxa"/>
          <w:right w:w="28" w:type="dxa"/>
        </w:tblCellMar>
      </w:tblPr>
      <w:tblGrid>
        <w:gridCol w:w="1646"/>
        <w:gridCol w:w="1447"/>
        <w:gridCol w:w="1451"/>
        <w:gridCol w:w="109"/>
        <w:gridCol w:w="109"/>
        <w:gridCol w:w="109"/>
        <w:gridCol w:w="109"/>
        <w:gridCol w:w="196"/>
        <w:gridCol w:w="871"/>
        <w:gridCol w:w="109"/>
        <w:gridCol w:w="109"/>
        <w:gridCol w:w="109"/>
        <w:gridCol w:w="109"/>
        <w:gridCol w:w="196"/>
        <w:gridCol w:w="646"/>
        <w:gridCol w:w="109"/>
        <w:gridCol w:w="109"/>
        <w:gridCol w:w="109"/>
        <w:gridCol w:w="109"/>
        <w:gridCol w:w="196"/>
        <w:gridCol w:w="64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 and related payroll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Years Ended December 31, 2025 and December 31,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8398"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9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Platform-related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for the year ended December 31, 2025 increased by $513.5 million, or 31%, year over year, primarily driven by the growth of our total Active Members and the associated increase in Purchase Volume as well as the launch of MyPay in 2024 and outbound instant transfers in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revenue increased by $224.0 million, or 18%, for the year ended December 31, 2025 compared to the same period in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this increase reflected a $146.3 million, or 16%, increase in revenue from interchange-based fees from debit card transactions and a $77.6 million, or 22%, increase in revenue from interchange-based fees from credit card transactions compared to the same period in 2024. The increase in payments revenue was driven by a $18.5 billion, or 16%, increase in Purchase Volume for the year ended December 31, 2025 compared to the same period in 2024. For the years ended December 31, 2025 and 2024, interchange-based fees from debit card transactions represented 49% and 55% of revenue, with debit card transactions representing 83% and 84% of Purchase Volume. For the years ended December 31, 2025 and 2024, interchange-based fees from credit card transactions represented 20% and 21% of revenue, with credit card transactions representing 17% and 16% of Purchase Volume.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Purchase Volume was driven, in part, by a 1.5 million, or 19%, increase in Active Members as of December 31, 2025 compared to December 31, 2024. Increasing the number of Active Members on our platform helps drive Purchase Volume, which increases the interchange-based fees generated and the payments revenue that we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Platform-related revenue for the year ended December 31, 2025 increased $289.5 million, or 73%, year over year. For the year ended December 31, 2025, the increase was primarily driven by a $212.5 million increase year over year from the full launch of MyPay in July 2024. Additionally, we recognized $38.0 million in revenue for outbound instant transfer fees, which launched in the first quarter of 2025, in the year ended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8038"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9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for the year ended December 31, 2025 increased $55.5 million, or 27%, year over year driven by a $35.8 million increase in card and ATM network expenses, net of incentives, and a $19.8 million increase in transaction processing and bank partner costs. The $35.8 million increase in card and ATM network expenses was driven by the increase in Active Members and from Active Members engaging more frequently with our products, including instant transfers.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$19.8 million increase in transaction processing and bank partner costs was driven by the increase in Active Members and related increase in Purchase Volume. Additionally, the increase in transaction processing and bank partner costs included a $3.5 million increase in the amortization of internal-use software relating to </w:t>
      </w:r>
      <w:r>
        <w:rPr>
          <w:rFonts w:ascii="Times New Roman;serif" w:hAnsi="Times New Roman;serif"/>
          <w:b w:val="false"/>
          <w:color w:val="000000"/>
          <w:sz w:val="20"/>
          <w:shd w:fill="FFFFFF" w:val="clear"/>
        </w:rPr>
        <w:t>revenue generating platforms such as ChimeCore and MyPay.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608"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09"/>
        <w:gridCol w:w="212"/>
        <w:gridCol w:w="28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34"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2,963,702 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1,527,957 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1,435,745 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$1,435.7 million, or 94%, for the year ended December 31, 2025 compared to the year ended December 31, 2024 driven by the following changes: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for the year ended December 31, 2025 increased by $187.6 million, or 85%, year over year, driven by the full launch of MyPay in July 2024, which accounted for $121.5 million of the increase, and an increase of $29.3 million in losses related to SpotMe and other member negative balances due to higher SpotMe volume and isolated fraud incidents in 2025, when compared to the same periods in 2024. Additionally, we fully launched our Instant Loans product in March 2025, which contributed $24.7 million in transaction and risk losses.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 support and operations expenses for the year ended December 31, 2025 increased by $171.1 million, or 60%, year over year driven by an increase in stock-based compensation and related payroll tax of $138.6 million as the liquidity-based vesting condition for certain stock-based awards was met upon our IPO in the second quarter of 2025. Additionally, there was an increase of $11.6 million in the year ended December 31, 2025 due to physical card production and fulfillment costs due to the increased volume of cards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for the year ended December 31, 2025 increased by $115.6 million, or 22%, year over year driven by an increase in stock-based compensation and related payroll tax of $51.8 million as the liquidity-based vesting condition for certain stock-based awards was met upon our IPO. Additionally, there was an increase of $51.4 million in marketing and promotional activities in the year ended December 31, 2025 compared to the prior year.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for the year ended December 31, 2025 increased by $625.4 million, or 202%, year over year primarily driven by an increase in stock-based compensation and related payroll tax of $604.1 million as the liquidity-based vesting condition for certain stock-based awards was met upon our IPO in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year ended December 31, 2025 increased by $334.9 million, or 189%, year over year, primarily driven by an increase in stock-based compensation and related payroll tax of $268.5 million as the liquidity-based vesting condition for certain stock-based awards was met upon our IPO in the second quarter of 2025. General and administrative expenses also includes $32.6 million in one-time termination costs related to ceasing the use of our third-party processor. Additionally, we recognized $11.2 million of stock-based charitable contribution for Chime Scholars Foundation in the year ended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7918"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03"/>
        <w:gridCol w:w="203"/>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34"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year ended December 31, 2025 decreased by $8.6 million, or 22%, year over year, primarily attributable to a decrease of $4.0 million in interest income due to reduced yields on corporate cash and cash equivalents and marketable securities and an increase of $1.3 million in letter of credit fees and unused commitment fees related to the revolving credit agreement entered into in March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Years Ended December 31, 2024 and December 31,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discussion of our results for fiscal year 2024 compared to fiscal year 2023 can be found in our IPO prospectus, filed with the SEC on June 12, 2025, under the caption "Management's Discussion and Analysis of Financial Condition and Results of Operations — Comparison of the Years Ended December 31, 2023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prior to our IPO, we have financed our operations primarily through the net proceeds we have received from the issuances of preferred stock and our revenue. As of December 31, 2025, our principal sources of liquidity were our cash and cash equivalents of $466.3 million and investments in marketable securities of $587.8 million. On June 13, 2025, we closed our IPO of our Class A common stock. The total net proceeds received were approximately $770.6 million after deducting underwriting discounts, commissions and offering expenses payable by us.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2025, we had $443.6 million in borrowing capacity under our revolving credit facility. Refer to Note 12 -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within the notes to our consolidated financial statements in this Annual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December 31, 2025, the amount of this commitment would have been approximately $1.7 billion (with such amount in connection with liquidity products excluding Credit Builder not to exceed approximately $1.1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approved a share repurchase program with authorization to purchase up to $200.0 million of our Class A common stock at management’s discretion.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obligate us to repurchase any particular amount of Class A common stock and may be suspended or discontinued at any time at our discretion without prior notice, subject to all applicable securities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available cash and cash equivalents and investments in marketable securities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Instant Loans, and SpotMe, the expansion of sales and marketing activities, potential merger and acquisition activity, and other strategic initiatives.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generation and use of cash for the periods indicated:</w:t>
      </w:r>
    </w:p>
    <w:tbl>
      <w:tblPr>
        <w:tblW w:w="7032" w:type="dxa"/>
        <w:jc w:val="left"/>
        <w:tblInd w:w="0" w:type="dxa"/>
        <w:tblLayout w:type="fixed"/>
        <w:tblCellMar>
          <w:top w:w="28" w:type="dxa"/>
          <w:left w:w="28" w:type="dxa"/>
          <w:bottom w:w="28" w:type="dxa"/>
          <w:right w:w="28" w:type="dxa"/>
        </w:tblCellMar>
      </w:tblPr>
      <w:tblGrid>
        <w:gridCol w:w="1032"/>
        <w:gridCol w:w="908"/>
        <w:gridCol w:w="910"/>
        <w:gridCol w:w="211"/>
        <w:gridCol w:w="901"/>
        <w:gridCol w:w="109"/>
        <w:gridCol w:w="109"/>
        <w:gridCol w:w="109"/>
        <w:gridCol w:w="109"/>
        <w:gridCol w:w="211"/>
        <w:gridCol w:w="721"/>
        <w:gridCol w:w="109"/>
        <w:gridCol w:w="109"/>
        <w:gridCol w:w="109"/>
        <w:gridCol w:w="109"/>
        <w:gridCol w:w="211"/>
        <w:gridCol w:w="90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$52.8 million for the twelve months ended December 31, 2025, compared to $64.1 million in the twelve months ended December 31, 2024. The decrease of $11.4 million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provided by operating activities consists of a $984.6 million increase in net loss, a decrease of $130.1 million in changes in working capital, offset by an increase of $1,103.3 million in non-cash adjustments.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of $130.1 million in changes in working capital for the twelve months ended December 31, 2025 compared to the prior year was driven by upfront incentives received from card networks in the first quarter of 2024, an increase in product collateral, increases in realized transaction dispute losses, and the timing of vendor invoices.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$1,103.3 million in non-cash adjustments for the twelve months ended December 31, 2025 compared to the prior year was primarily driven by a $1,041.1 million increase in stock-based compensation expense as the liquidity-based vesting condition for certain equity awards was met in connection with our IPO in the second quarter of 2025. Additionally, there was a $44.1 million increase in provision for credit losses for the twelve months ended December 31, 2025 compared to the same period in 2024 driven by the launch of MyPay in July 2024.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by investing activities was $289.7 million for the twelve months ended December 31, 2025, primarily due to $4,940.1 million in purchases of loans held for investment and $735.0 million in purchases of marketable securities, offset by $4,892.9 million in repayments of loans held for investment, $264.7 million in proceeds from maturities of marketable securities and $256.5 million from sales of marketable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was $45.7 million for the twelve months ended December 31, 2024, primarily due to $1,729.5 million in repayments of loans held for investment, $508.3 million in proceeds from maturities of marketable securities, $193.2 million in proceeds from sales of marketable securities, offset by $1,859.9 million in purchases of loans held for investment, $497.6 million in purchases of marketable securities, $13.3 million related to a business acquisition, and $9.7 million in capitalization of internal-use software.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twelve months ended December 31, 2025, cash provided by financing activities was $367.7 million, primarily due to $770.6 million from the issuance of common stock in connection with our IPO, net of offering costs paid, partially offset by taxes paid related to the net share settlement of restricted stock units of $349.4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twelve months ended December 31, 2024, cash provided by financing activities was $456.0 thousand, consisting of $1.4 million in proceeds from exercise of stock options, nearly entirely offset by repurchases of common stock.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fully diluted share count on an unweighted basis taking our total outstanding share count in addition to unexercised stock options, outstanding restricted stock units, outstanding PSUs, shares reserved for charitable donations and warrants to purchase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fully diluted share count was as follows:</w:t>
      </w:r>
    </w:p>
    <w:tbl>
      <w:tblPr>
        <w:tblW w:w="5749" w:type="dxa"/>
        <w:jc w:val="left"/>
        <w:tblInd w:w="0" w:type="dxa"/>
        <w:tblLayout w:type="fixed"/>
        <w:tblCellMar>
          <w:top w:w="28" w:type="dxa"/>
          <w:left w:w="28" w:type="dxa"/>
          <w:bottom w:w="28" w:type="dxa"/>
          <w:right w:w="28" w:type="dxa"/>
        </w:tblCellMar>
      </w:tblPr>
      <w:tblGrid>
        <w:gridCol w:w="1597"/>
        <w:gridCol w:w="1404"/>
        <w:gridCol w:w="1408"/>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B common stock issued and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379,933,372 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charitable donations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 count</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437,647,618 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information see Note 13, “Redeemable Convertible Preferred Stock, Common Stock, and Stockholders’ Equity (Deficit)" and Note 15, “Net Loss Per Share” included in this Annual Report on Form 10-K in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2025, we had future minimum operating lease payments under non-cancelable leases of $172.6 million related to leases we have recognized on our consolidated balance sheet which are due over a weighted average period of 8.3 years. Of the non-cancelable lease payments, $15.7 million is payable in the next 12 months. For additional discussion on our operating leases, see Note 18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within the notes to our consolidated financial statements.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non-cancellable purchase commitments are primarily related to our cloud infrastructure services. As of December 31, 2025, we had non-cancellable purchase obligations of $218.8 million, of which $108.9 million is due in the next 12 months. Additionally, in January 2026, we entered into a binding letter of intent committing us to spend $45.0 million under a commercial agreement over the next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policies require significant judgment, our actual results may differ materially from our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of our significant accounting policies, which are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results of operations, and cash flows.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application of accounting principles under GAAP related to the recognition and measurement of revenue requires us to make judgments and estimates. When dealing with customer arrangements involving third parties, significant judgment is needed to determine whether we act as the principal, reporting revenue on a gross basis, or as the agent, reporting revenue on a net basis. As part of this assessment, we evaluate whether we obtain control of the specified goods or services before transferring them to the customer. Any changes in these judgments and estimates could impact the amount of revenue recognized.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product obligation represents </w:t>
      </w:r>
      <w:r>
        <w:rPr>
          <w:rFonts w:ascii="Times New Roman;serif" w:hAnsi="Times New Roman;serif"/>
          <w:b w:val="false"/>
          <w:color w:val="000000"/>
          <w:sz w:val="20"/>
          <w:shd w:fill="FFFFFF" w:val="clear"/>
        </w:rPr>
        <w:t xml:space="preserve">expected remaining future cash flows at period end </w:t>
      </w:r>
      <w:r>
        <w:rPr>
          <w:rFonts w:ascii="Times New Roman;serif" w:hAnsi="Times New Roman;serif"/>
          <w:b w:val="false"/>
          <w:color w:val="000000"/>
          <w:sz w:val="20"/>
        </w:rPr>
        <w:t xml:space="preserve">relating to our off-balance sheet receivables from MyPay, Instant Loans, SpotMe, as well as other instances where a member’s account is overdrawn, and is payable to our bank partners. This obligation is accounted for as a derivative, initially measured at fair value and subsequently marked-to-market at each reporting period. Since there are no readily observable inputs, product obligation is classified as a Level 3 liability in the fair value hierarchy. Estimating its fair value requires significant judgment and involves use of unobservable inputs, such as the discount rate and expected loss rate.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and Note 4 – F</w:t>
      </w:r>
      <w:r>
        <w:rPr>
          <w:rFonts w:ascii="Times New Roman;serif" w:hAnsi="Times New Roman;serif"/>
          <w:b w:val="false"/>
          <w:i/>
          <w:color w:val="000000"/>
          <w:sz w:val="20"/>
        </w:rPr>
        <w:t>air Value Measurement</w:t>
      </w:r>
      <w:r>
        <w:rPr>
          <w:color w:val="000000"/>
        </w:rPr>
        <w:t xml:space="preserve"> </w:t>
      </w:r>
      <w:r>
        <w:rPr>
          <w:rFonts w:ascii="Times New Roman;serif" w:hAnsi="Times New Roman;serif"/>
          <w:b w:val="false"/>
          <w:color w:val="000000"/>
          <w:sz w:val="20"/>
        </w:rPr>
        <w:t>within the notes to our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 an accrual for estimated losses due to transaction disputes, which represent a potential loss due to member-initiated transaction disputes or due to processing a fraudulent transaction. The accrual is estimated based on available data as of the reporting date, including expected disputes on processed transactions, and historical loss rates. Additions to the accrual are reflected in transaction and risk losses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while realized losses are offset against the accrual. The accrual for estimated transaction dispute losses is included within accrued and other current liabilities in the consolidated balance sheets.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and Note 11 – Signifi</w:t>
      </w:r>
      <w:r>
        <w:rPr>
          <w:rFonts w:ascii="Times New Roman;serif" w:hAnsi="Times New Roman;serif"/>
          <w:b w:val="false"/>
          <w:i/>
          <w:color w:val="000000"/>
          <w:sz w:val="20"/>
        </w:rPr>
        <w:t>cant Balance Sheet Components</w:t>
      </w:r>
      <w:r>
        <w:rPr>
          <w:color w:val="000000"/>
        </w:rPr>
        <w:t xml:space="preserve"> </w:t>
      </w:r>
      <w:r>
        <w:rPr>
          <w:rFonts w:ascii="Times New Roman;serif" w:hAnsi="Times New Roman;serif"/>
          <w:b w:val="false"/>
          <w:color w:val="000000"/>
          <w:sz w:val="20"/>
        </w:rPr>
        <w:t>within the notes to our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Allowance for Expected Credit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the allowance for expected credit losses represents management’s estimate of expected credit losses over the remaining expected life of our financial assets measured at amortized cost considering available information from internal and external sources. The allowance for expected credit losses is primarily related to expected losses on our loans held for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allowance for expected credit losses on loa</w:t>
      </w:r>
      <w:r>
        <w:rPr>
          <w:rFonts w:ascii="Times New Roman;serif" w:hAnsi="Times New Roman;serif"/>
          <w:b w:val="false"/>
          <w:color w:val="000000"/>
          <w:sz w:val="20"/>
        </w:rPr>
        <w:t>ns held for investment reflects our estimate of uncollectible balances resulting from credit losses and is based on the determination of the amount of lifetime expected credit losses inherent in the loans held for investment as of the reporting date. We measure the allowance for expected credit losses based on a discounted cash flow method, which estimates future cash flows using the roll rate method. The primary area of judgment is the expected loss rates, including how indicative historical losses are of future losses.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allocate the fair value of the purchase price to the tangible and intangible assets acquired and liabilities assumed based on their estimated fair values. The excess of the fair value of the purchase price over the fair values of these identifiable assets and liabilities is recorded as good</w:t>
      </w:r>
      <w:r>
        <w:rPr>
          <w:rFonts w:ascii="Times New Roman;serif" w:hAnsi="Times New Roman;serif"/>
          <w:b w:val="false"/>
          <w:color w:val="000000"/>
          <w:sz w:val="20"/>
          <w:shd w:fill="FFFFFF" w:val="clear"/>
        </w:rPr>
        <w:t>will. When determining the fair values, management makes significant estimates and assumptions, especially with respect to intangible assets. Significant estimates in valuing certain intangible assets include, but are not limited to the cost and time associated with recreating acquired technology, useful lives, and discount rates. Management's esti</w:t>
      </w:r>
      <w:r>
        <w:rPr>
          <w:rFonts w:ascii="Times New Roman;serif" w:hAnsi="Times New Roman;serif"/>
          <w:b w:val="false"/>
          <w:color w:val="000000"/>
          <w:sz w:val="20"/>
        </w:rPr>
        <w:t>mates of fair value are based upon assumptions believed to be reasonable, but which are inherently uncertain and unpredictable and, as a result, actual results might differ from estimates.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other operational performance-based vesting conditions. The awards are measured at fair value of the underlying common stock on the date of grant. Upon consummation of the IPO, we recorded cumulative stock-based compensation expense using the accelerated attribution method for those awards that are expected to vest based on the probability of achieving the performance criteria. We will record the remaining unrecognized expense over the remainder of the expected achievement period for the performance conditions of the awards.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We record stock-based compensation expense for such awards using the accelerated attribution method over the requisite service period. We determine the requisite service period by comparing the derived service period to achieve the market-based vesting condition and the explicit time-based service period, using the longer of the two service periods as the requisite service period. Upon consummation of the IPO, we recorded cumulative stock-based compensation expense for the portion of the requisite service period satisfied as of the IPO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Valuations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our IPO, our board of directors exercised reasonable judgment and considered numerous objective and subjective factors to determine the best estimate of fair value of our common stock. These factors included: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observed secondary sales of common and redeemable convertible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evaluation of our principal market;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contemporaneous valuations performed at periodic intervals by unrelated third-party specialists;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rights, preferences, and privileges of our redeemable convertible preferred stock relative to those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actual operating and financial performance;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likelihood of achieving a liquidity event, such as an initial public offering or a sale of the Company given prevailing market conditions and the nature and history of its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 multiples of comparable companies in its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stage of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industry information such as market size and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illiquidity of stock-based awards involving securities in a private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macroeconomic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estimating the value of our common stock, we evaluated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also used both the income and the market approach valuation methods to determine the enterprise value of our business. The income approach estimates fair value based on the expectation of future cash flows that a company will generate. These future cash flows are discounted to their present values using a discount rate based on the venture capital rates of return and is adjusted to reflect the risks inherent in our cash flows. The market approach estimates fair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allocating the enterprise value of our business among the various classes of stock prior, we primarily used the option pricing method (“OPM”) and to a lesser extent, the probability-weighted expected return method (“PWERM”). The OPM models each class of stock as a call option with a unique claim on our assets. The PWERM estimates the fair value of common stock based on an analysis of future values for the enterprise.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allocation to the various classes of stock, a discount for lack of marketability (“DLOM”), is applied to arrive at a fair value of the common stock. A DLOM is meant to account for the lack of marketability of a stock that is not traded on public exchanges.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impact our valuations as of each valuation date and may have a material impact on the valuation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our IPO, the fair value of the our common stock is based on the closing price of our Class A common stock on the grant date, so these valuation approaches are no longer necessary.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a discussion of recently adopted accounting pronouncements and recently issued accounting pronouncements not yet adopted,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within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debt securities as of December 31, 2025,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180" w:after="180"/>
        <w:jc w:val="center"/>
        <w:rPr/>
      </w:pPr>
      <w:r>
        <w:rPr/>
      </w:r>
    </w:p>
    <w:p>
      <w:pPr>
        <w:pStyle w:val="TextBody"/>
        <w:bidi w:val="0"/>
        <w:spacing w:before="180" w:after="180"/>
        <w:jc w:val="center"/>
        <w:rPr/>
      </w:pPr>
      <w:r>
        <w:rPr/>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w:t>
      </w:r>
    </w:p>
    <w:tbl>
      <w:tblPr>
        <w:tblW w:w="9001" w:type="dxa"/>
        <w:jc w:val="left"/>
        <w:tblInd w:w="0" w:type="dxa"/>
        <w:tblLayout w:type="fixed"/>
        <w:tblCellMar>
          <w:top w:w="28" w:type="dxa"/>
          <w:left w:w="28" w:type="dxa"/>
          <w:bottom w:w="28" w:type="dxa"/>
          <w:right w:w="28" w:type="dxa"/>
        </w:tblCellMar>
      </w:tblPr>
      <w:tblGrid>
        <w:gridCol w:w="3090"/>
        <w:gridCol w:w="2715"/>
        <w:gridCol w:w="2730"/>
        <w:gridCol w:w="136"/>
        <w:gridCol w:w="136"/>
        <w:gridCol w:w="194"/>
      </w:tblGrid>
      <w:tr>
        <w:trPr/>
        <w:tc>
          <w:tcPr>
            <w:tcW w:w="309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71">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71">
              <w:r>
                <w:rPr>
                  <w:rStyle w:val="InternetLink"/>
                  <w:rFonts w:ascii="Times New Roman;serif" w:hAnsi="Times New Roman;serif"/>
                  <w:b w:val="false"/>
                  <w:color w:val="0000FF"/>
                  <w:sz w:val="20"/>
                  <w:u w:val="single"/>
                </w:rPr>
                <w:t>90</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19">
              <w:r>
                <w:rPr>
                  <w:rStyle w:val="InternetLink"/>
                  <w:rFonts w:ascii="Times New Roman;serif" w:hAnsi="Times New Roman;serif"/>
                  <w:b w:val="false"/>
                  <w:color w:val="0000FF"/>
                  <w:sz w:val="20"/>
                  <w:u w:val="single"/>
                </w:rPr>
                <w:t>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19">
              <w:r>
                <w:rPr>
                  <w:rStyle w:val="InternetLink"/>
                  <w:rFonts w:ascii="Times New Roman;serif" w:hAnsi="Times New Roman;serif"/>
                  <w:b w:val="false"/>
                  <w:color w:val="0000FF"/>
                  <w:sz w:val="20"/>
                  <w:u w:val="single"/>
                </w:rPr>
                <w:t>92</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22">
              <w:r>
                <w:rPr>
                  <w:rStyle w:val="InternetLink"/>
                  <w:rFonts w:ascii="Times New Roman;serif" w:hAnsi="Times New Roman;serif"/>
                  <w:b w:val="false"/>
                  <w:color w:val="0000FF"/>
                  <w:sz w:val="20"/>
                  <w:u w:val="single"/>
                </w:rPr>
                <w:t>Consolidated Statements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22">
              <w:r>
                <w:rPr>
                  <w:rStyle w:val="InternetLink"/>
                  <w:rFonts w:ascii="Times New Roman;serif" w:hAnsi="Times New Roman;serif"/>
                  <w:b w:val="false"/>
                  <w:color w:val="0000FF"/>
                  <w:sz w:val="20"/>
                  <w:u w:val="single"/>
                </w:rPr>
                <w:t>93</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25">
              <w:r>
                <w:rPr>
                  <w:rStyle w:val="InternetLink"/>
                  <w:rFonts w:ascii="Times New Roman;serif" w:hAnsi="Times New Roman;serif"/>
                  <w:b w:val="false"/>
                  <w:color w:val="0000FF"/>
                  <w:sz w:val="20"/>
                  <w:u w:val="single"/>
                </w:rPr>
                <w:t>Consolidated Statements of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25">
              <w:r>
                <w:rPr>
                  <w:rStyle w:val="InternetLink"/>
                  <w:rFonts w:ascii="Times New Roman;serif" w:hAnsi="Times New Roman;serif"/>
                  <w:b w:val="false"/>
                  <w:color w:val="0000FF"/>
                  <w:sz w:val="20"/>
                  <w:u w:val="single"/>
                </w:rPr>
                <w:t>94</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28">
              <w:r>
                <w:rPr>
                  <w:rStyle w:val="InternetLink"/>
                  <w:rFonts w:ascii="Times New Roman;serif" w:hAnsi="Times New Roman;serif"/>
                  <w:b w:val="false"/>
                  <w:color w:val="0000FF"/>
                  <w:sz w:val="20"/>
                  <w:u w:val="single"/>
                </w:rPr>
                <w:t>Consolidated Statements of Redeemable Convertible Preferred Stock and Stockholders’ Equity (Deficit)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28">
              <w:r>
                <w:rPr>
                  <w:rStyle w:val="InternetLink"/>
                  <w:rFonts w:ascii="Times New Roman;serif" w:hAnsi="Times New Roman;serif"/>
                  <w:b w:val="false"/>
                  <w:color w:val="0000FF"/>
                  <w:sz w:val="20"/>
                  <w:u w:val="single"/>
                </w:rPr>
                <w:t>95</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31">
              <w:r>
                <w:rPr>
                  <w:rStyle w:val="InternetLink"/>
                  <w:rFonts w:ascii="Times New Roman;serif" w:hAnsi="Times New Roman;serif"/>
                  <w:b w:val="false"/>
                  <w:color w:val="0000FF"/>
                  <w:sz w:val="20"/>
                  <w:u w:val="single"/>
                </w:rPr>
                <w:t xml:space="preserve">Consolidated Statements of Cash Flows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31">
              <w:r>
                <w:rPr>
                  <w:rStyle w:val="InternetLink"/>
                  <w:rFonts w:ascii="Times New Roman;serif" w:hAnsi="Times New Roman;serif"/>
                  <w:b w:val="false"/>
                  <w:color w:val="0000FF"/>
                  <w:sz w:val="20"/>
                  <w:u w:val="single"/>
                </w:rPr>
                <w:t>96</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34">
              <w:r>
                <w:rPr>
                  <w:rStyle w:val="InternetLink"/>
                  <w:rFonts w:ascii="Times New Roman;serif" w:hAnsi="Times New Roman;serif"/>
                  <w:b w:val="false"/>
                  <w:color w:val="0000FF"/>
                  <w:sz w:val="20"/>
                  <w:u w:val="single"/>
                </w:rPr>
                <w:t>Notes to the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34">
              <w:r>
                <w:rPr>
                  <w:rStyle w:val="InternetLink"/>
                  <w:rFonts w:ascii="Times New Roman;serif" w:hAnsi="Times New Roman;serif"/>
                  <w:b w:val="false"/>
                  <w:color w:val="0000FF"/>
                  <w:sz w:val="20"/>
                  <w:u w:val="single"/>
                </w:rPr>
                <w:t>98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37">
              <w:r>
                <w:rPr>
                  <w:rStyle w:val="InternetLink"/>
                  <w:rFonts w:ascii="Times New Roman;serif" w:hAnsi="Times New Roman;serif"/>
                  <w:b w:val="false"/>
                  <w:color w:val="0000FF"/>
                  <w:sz w:val="20"/>
                  <w:u w:val="single"/>
                </w:rPr>
                <w:t>Note 1 - Organization and Description of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34">
              <w:r>
                <w:rPr>
                  <w:rStyle w:val="InternetLink"/>
                  <w:rFonts w:ascii="Times New Roman;serif" w:hAnsi="Times New Roman;serif"/>
                  <w:b w:val="false"/>
                  <w:color w:val="0000FF"/>
                  <w:sz w:val="20"/>
                  <w:u w:val="single"/>
                </w:rPr>
                <w:t>98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40">
              <w:r>
                <w:rPr>
                  <w:rStyle w:val="InternetLink"/>
                  <w:rFonts w:ascii="Times New Roman;serif" w:hAnsi="Times New Roman;serif"/>
                  <w:b w:val="false"/>
                  <w:color w:val="0000FF"/>
                  <w:sz w:val="20"/>
                  <w:u w:val="single"/>
                </w:rPr>
                <w:t>Note 2 - Basis of Presentation and Summary of Significant Accounting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34">
              <w:r>
                <w:rPr>
                  <w:rStyle w:val="InternetLink"/>
                  <w:rFonts w:ascii="Times New Roman;serif" w:hAnsi="Times New Roman;serif"/>
                  <w:b w:val="false"/>
                  <w:color w:val="0000FF"/>
                  <w:sz w:val="20"/>
                  <w:u w:val="single"/>
                </w:rPr>
                <w:t>98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43">
              <w:r>
                <w:rPr>
                  <w:rStyle w:val="InternetLink"/>
                  <w:rFonts w:ascii="Times New Roman;serif" w:hAnsi="Times New Roman;serif"/>
                  <w:b w:val="false"/>
                  <w:color w:val="0000FF"/>
                  <w:sz w:val="20"/>
                  <w:u w:val="single"/>
                </w:rPr>
                <w:t>Note 3 - Revenue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43">
              <w:r>
                <w:rPr>
                  <w:rStyle w:val="InternetLink"/>
                  <w:rFonts w:ascii="Times New Roman;serif" w:hAnsi="Times New Roman;serif"/>
                  <w:b w:val="false"/>
                  <w:color w:val="0000FF"/>
                  <w:sz w:val="20"/>
                  <w:u w:val="single"/>
                </w:rPr>
                <w:t>111</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46">
              <w:r>
                <w:rPr>
                  <w:rStyle w:val="InternetLink"/>
                  <w:rFonts w:ascii="Times New Roman;serif" w:hAnsi="Times New Roman;serif"/>
                  <w:b w:val="false"/>
                  <w:color w:val="0000FF"/>
                  <w:sz w:val="20"/>
                  <w:u w:val="single"/>
                </w:rPr>
                <w:t>Note 4 - Fair Value Measurement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46">
              <w:r>
                <w:rPr>
                  <w:rStyle w:val="InternetLink"/>
                  <w:rFonts w:ascii="Times New Roman;serif" w:hAnsi="Times New Roman;serif"/>
                  <w:b w:val="false"/>
                  <w:color w:val="0000FF"/>
                  <w:sz w:val="20"/>
                  <w:u w:val="single"/>
                </w:rPr>
                <w:t>112</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49">
              <w:r>
                <w:rPr>
                  <w:rStyle w:val="InternetLink"/>
                  <w:rFonts w:ascii="Times New Roman;serif" w:hAnsi="Times New Roman;serif"/>
                  <w:b w:val="false"/>
                  <w:color w:val="0000FF"/>
                  <w:sz w:val="20"/>
                  <w:u w:val="single"/>
                </w:rPr>
                <w:t>Note 5 - Marketable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49">
              <w:r>
                <w:rPr>
                  <w:rStyle w:val="InternetLink"/>
                  <w:rFonts w:ascii="Times New Roman;serif" w:hAnsi="Times New Roman;serif"/>
                  <w:b w:val="false"/>
                  <w:color w:val="0000FF"/>
                  <w:sz w:val="20"/>
                  <w:u w:val="single"/>
                </w:rPr>
                <w:t>113</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77">
              <w:r>
                <w:rPr>
                  <w:rStyle w:val="InternetLink"/>
                  <w:rFonts w:ascii="Times New Roman;serif" w:hAnsi="Times New Roman;serif"/>
                  <w:b w:val="false"/>
                  <w:color w:val="0000FF"/>
                  <w:sz w:val="20"/>
                  <w:u w:val="single"/>
                </w:rPr>
                <w:t>Note 6 - Accounts Receivable,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877">
              <w:r>
                <w:rPr>
                  <w:rStyle w:val="InternetLink"/>
                  <w:rFonts w:ascii="Times New Roman;serif" w:hAnsi="Times New Roman;serif"/>
                  <w:b w:val="false"/>
                  <w:color w:val="0000FF"/>
                  <w:sz w:val="20"/>
                  <w:u w:val="single"/>
                </w:rPr>
                <w:t>114</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52">
              <w:r>
                <w:rPr>
                  <w:rStyle w:val="InternetLink"/>
                  <w:rFonts w:ascii="Times New Roman;serif" w:hAnsi="Times New Roman;serif"/>
                  <w:b w:val="false"/>
                  <w:color w:val="000080"/>
                  <w:sz w:val="20"/>
                  <w:u w:val="single"/>
                </w:rPr>
                <w:t xml:space="preserve">Note </w:t>
              </w:r>
            </w:hyperlink>
            <w:hyperlink w:anchor="i1f3f56f875cf425ea78fcca0a339f364_52">
              <w:r>
                <w:rPr>
                  <w:rStyle w:val="InternetLink"/>
                  <w:rFonts w:ascii="Times New Roman;serif" w:hAnsi="Times New Roman;serif"/>
                  <w:b w:val="false"/>
                  <w:color w:val="000080"/>
                  <w:sz w:val="20"/>
                  <w:u w:val="single"/>
                </w:rPr>
                <w:t>7</w:t>
              </w:r>
            </w:hyperlink>
            <w:hyperlink w:anchor="i1f3f56f875cf425ea78fcca0a339f364_52">
              <w:r>
                <w:rPr>
                  <w:rStyle w:val="InternetLink"/>
                  <w:rFonts w:ascii="Times New Roman;serif" w:hAnsi="Times New Roman;serif"/>
                  <w:b w:val="false"/>
                  <w:color w:val="000080"/>
                  <w:sz w:val="20"/>
                  <w:u w:val="single"/>
                </w:rPr>
                <w:t xml:space="preserve"> - Loans Held For Investment,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52">
              <w:r>
                <w:rPr>
                  <w:rStyle w:val="InternetLink"/>
                  <w:rFonts w:ascii="Times New Roman;serif" w:hAnsi="Times New Roman;serif"/>
                  <w:b w:val="false"/>
                  <w:color w:val="0000FF"/>
                  <w:sz w:val="20"/>
                  <w:u w:val="single"/>
                </w:rPr>
                <w:t>114</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55">
              <w:r>
                <w:rPr>
                  <w:rStyle w:val="InternetLink"/>
                  <w:rFonts w:ascii="Times New Roman;serif" w:hAnsi="Times New Roman;serif"/>
                  <w:b w:val="false"/>
                  <w:color w:val="000080"/>
                  <w:sz w:val="20"/>
                  <w:u w:val="single"/>
                </w:rPr>
                <w:t xml:space="preserve">Note </w:t>
              </w:r>
            </w:hyperlink>
            <w:hyperlink w:anchor="i1f3f56f875cf425ea78fcca0a339f364_55">
              <w:r>
                <w:rPr>
                  <w:rStyle w:val="InternetLink"/>
                  <w:rFonts w:ascii="Times New Roman;serif" w:hAnsi="Times New Roman;serif"/>
                  <w:b w:val="false"/>
                  <w:color w:val="000080"/>
                  <w:sz w:val="20"/>
                  <w:u w:val="single"/>
                </w:rPr>
                <w:t>8</w:t>
              </w:r>
            </w:hyperlink>
            <w:hyperlink w:anchor="i1f3f56f875cf425ea78fcca0a339f364_55">
              <w:r>
                <w:rPr>
                  <w:rStyle w:val="InternetLink"/>
                  <w:rFonts w:ascii="Times New Roman;serif" w:hAnsi="Times New Roman;serif"/>
                  <w:b w:val="false"/>
                  <w:color w:val="000080"/>
                  <w:sz w:val="20"/>
                  <w:u w:val="single"/>
                </w:rPr>
                <w:t xml:space="preserve"> - Credit Obligations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55">
              <w:r>
                <w:rPr>
                  <w:rStyle w:val="InternetLink"/>
                  <w:rFonts w:ascii="Times New Roman;serif" w:hAnsi="Times New Roman;serif"/>
                  <w:b w:val="false"/>
                  <w:color w:val="0000FF"/>
                  <w:sz w:val="20"/>
                  <w:u w:val="single"/>
                </w:rPr>
                <w:t>115</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58">
              <w:r>
                <w:rPr>
                  <w:rStyle w:val="InternetLink"/>
                  <w:rFonts w:ascii="Times New Roman;serif" w:hAnsi="Times New Roman;serif"/>
                  <w:b w:val="false"/>
                  <w:color w:val="000080"/>
                  <w:sz w:val="20"/>
                  <w:u w:val="single"/>
                </w:rPr>
                <w:t xml:space="preserve">Note </w:t>
              </w:r>
            </w:hyperlink>
            <w:hyperlink w:anchor="i1f3f56f875cf425ea78fcca0a339f364_58">
              <w:r>
                <w:rPr>
                  <w:rStyle w:val="InternetLink"/>
                  <w:rFonts w:ascii="Times New Roman;serif" w:hAnsi="Times New Roman;serif"/>
                  <w:b w:val="false"/>
                  <w:color w:val="000080"/>
                  <w:sz w:val="20"/>
                  <w:u w:val="single"/>
                </w:rPr>
                <w:t>9</w:t>
              </w:r>
            </w:hyperlink>
            <w:hyperlink w:anchor="i1f3f56f875cf425ea78fcca0a339f364_58">
              <w:r>
                <w:rPr>
                  <w:rStyle w:val="InternetLink"/>
                  <w:rFonts w:ascii="Times New Roman;serif" w:hAnsi="Times New Roman;serif"/>
                  <w:b w:val="false"/>
                  <w:color w:val="000080"/>
                  <w:sz w:val="20"/>
                  <w:u w:val="single"/>
                </w:rPr>
                <w:t xml:space="preserve"> - Property, Equipment, and Software,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58">
              <w:r>
                <w:rPr>
                  <w:rStyle w:val="InternetLink"/>
                  <w:rFonts w:ascii="Times New Roman;serif" w:hAnsi="Times New Roman;serif"/>
                  <w:b w:val="false"/>
                  <w:color w:val="0000FF"/>
                  <w:sz w:val="20"/>
                  <w:u w:val="single"/>
                </w:rPr>
                <w:t>116</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83">
              <w:r>
                <w:rPr>
                  <w:rStyle w:val="InternetLink"/>
                  <w:rFonts w:ascii="Times New Roman;serif" w:hAnsi="Times New Roman;serif"/>
                  <w:b w:val="false"/>
                  <w:color w:val="0000FF"/>
                  <w:sz w:val="20"/>
                  <w:u w:val="single"/>
                </w:rPr>
                <w:t>Note 10 - Business Combination</w:t>
              </w:r>
            </w:hyperlink>
            <w:r>
              <w:rPr>
                <w:rFonts w:ascii="Times New Roman;serif" w:hAnsi="Times New Roman;serif"/>
                <w:b w:val="false"/>
                <w:color w:val="000000"/>
                <w:sz w:val="20"/>
              </w:rPr>
              <w: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883">
              <w:r>
                <w:rPr>
                  <w:rStyle w:val="InternetLink"/>
                  <w:rFonts w:ascii="Times New Roman;serif" w:hAnsi="Times New Roman;serif"/>
                  <w:b w:val="false"/>
                  <w:color w:val="0000FF"/>
                  <w:sz w:val="20"/>
                  <w:u w:val="single"/>
                </w:rPr>
                <w:t>117</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1">
              <w:r>
                <w:rPr>
                  <w:rStyle w:val="InternetLink"/>
                  <w:rFonts w:ascii="Times New Roman;serif" w:hAnsi="Times New Roman;serif"/>
                  <w:b w:val="false"/>
                  <w:color w:val="000080"/>
                  <w:sz w:val="20"/>
                  <w:u w:val="single"/>
                </w:rPr>
                <w:t xml:space="preserve">Note </w:t>
              </w:r>
            </w:hyperlink>
            <w:hyperlink w:anchor="i1f3f56f875cf425ea78fcca0a339f364_61">
              <w:r>
                <w:rPr>
                  <w:rStyle w:val="InternetLink"/>
                  <w:rFonts w:ascii="Times New Roman;serif" w:hAnsi="Times New Roman;serif"/>
                  <w:b w:val="false"/>
                  <w:color w:val="000080"/>
                  <w:sz w:val="20"/>
                  <w:u w:val="single"/>
                </w:rPr>
                <w:t>11</w:t>
              </w:r>
            </w:hyperlink>
            <w:hyperlink w:anchor="i1f3f56f875cf425ea78fcca0a339f364_61">
              <w:r>
                <w:rPr>
                  <w:rStyle w:val="InternetLink"/>
                  <w:rFonts w:ascii="Times New Roman;serif" w:hAnsi="Times New Roman;serif"/>
                  <w:b w:val="false"/>
                  <w:color w:val="000080"/>
                  <w:sz w:val="20"/>
                  <w:u w:val="single"/>
                </w:rPr>
                <w:t xml:space="preserve"> - Significant Balance Sheet Components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1">
              <w:r>
                <w:rPr>
                  <w:rStyle w:val="InternetLink"/>
                  <w:rFonts w:ascii="Times New Roman;serif" w:hAnsi="Times New Roman;serif"/>
                  <w:b w:val="false"/>
                  <w:color w:val="0000FF"/>
                  <w:sz w:val="20"/>
                  <w:u w:val="single"/>
                </w:rPr>
                <w:t>118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4">
              <w:r>
                <w:rPr>
                  <w:rStyle w:val="InternetLink"/>
                  <w:rFonts w:ascii="Times New Roman;serif" w:hAnsi="Times New Roman;serif"/>
                  <w:b w:val="false"/>
                  <w:color w:val="000080"/>
                  <w:sz w:val="20"/>
                  <w:u w:val="single"/>
                </w:rPr>
                <w:t>Note 1</w:t>
              </w:r>
            </w:hyperlink>
            <w:hyperlink w:anchor="i1f3f56f875cf425ea78fcca0a339f364_64">
              <w:r>
                <w:rPr>
                  <w:rStyle w:val="InternetLink"/>
                  <w:rFonts w:ascii="Times New Roman;serif" w:hAnsi="Times New Roman;serif"/>
                  <w:b w:val="false"/>
                  <w:color w:val="000080"/>
                  <w:sz w:val="20"/>
                  <w:u w:val="single"/>
                </w:rPr>
                <w:t>2</w:t>
              </w:r>
            </w:hyperlink>
            <w:hyperlink w:anchor="i1f3f56f875cf425ea78fcca0a339f364_64">
              <w:r>
                <w:rPr>
                  <w:rStyle w:val="InternetLink"/>
                  <w:rFonts w:ascii="Times New Roman;serif" w:hAnsi="Times New Roman;serif"/>
                  <w:b w:val="false"/>
                  <w:color w:val="000080"/>
                  <w:sz w:val="20"/>
                  <w:u w:val="single"/>
                </w:rPr>
                <w:t xml:space="preserve"> - Indebtedness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4">
              <w:r>
                <w:rPr>
                  <w:rStyle w:val="InternetLink"/>
                  <w:rFonts w:ascii="Times New Roman;serif" w:hAnsi="Times New Roman;serif"/>
                  <w:b w:val="false"/>
                  <w:color w:val="0000FF"/>
                  <w:sz w:val="20"/>
                  <w:u w:val="single"/>
                </w:rPr>
                <w:t>119</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67">
              <w:r>
                <w:rPr>
                  <w:rStyle w:val="InternetLink"/>
                  <w:rFonts w:ascii="Times New Roman;serif" w:hAnsi="Times New Roman;serif"/>
                  <w:b w:val="false"/>
                  <w:color w:val="000080"/>
                  <w:sz w:val="20"/>
                  <w:u w:val="single"/>
                </w:rPr>
                <w:t>Note 1</w:t>
              </w:r>
            </w:hyperlink>
            <w:hyperlink w:anchor="i1f3f56f875cf425ea78fcca0a339f364_67">
              <w:r>
                <w:rPr>
                  <w:rStyle w:val="InternetLink"/>
                  <w:rFonts w:ascii="Times New Roman;serif" w:hAnsi="Times New Roman;serif"/>
                  <w:b w:val="false"/>
                  <w:color w:val="000080"/>
                  <w:sz w:val="20"/>
                  <w:u w:val="single"/>
                </w:rPr>
                <w:t>3</w:t>
              </w:r>
            </w:hyperlink>
            <w:hyperlink w:anchor="i1f3f56f875cf425ea78fcca0a339f364_67">
              <w:r>
                <w:rPr>
                  <w:rStyle w:val="InternetLink"/>
                  <w:rFonts w:ascii="Times New Roman;serif" w:hAnsi="Times New Roman;serif"/>
                  <w:b w:val="false"/>
                  <w:color w:val="000080"/>
                  <w:sz w:val="20"/>
                  <w:u w:val="single"/>
                </w:rPr>
                <w:t xml:space="preserve"> - Redeemable Convertible Preferred Stock, Common Stock, and Stockholders’ Equity (Deficit)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67">
              <w:r>
                <w:rPr>
                  <w:rStyle w:val="InternetLink"/>
                  <w:rFonts w:ascii="Times New Roman;serif" w:hAnsi="Times New Roman;serif"/>
                  <w:b w:val="false"/>
                  <w:color w:val="0000FF"/>
                  <w:sz w:val="20"/>
                  <w:u w:val="single"/>
                </w:rPr>
                <w:t>119</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0">
              <w:r>
                <w:rPr>
                  <w:rStyle w:val="InternetLink"/>
                  <w:rFonts w:ascii="Times New Roman;serif" w:hAnsi="Times New Roman;serif"/>
                  <w:b w:val="false"/>
                  <w:color w:val="000080"/>
                  <w:sz w:val="20"/>
                  <w:u w:val="single"/>
                </w:rPr>
                <w:t>Note 1</w:t>
              </w:r>
            </w:hyperlink>
            <w:hyperlink w:anchor="i1f3f56f875cf425ea78fcca0a339f364_70">
              <w:r>
                <w:rPr>
                  <w:rStyle w:val="InternetLink"/>
                  <w:rFonts w:ascii="Times New Roman;serif" w:hAnsi="Times New Roman;serif"/>
                  <w:b w:val="false"/>
                  <w:color w:val="000080"/>
                  <w:sz w:val="20"/>
                  <w:u w:val="single"/>
                </w:rPr>
                <w:t>4</w:t>
              </w:r>
            </w:hyperlink>
            <w:hyperlink w:anchor="i1f3f56f875cf425ea78fcca0a339f364_70">
              <w:r>
                <w:rPr>
                  <w:rStyle w:val="InternetLink"/>
                  <w:rFonts w:ascii="Times New Roman;serif" w:hAnsi="Times New Roman;serif"/>
                  <w:b w:val="false"/>
                  <w:color w:val="000080"/>
                  <w:sz w:val="20"/>
                  <w:u w:val="single"/>
                </w:rPr>
                <w:t xml:space="preserve"> - Stock-Based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0">
              <w:r>
                <w:rPr>
                  <w:rStyle w:val="InternetLink"/>
                  <w:rFonts w:ascii="Times New Roman;serif" w:hAnsi="Times New Roman;serif"/>
                  <w:b w:val="false"/>
                  <w:color w:val="0000FF"/>
                  <w:sz w:val="20"/>
                  <w:u w:val="single"/>
                </w:rPr>
                <w:t>122</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3">
              <w:r>
                <w:rPr>
                  <w:rStyle w:val="InternetLink"/>
                  <w:rFonts w:ascii="Times New Roman;serif" w:hAnsi="Times New Roman;serif"/>
                  <w:b w:val="false"/>
                  <w:color w:val="000080"/>
                  <w:sz w:val="20"/>
                  <w:u w:val="single"/>
                </w:rPr>
                <w:t>Note 1</w:t>
              </w:r>
            </w:hyperlink>
            <w:hyperlink w:anchor="i1f3f56f875cf425ea78fcca0a339f364_73">
              <w:r>
                <w:rPr>
                  <w:rStyle w:val="InternetLink"/>
                  <w:rFonts w:ascii="Times New Roman;serif" w:hAnsi="Times New Roman;serif"/>
                  <w:b w:val="false"/>
                  <w:color w:val="000080"/>
                  <w:sz w:val="20"/>
                  <w:u w:val="single"/>
                </w:rPr>
                <w:t>5</w:t>
              </w:r>
            </w:hyperlink>
            <w:hyperlink w:anchor="i1f3f56f875cf425ea78fcca0a339f364_73">
              <w:r>
                <w:rPr>
                  <w:rStyle w:val="InternetLink"/>
                  <w:rFonts w:ascii="Times New Roman;serif" w:hAnsi="Times New Roman;serif"/>
                  <w:b w:val="false"/>
                  <w:color w:val="000080"/>
                  <w:sz w:val="20"/>
                  <w:u w:val="single"/>
                </w:rPr>
                <w:t xml:space="preserve"> - Net Loss Per Share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3">
              <w:r>
                <w:rPr>
                  <w:rStyle w:val="InternetLink"/>
                  <w:rFonts w:ascii="Times New Roman;serif" w:hAnsi="Times New Roman;serif"/>
                  <w:b w:val="false"/>
                  <w:color w:val="0000FF"/>
                  <w:sz w:val="20"/>
                  <w:u w:val="single"/>
                </w:rPr>
                <w:t>127</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6">
              <w:r>
                <w:rPr>
                  <w:rStyle w:val="InternetLink"/>
                  <w:rFonts w:ascii="Times New Roman;serif" w:hAnsi="Times New Roman;serif"/>
                  <w:b w:val="false"/>
                  <w:color w:val="000080"/>
                  <w:sz w:val="20"/>
                  <w:u w:val="single"/>
                </w:rPr>
                <w:t>Note 1</w:t>
              </w:r>
            </w:hyperlink>
            <w:hyperlink w:anchor="i1f3f56f875cf425ea78fcca0a339f364_76">
              <w:r>
                <w:rPr>
                  <w:rStyle w:val="InternetLink"/>
                  <w:rFonts w:ascii="Times New Roman;serif" w:hAnsi="Times New Roman;serif"/>
                  <w:b w:val="false"/>
                  <w:color w:val="000080"/>
                  <w:sz w:val="20"/>
                  <w:u w:val="single"/>
                </w:rPr>
                <w:t>6</w:t>
              </w:r>
            </w:hyperlink>
            <w:hyperlink w:anchor="i1f3f56f875cf425ea78fcca0a339f364_76">
              <w:r>
                <w:rPr>
                  <w:rStyle w:val="InternetLink"/>
                  <w:rFonts w:ascii="Times New Roman;serif" w:hAnsi="Times New Roman;serif"/>
                  <w:b w:val="false"/>
                  <w:color w:val="000080"/>
                  <w:sz w:val="20"/>
                  <w:u w:val="single"/>
                </w:rPr>
                <w:t xml:space="preserve"> - Related Party 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6">
              <w:r>
                <w:rPr>
                  <w:rStyle w:val="InternetLink"/>
                  <w:rFonts w:ascii="Times New Roman;serif" w:hAnsi="Times New Roman;serif"/>
                  <w:b w:val="false"/>
                  <w:color w:val="0000FF"/>
                  <w:sz w:val="20"/>
                  <w:u w:val="single"/>
                </w:rPr>
                <w:t>128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79">
              <w:r>
                <w:rPr>
                  <w:rStyle w:val="InternetLink"/>
                  <w:rFonts w:ascii="Times New Roman;serif" w:hAnsi="Times New Roman;serif"/>
                  <w:b w:val="false"/>
                  <w:color w:val="000080"/>
                  <w:sz w:val="20"/>
                  <w:u w:val="single"/>
                </w:rPr>
                <w:t>Note 1</w:t>
              </w:r>
            </w:hyperlink>
            <w:hyperlink w:anchor="i1f3f56f875cf425ea78fcca0a339f364_79">
              <w:r>
                <w:rPr>
                  <w:rStyle w:val="InternetLink"/>
                  <w:rFonts w:ascii="Times New Roman;serif" w:hAnsi="Times New Roman;serif"/>
                  <w:b w:val="false"/>
                  <w:color w:val="000080"/>
                  <w:sz w:val="20"/>
                  <w:u w:val="single"/>
                </w:rPr>
                <w:t>7</w:t>
              </w:r>
            </w:hyperlink>
            <w:hyperlink w:anchor="i1f3f56f875cf425ea78fcca0a339f364_79">
              <w:r>
                <w:rPr>
                  <w:rStyle w:val="InternetLink"/>
                  <w:rFonts w:ascii="Times New Roman;serif" w:hAnsi="Times New Roman;serif"/>
                  <w:b w:val="false"/>
                  <w:color w:val="000080"/>
                  <w:sz w:val="20"/>
                  <w:u w:val="single"/>
                </w:rPr>
                <w:t xml:space="preserve"> - Income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79">
              <w:r>
                <w:rPr>
                  <w:rStyle w:val="InternetLink"/>
                  <w:rFonts w:ascii="Times New Roman;serif" w:hAnsi="Times New Roman;serif"/>
                  <w:b w:val="false"/>
                  <w:color w:val="0000FF"/>
                  <w:sz w:val="20"/>
                  <w:u w:val="single"/>
                </w:rPr>
                <w:t>128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2">
              <w:r>
                <w:rPr>
                  <w:rStyle w:val="InternetLink"/>
                  <w:rFonts w:ascii="Times New Roman;serif" w:hAnsi="Times New Roman;serif"/>
                  <w:b w:val="false"/>
                  <w:color w:val="000080"/>
                  <w:sz w:val="20"/>
                  <w:u w:val="single"/>
                </w:rPr>
                <w:t>Note 1</w:t>
              </w:r>
            </w:hyperlink>
            <w:hyperlink w:anchor="i1f3f56f875cf425ea78fcca0a339f364_82">
              <w:r>
                <w:rPr>
                  <w:rStyle w:val="InternetLink"/>
                  <w:rFonts w:ascii="Times New Roman;serif" w:hAnsi="Times New Roman;serif"/>
                  <w:b w:val="false"/>
                  <w:color w:val="000080"/>
                  <w:sz w:val="20"/>
                  <w:u w:val="single"/>
                </w:rPr>
                <w:t>8</w:t>
              </w:r>
            </w:hyperlink>
            <w:hyperlink w:anchor="i1f3f56f875cf425ea78fcca0a339f364_82">
              <w:r>
                <w:rPr>
                  <w:rStyle w:val="InternetLink"/>
                  <w:rFonts w:ascii="Times New Roman;serif" w:hAnsi="Times New Roman;serif"/>
                  <w:b w:val="false"/>
                  <w:color w:val="000080"/>
                  <w:sz w:val="20"/>
                  <w:u w:val="single"/>
                </w:rPr>
                <w:t xml:space="preserve"> - Commitments and Contingencies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f56f875cf425ea78fcca0a339f364_82">
              <w:r>
                <w:rPr>
                  <w:rStyle w:val="InternetLink"/>
                  <w:rFonts w:ascii="Times New Roman;serif" w:hAnsi="Times New Roman;serif"/>
                  <w:b w:val="false"/>
                  <w:color w:val="0000FF"/>
                  <w:sz w:val="20"/>
                  <w:u w:val="single"/>
                </w:rPr>
                <w:t>131</w:t>
              </w:r>
            </w:hyperlink>
          </w:p>
        </w:tc>
      </w:tr>
    </w:tbl>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Chime Financial, Inc.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Chime Financial, Inc. (the Company) as of December 31, 2025 and 2024, the related consolidated statements of operations, comprehensive loss, redeemable convertible preferred stock and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color w:val="000000"/>
        </w:rPr>
        <w:t xml:space="preserve"> </w:t>
      </w:r>
      <w:r>
        <w:rPr>
          <w:rFonts w:ascii="Times New Roman;serif" w:hAnsi="Times New Roman;serif"/>
          <w:b w:val="false"/>
          <w:color w:val="000000"/>
          <w:sz w:val="20"/>
        </w:rPr>
        <w:t>financial statements, taken as a whole, and we are not, by communicating the critical audit matters below, providing separate opinions on the critical audit matters or on the accounts or disclosures to which they relate.</w:t>
      </w:r>
    </w:p>
    <w:tbl>
      <w:tblPr>
        <w:tblW w:w="10205" w:type="dxa"/>
        <w:jc w:val="left"/>
        <w:tblInd w:w="0" w:type="dxa"/>
        <w:tblLayout w:type="fixed"/>
        <w:tblCellMar>
          <w:top w:w="28" w:type="dxa"/>
          <w:left w:w="28" w:type="dxa"/>
          <w:bottom w:w="28" w:type="dxa"/>
          <w:right w:w="28" w:type="dxa"/>
        </w:tblCellMar>
      </w:tblPr>
      <w:tblGrid>
        <w:gridCol w:w="385"/>
        <w:gridCol w:w="339"/>
        <w:gridCol w:w="340"/>
        <w:gridCol w:w="2912"/>
        <w:gridCol w:w="2572"/>
        <w:gridCol w:w="3657"/>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Accrued Transaction Dispute Losses</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9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Notes 2 and 11 to the consolidated financial statements, the Company accrues for transaction dispute losses related to member-initiated transaction disputes or due to processing a fraudulent transaction. The accrual is estimated based on available data as of the reporting date, including expected disputes on processed transactions and historical loss rates. The Company accrued transaction dispute losses of $10.5 million as of December 31, 2025, which is included within accrued and other current liabilities in the consolidated balance sheet. For the year ended December 31, 2025, the Company recorded transaction dispute losses of $63.6 million, which is included in transaction losses in the consolidated statement of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469"/>
        <w:gridCol w:w="313"/>
        <w:gridCol w:w="316"/>
        <w:gridCol w:w="2877"/>
        <w:gridCol w:w="2571"/>
        <w:gridCol w:w="3659"/>
      </w:tblGrid>
      <w:tr>
        <w:trPr/>
        <w:tc>
          <w:tcPr>
            <w:tcW w:w="4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Auditing accrued transaction dispute losses was challenging due to the volume of data sets from a number of systems that are aggregated by the Company to determine historical loss rates and estimate the accrued transaction dispute losses.</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test the Company’s accrued transaction dispute losses, we performed audit procedures that included, among others, testing the completeness and accuracy of the underlying transaction dispute data used by the Company to record transaction dispute losses. To evaluate the completeness of the data used in the Company's calculation of accrued transaction dispute losses, we traced the total transactions processed by the Company included in the transaction dispute loss estimate directly to third party data, as well as confirmed the amounts paid to members as transaction dispute losses with third party financial institutions. We traced a sample of disputed transactions to the originating payment transaction in member accounts to assess the timing of when the disputed transaction occurred, when the disputed transaction was settled and the amount of the transaction dispute loss, if any. We reperformed the computation of historical loss rates using the underlying transaction dispute data and recalculated the accrued transaction dispute losses based on the application of the historical loss rates. We also evaluated subsequent events, which included assessing realized transaction dispute losses subsequent to year-end, to evaluate the Company’s estimate of the accrued transaction dispute losses as of the balance sheet date. </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for revenue contracts</w:t>
            </w:r>
          </w:p>
        </w:tc>
      </w:tr>
      <w:tr>
        <w:trPr/>
        <w:tc>
          <w:tcPr>
            <w:tcW w:w="109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Company’s revenue was $2,186.8 million. As discussed in Note 2 and Note 3 to the consolidated financial statements, the Company earns payments revenue in exchange for providing payment services for its members and platform-related revenue from other products offered to its members that provide additional convenience, financial management tools, and access to liquidity.</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Auditing the Company’s revenue recognition related to products and services offered to its members was challenging due to complex terms and conditions in the Company’s contracts with its members and bank partners that require the Company to exercise judgment in determining how the contract terms and conditions affect the recognition and presentation of revenue.</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test the Company’s accounting for revenue, we performed audit procedures that included, among others, obtaining and inspecting a sample of new and modified contracts during the current period, evaluating management’s identification of significant contract terms and conditions, assessment of the applicable accounting standards, and determination of distinct performance obligations, as applicable, and assessing the resulting recognition and presentation of revenue.</w:t>
            </w:r>
          </w:p>
        </w:tc>
      </w:tr>
    </w:tbl>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2019.</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23"/>
        <w:gridCol w:w="2339"/>
        <w:gridCol w:w="2318"/>
        <w:gridCol w:w="196"/>
        <w:gridCol w:w="871"/>
        <w:gridCol w:w="109"/>
        <w:gridCol w:w="109"/>
        <w:gridCol w:w="109"/>
        <w:gridCol w:w="109"/>
        <w:gridCol w:w="196"/>
        <w:gridCol w:w="871"/>
        <w:gridCol w:w="155"/>
      </w:tblGrid>
      <w:tr>
        <w:trPr/>
        <w:tc>
          <w:tcPr>
            <w:tcW w:w="2823"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December 31,</w:t>
              <w:b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337,697 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368,889 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216,161 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1,287,036 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31,969 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redeemable convertible preferred stock, and stockholders❜ equity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224,594 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114,377 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374,817 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501,516 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18)</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Redeemable convertible preferred stock, $0.0001 par value: No shares authorized, issued, and outstanding as of December 31, 2025. 258,613,394 shares authorized and 258,464,156 shares issued and outstanding with a liquidation preference of $2,894,515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2,890,121 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December 31,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Common stock, $0.0001 par value: No shares authorized, issued, and outstanding as of December 31, 2025. 416,094,141 shares authorized, 66,950,736 shares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347,751,083 shares issued and outstanding as of December 31,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32,182,289 shares issued and outstanding as of December 31, 2025. No shares authorized,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December 31,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(2,364,168)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(1,930,600)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redeemable convertible preferred stock,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center"/>
        <w:rPr/>
      </w:pPr>
      <w:r>
        <w:rPr/>
      </w:r>
    </w:p>
    <w:p>
      <w:pPr>
        <w:pStyle w:val="TextBody"/>
        <w:bidi w:val="0"/>
        <w:spacing w:before="0" w:after="2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002"/>
        <w:gridCol w:w="1565"/>
        <w:gridCol w:w="1570"/>
        <w:gridCol w:w="109"/>
        <w:gridCol w:w="109"/>
        <w:gridCol w:w="109"/>
        <w:gridCol w:w="109"/>
        <w:gridCol w:w="211"/>
        <w:gridCol w:w="1020"/>
        <w:gridCol w:w="109"/>
        <w:gridCol w:w="109"/>
        <w:gridCol w:w="109"/>
        <w:gridCol w:w="109"/>
        <w:gridCol w:w="211"/>
        <w:gridCol w:w="976"/>
        <w:gridCol w:w="109"/>
        <w:gridCol w:w="109"/>
        <w:gridCol w:w="109"/>
        <w:gridCol w:w="109"/>
        <w:gridCol w:w="211"/>
        <w:gridCol w:w="976"/>
        <w:gridCol w:w="155"/>
      </w:tblGrid>
      <w:tr>
        <w:trPr/>
        <w:tc>
          <w:tcPr>
            <w:tcW w:w="200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669" w:type="dxa"/>
            <w:gridSpan w:val="6"/>
            <w:tcBorders/>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236,270,347 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64,910,056 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63,104,219 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p>
      <w:pPr>
        <w:pStyle w:val="TextBody"/>
        <w:bidi w:val="0"/>
        <w:spacing w:before="0" w:after="20"/>
        <w:jc w:val="center"/>
        <w:rPr/>
      </w:pPr>
      <w:r>
        <w:rPr/>
      </w:r>
    </w:p>
    <w:tbl>
      <w:tblPr>
        <w:tblW w:w="9417" w:type="dxa"/>
        <w:jc w:val="left"/>
        <w:tblInd w:w="0" w:type="dxa"/>
        <w:tblLayout w:type="fixed"/>
        <w:tblCellMar>
          <w:top w:w="28" w:type="dxa"/>
          <w:left w:w="28" w:type="dxa"/>
          <w:bottom w:w="28" w:type="dxa"/>
          <w:right w:w="28" w:type="dxa"/>
        </w:tblCellMar>
      </w:tblPr>
      <w:tblGrid>
        <w:gridCol w:w="1657"/>
        <w:gridCol w:w="1445"/>
        <w:gridCol w:w="1472"/>
        <w:gridCol w:w="109"/>
        <w:gridCol w:w="109"/>
        <w:gridCol w:w="109"/>
        <w:gridCol w:w="109"/>
        <w:gridCol w:w="211"/>
        <w:gridCol w:w="1051"/>
        <w:gridCol w:w="109"/>
        <w:gridCol w:w="109"/>
        <w:gridCol w:w="109"/>
        <w:gridCol w:w="109"/>
        <w:gridCol w:w="211"/>
        <w:gridCol w:w="796"/>
        <w:gridCol w:w="109"/>
        <w:gridCol w:w="109"/>
        <w:gridCol w:w="109"/>
        <w:gridCol w:w="109"/>
        <w:gridCol w:w="211"/>
        <w:gridCol w:w="90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593" w:type="dxa"/>
            <w:gridSpan w:val="6"/>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marketable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before="0" w:after="0"/>
        <w:jc w:val="center"/>
        <w:rPr/>
      </w:pPr>
      <w:r>
        <w:rPr/>
      </w:r>
    </w:p>
    <w:tbl>
      <w:tblPr>
        <w:tblW w:w="12982" w:type="dxa"/>
        <w:jc w:val="left"/>
        <w:tblInd w:w="0" w:type="dxa"/>
        <w:tblLayout w:type="fixed"/>
        <w:tblCellMar>
          <w:top w:w="28" w:type="dxa"/>
          <w:left w:w="28" w:type="dxa"/>
          <w:bottom w:w="28" w:type="dxa"/>
          <w:right w:w="28" w:type="dxa"/>
        </w:tblCellMar>
      </w:tblPr>
      <w:tblGrid>
        <w:gridCol w:w="634"/>
        <w:gridCol w:w="268"/>
        <w:gridCol w:w="269"/>
        <w:gridCol w:w="532"/>
        <w:gridCol w:w="534"/>
        <w:gridCol w:w="196"/>
        <w:gridCol w:w="109"/>
        <w:gridCol w:w="109"/>
        <w:gridCol w:w="109"/>
        <w:gridCol w:w="196"/>
        <w:gridCol w:w="871"/>
        <w:gridCol w:w="109"/>
        <w:gridCol w:w="109"/>
        <w:gridCol w:w="109"/>
        <w:gridCol w:w="109"/>
        <w:gridCol w:w="109"/>
        <w:gridCol w:w="109"/>
        <w:gridCol w:w="109"/>
        <w:gridCol w:w="524"/>
        <w:gridCol w:w="527"/>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196"/>
        <w:gridCol w:w="88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Balance as of December 31, 2022</w:t>
            </w:r>
            <w:r>
              <w:rPr>
                <w:color w:val="000000"/>
              </w:rPr>
              <w:t xml:space="preserve"> </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62,765,284 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(1,789,078)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(203,202)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1,632,901 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early-exercised stock options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Balance as of December 31, 2023</w:t>
            </w:r>
            <w:r>
              <w:rPr>
                <w:color w:val="000000"/>
              </w:rPr>
              <w:t xml:space="preserve"> </w:t>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64,394,985 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(2,338,824)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(1,953,613)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952,866 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restricted common stock in connection with the acquisition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1,645,775 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(42,890)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December 31, 2024 </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66,950,736 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(1,009,936)</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(1,009,936)</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9,243,830 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issuance costs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30,700,765 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to common stock in connection with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258,667,796 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785,350 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17,067,441 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stock</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(3,738,698)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charitable contribution</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379,933,372 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for more information.</w:t>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84"/>
        <w:gridCol w:w="1665"/>
        <w:gridCol w:w="1672"/>
        <w:gridCol w:w="109"/>
        <w:gridCol w:w="109"/>
        <w:gridCol w:w="109"/>
        <w:gridCol w:w="109"/>
        <w:gridCol w:w="196"/>
        <w:gridCol w:w="917"/>
        <w:gridCol w:w="109"/>
        <w:gridCol w:w="109"/>
        <w:gridCol w:w="109"/>
        <w:gridCol w:w="109"/>
        <w:gridCol w:w="197"/>
        <w:gridCol w:w="741"/>
        <w:gridCol w:w="109"/>
        <w:gridCol w:w="109"/>
        <w:gridCol w:w="109"/>
        <w:gridCol w:w="109"/>
        <w:gridCol w:w="196"/>
        <w:gridCol w:w="736"/>
        <w:gridCol w:w="109"/>
        <w:gridCol w:w="109"/>
        <w:gridCol w:w="109"/>
        <w:gridCol w:w="109"/>
        <w:gridCol w:w="157"/>
      </w:tblGrid>
      <w:tr>
        <w:trPr/>
        <w:tc>
          <w:tcPr>
            <w:tcW w:w="198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related to real estate assets and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provided by operating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provided by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related to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76"/>
        <w:gridCol w:w="1826"/>
        <w:gridCol w:w="1833"/>
        <w:gridCol w:w="109"/>
        <w:gridCol w:w="109"/>
        <w:gridCol w:w="109"/>
        <w:gridCol w:w="109"/>
        <w:gridCol w:w="196"/>
        <w:gridCol w:w="871"/>
        <w:gridCol w:w="109"/>
        <w:gridCol w:w="109"/>
        <w:gridCol w:w="109"/>
        <w:gridCol w:w="109"/>
        <w:gridCol w:w="196"/>
        <w:gridCol w:w="556"/>
        <w:gridCol w:w="109"/>
        <w:gridCol w:w="109"/>
        <w:gridCol w:w="109"/>
        <w:gridCol w:w="109"/>
        <w:gridCol w:w="196"/>
        <w:gridCol w:w="556"/>
        <w:gridCol w:w="109"/>
        <w:gridCol w:w="109"/>
        <w:gridCol w:w="109"/>
        <w:gridCol w:w="109"/>
        <w:gridCol w:w="155"/>
      </w:tblGrid>
      <w:tr>
        <w:trPr/>
        <w:tc>
          <w:tcPr>
            <w:tcW w:w="207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Delaware in 2012 and is headquartered in San Francisco, California with offices in Chicago, Illinois, and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closed its initial public offering (“IPO”) of 36,800,000 shares of Class A common stock, including 6,099,235 shares sold by selling stockholders and 4,800,000 shares sold by the Company pursuant to the exercise of the option granted to the underwriters, at a public offering price of $27.00 per share. The total net proceeds the Company received in the IPO were approximately $770.6 million after deducting underwriting discounts and commissions of $43.5 million and offering expenses of $14.8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IPO, all shares of the Company’s outstanding redeemable convertible preferred stock automatically converted into a total of 258,667,796 shares of the Company’s common stock and all previously outstanding shares of the Company’s common stock, along with the 258,667,796 shares of common stock mentioned above, were automatically reclassified into an equivalent number of shares of the Company’s Class A common stock. Additionally, a total of 32,182,289 shares of Class A common stock held by Christopher Britt, the Company’s Chief Executive Officer and Chairman, and Ryan King, a member of the Company’s Board of Directors (the “Co-Founders”) and their related entities were exchanged for an equivalent number of shares of Class B common stock pursuant to the terms of certain exchange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filed its Amended and Restated Certificate of Incorporation (the “Charter”), which authorizes a total of 5.0 billion shares of Class A common stock, 65.0 million shares of Class B common stock, 500.0 million shares of Class C common stock, and 100.0 million shares of preferred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generally accepted accounting principles in the United States of America (“GAAP”) and include the accounts of the Company’s wholly-owned subsidiaries. All intercompany balances and transactions have been eliminated. The reporting currency of the Company is the U.S. Dollar.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consolidated statements of operations as consolidated net income (loss). Revenue from external customers and significant segment expenses are presented in the Company's consolidated statements of operations. The measure of segment assets is reported on the balance sheet as total consolidated assets. All long-lived assets are located in the United States, and all revenue is generated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the fair value and useful lives of assets acquired and liabilities assumed through business combinations, and the fair value of equity awards and stock-based compensation. These estimates are inherently subject to judgment. Actual results could differ from these estimates, and such differences may be material to the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earns payments revenue in exchange for providing payment services for its members. Payments revenue is based on interchange fees generated from purchase transactions made by members using their Chime-branded debit and credit cards. The Company’s payments revenue reflects the gross amount of the interchange fees, which are generally determined as a percentage of the underlying transaction value plus a fixed amount per transaction based upon rates set by the card networks. Payments revenue is recognized net of refunds, which arise when members make returns to merchants.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the Company contracts with its bank partners to provide members with FDIC-insured checking accounts and provide card network sponsorship, as well as to oversee compliance with bank regulations and card networks for transaction routing, reporting and settlement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the principal in providing the payment services under the Company’s contracts with its members. In collaboration with its bank partners and the card networks, the Company’s primary performance obligation in payment services is to connect members to financial institutions and merchants by enabling, authorizing, and settling each payment. Payments revenue is recognized at the point in time when the Company’s single performance obligation is satisfied, upon the authorization and settlement of the members’ payment transactions as each transaction occurs. The Company maintains control of the integrated transaction processing services before delivery to its members and records revenue on a gross basis on the consolidated statement of operations. Payments revenue is collected by and remitted to the Company through each bank partner and is generally collected monthly in arrears.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Company earns platform-related revenue from other products offered to its members that provide additional convenience, financial management tools, and access to liquidity</w:t>
      </w:r>
      <w:r>
        <w:rPr>
          <w:rFonts w:ascii="Times New Roman;serif" w:hAnsi="Times New Roman;serif"/>
          <w:b w:val="false"/>
          <w:color w:val="000000"/>
          <w:sz w:val="20"/>
        </w:rPr>
        <w:t>. These products include MyPay, ATMs, outbound instant transfers, third-party partnerships, SpotMe, cash deposits, Instant Loans, and high-yield savings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offers MyPay to its members, which enables them to receive money in advance of payday up to a predetermined limit for free within 24 hours, or instantly for a flat fee. The Company recognizes the instant transfer fee net of fees paid to bank partners that are related to the product as revenue. Under agreements between the Company and its two bank partners, the bank partners are the legal lenders of the MyPay product. One of the Company’s bank partners has a contractual option to sell individual MyPay receivables to the Company once such receivables have aged two days beyond their origination date. The Company records these receivables purchased as loans held for investment, net on the consolidated balance sheets and accrues instant transfer fee revenue for these loans using the effective interest rate method. For the off-balance sheet MyPay receivables that are retained by either of the bank partners, the Company recognizes revenue based on the instant transfer fee, net of fees paid to bank partners, at an amount that approximates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its members access to fee-free ATMs. Each time members withdraw money at certain ATMs that are not in the Company’s network of fee-free ATMs, the Company charges a fixed ATM fee in accordance with the terms and conditions in the member agreements. In collaboration with its bank partners and the card networks, the Company’s primary performance obligation in ATM transaction services is to connect members to financial institutions by enabling, authorizing, and settling each ATM transaction. ATM revenue is recognized at the point in time when its single performance obligation is satisfied, upon the authorization and settlement of the members’ ATM transactions as each transaction occurs. The Company maintains control of the integrated transaction processing services before delivery to its members and records revenue on a gross basis on the consolidated statement of operations. ATM revenue is collected by and remitted to the Company through each bank partner and is generally collected monthly in arrears.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members the ability to instantly transfer funds from their Chime account to an external account at a fixed rate. The Company is the principal in these arrangements, as it controls the transfer service until it is provided to the member. In partnership with its bank partners, card networks, and processors, the Company's single performance obligation is to authorize and make funds instantly available in the member's external designated account, and settlement of funds. Revenue is recognized at a point in time on a gross basis when the transfer of funds is completed. Fees are remitted to the Company through its bank partners, generally collected monthly in arrears.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generates revenue from third-party partnership agreements through products such as Insurify, Experian Boost, and its Offers Marketplace, where the Company receives payment from partners that offer products and services to members on the Chime app for connecting members with the partners. Revenue is recognized at a point in time when the Company’s performance obligation is satisfied.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members access to SpotMe, a fee-free overdraft protection product, which allows enrolled members to overdraw their accounts up to a predetermined limit free of charge. Members may tip Chime, at their discretion, for the use of the feature once the overdraft is repaid and may rescind the tip during the specified refundable period as defined in the member agreement. The Company defers the recognition of revenue until the expiration of the refundable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Members can deposit cash into their accounts for free at certain retail locations, or for a fee at other retail locations. Through contracts with third-party cash deposit networks, the Company earns revenue upon each qualifying cash deposit outside its free network at a rate that varies depending on the cash deposit network and retailer. The Company does not have the primary responsibility for fulfilling its members’ cash deposit requests and the Company recognizes revenue net of fees paid to its third-party cash deposit networks upon settlement of the cash deposit in the members’ accounts.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also offers its members access to Instant Loans, which allows members to borrow funds that are repaid in equal installments over a set period of time. Instant Loans have a fixed interest rate with no late fees or compound interest. The Company’s bank partner is the legal lender of the Instant Loan product. The Company earns revenue related to Instant Loans based on the interest expected to be collected from members, net of fees paid to the bank partner,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offers its members access to high-yield savings accounts with no minimum deposit requirements. Member savings account balances are held in interest-bearing deposit accounts offered through the Company’s bank partners. Under the terms of the Company’s applicable contractual agreements with each bank partner, member deposits are either placed in the community deposit sweep program or held by the Company’s bank partners. The earned interest is passed to the Company which it recognizes as revenue net of the interest paid to its members, which is considered consideration payable to the member. The Company’s single performance obligation to its members, which is satisfied daily, is to offer access to the high-yield savings account to members, which provides interest on the deposited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include expenses relating to the Company’s third-party and internally-developed payment processors. Through November 2025, the Company engaged a third-party processor to perform transaction authorization, settlement, payments, adjustments, and other account-level processing, as well as to maintain member account information and provide transaction reporting. Fees paid to the third-party processor were generally based on a fixed amount per transaction, subject to volume-based discounts. In November 2025, the Company completed its migration to ChimeCore, its proprietary payment processor and ledger. Costs associated with ChimeCore primarily include hosting and software-related expenses. Transaction processing and bank partner costs also include amortization of internal-use software related to supporting revenue-generating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transaction processing and bank partner costs include fees paid to bank partners for serving as the Company’s card issuing bank and for card network sponsorship. These costs are predominantly based on a specified percentage of the dollar volume of member purchase transactions using Chime-branded debit or credit cards at each respective bank partner, in which the percentage generally decreases with scale.</w:t>
      </w:r>
    </w:p>
    <w:p>
      <w:pPr>
        <w:pStyle w:val="TextBody"/>
        <w:bidi w:val="0"/>
        <w:spacing w:lineRule="auto" w:line="288" w:before="0" w:after="180"/>
        <w:ind w:left="0" w:right="0" w:hanging="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pays card and ATM networks for providing the worldwide networks through which card payment, ATM transactions, and other money movements such as inbound and outbound transfers are authorized, processed, and settled. These fees are generally based on the dollar volume of member purchase transactions, the total number of transactions in the period, and other money movement volume and vary by network and transaction type.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also has marketing and incentive arrangements with card networks that provide it with certain incentives on a periodic basis, including quarterly and annual incentives based on transaction volumes in the period, contract signing bonus, and other marketing incentives. The Company records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are recognized as incurred, as follows:</w:t>
      </w:r>
    </w:p>
    <w:p>
      <w:pPr>
        <w:pStyle w:val="TextBody"/>
        <w:bidi w:val="0"/>
        <w:spacing w:lineRule="auto" w:line="288" w:before="0" w:after="18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consist of losses relating to credit obligations for outstanding receivables from members, both on- and off-balance sheet, and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credit obligations for off-balance sheet receivables that are retained by bank partners and relate to MyPay, Instant Loans, SpotMe, as well as other instances where a member’s account is overdrawn, are estimated at each period end and recognized on the consolidated balance sheets as product obligation. This obligation is measured at fair value, using a discounted cash flow model to calculate the present value of future cash flows based on current period data and historical trends.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allowance for credit losses on MyPay receivables purchased by the Company, which are on the Company’s consolidated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also includes transaction dispute losses, which result from member-initiated disputes with a merchant or due to processing fraudulent transactions. The Company estimates the provision for transaction dispute losses each period based on current period data points and historical trends related to loss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the Company uses for certain member support and loss prevention services, the costs of physical debit and credit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general marketing and promotional activities, including advertising costs associated with the production and communication of advertisements in various media outlets for direct response and brand marketing, referral bonuses, and other promotional activities. Sales and marketing expenses also include personnel-related expenses including salaries, employee benefit costs, and stock-based compensation for employees engaged in marketing functions and allocated overhead.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offers cash bonuses to prospective and existing members through its referral program and other promotional activities. Bonuses paid to prospective members are one-time promotional payments intended to support new member acquisition and initial account activation. These bonuses are recorded as sales and marketing expense when these individuals do not meet the definition of a customer.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the bonus is paid to existing members in exchange for a distinct service, such as referring a new member, and the amount paid reflects the fair value of that service, the bonus is recorded as sales and marketing expense. Bonuses paid to prospective and existing members that do not meet these criteria are accounted for as consideration payable to a customer and recorded as a reduction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were $509.8 million, $456.6 million, and $394.7 million for the years ended December 31, 2025, 2024, and 2023.</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science, and design functions, and allocated overhead, as well as costs for cloud infrastructure, and other costs to support and improve the Company’s platform.</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 For the year ended December 31, 2025, general and administrative expenses also included $32.6 million in one-time termination costs related to the contract termination with the Company’s third-party processor.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measures compensation expense for all stock-based payment awards granted to employees, and nonemployee service providers, based on the estimated fair value of the awards on the date of grant. </w:t>
      </w:r>
      <w:r>
        <w:rPr>
          <w:rFonts w:ascii="Times New Roman;serif" w:hAnsi="Times New Roman;serif"/>
          <w:b w:val="false"/>
          <w:color w:val="000000"/>
          <w:sz w:val="20"/>
          <w:shd w:fill="FFFFFF" w:val="clear"/>
        </w:rPr>
        <w:t>Forfeitures are accounted for as they occur. Stock-based compensation expense is allocated to operating expenses on the consolidated statements of operations based on where the associated employee’s compensation is recorded.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 of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Company’s IPO, the Company’s Board of Directors determined the fair value of our common stock at each grant date. The Board of Directors considered numerous objective and subjective factors to determine the fair value of the Company’s common stock including: contemporaneous third-party valuations of the Company’s common stock, observed sales of common and redeemable convertible preferred stock, evaluation of the Company’s principal market, the Company’s actual operating and financial performance, the valuation of comparable companies, the lack of marketability, and general and industry specific economic outlook, amongst other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the Company’s IPO, the fair value of the Company’s common stock is based on the closing price of the Company’s Class A common stock on the grant date.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compensation cost for stock options at fair value on grant date and recognizes compensation cost over the requisite service period. For awards with only service-based vesting conditions, the Company records compensation cost for these awards using the straight-line method. For awards with performance-based vesting conditions, the Company recognizes compensation cost on a tranche-by-tranche basis (the accelerated attribution method), based on the probability of achieving the performance criteria.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pricing model to estimate the fair value of the stock option awards. The Black-Scholes option-pricing model incorporates various assumptions in estimating the fair value of stock-based awards. In addition to the fair value of common stock, these variables include:</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Expected Term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simplified method to determine the expected term of the stock options. The expected term of the options is based on the average period the stock options are expected to remain outstanding calculated as the midpoint of the options vesting term and contractual expiration period, as the Company does not have sufficient historical information to develop expectations about future exercise patterns and post-vesting termination behavior.</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Expected Volatility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the Company does not have sufficient trading history for its common stock, the Company estimates the volatility based on the expected volatility of publicly traded industry peers.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Risk-Free Interest 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weighted average, risk-free rate based on the rate for a U.S. Treasury zero-coupon issue with a term that approximates the expected life of the option grant at the date closest to the option grant date.</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Expected 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not paid and does not anticipate paying any cash dividends in the foreseeable future, and therefore, uses an expected dividend yield of zero.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the fair value process, the Company assesses the impact of material nonpublic information on the Company’s share price or expected volatility, as applicable,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measures RSUs based on the fair value of the underlying common stock on the date of grant.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prior to the Company’s IPO vest upon the satisfaction of both a service condition and a liquidity condition. The service condition for these awards is generally satisfied over four years. Upon consummation of the IPO, the Company recorded cumulative stock-based compensation expense using the accelerated attribution method for those RSUs for which the service condition had been satisfied prior to the occurrence of the liquidity event. The Company will record the remaining unrecognized stock-based compensation expense over the remainder of the requisite service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RSUs granted on or after the Company’s IPO vest upon the satisfaction of a service condition. The service condition for these awards is generally satisfied over four years and the grant date fair value of these RSUs will be recorded as stock-based compensation on a straight-line basis expense over the requisite service period.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PSUs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restricted stock units with a service condition, a liquidity condition, and other operational performance-based vesting conditions. The awards are measured at fair value of the underlying common stock on the date of grant. Upon consummation of the IPO, the Company recorded cumulative stock-based compensation expense using the accelerated attribution method for those awards that are expected to vest based on the probability of achieving the performance criteria. The Company will record the remaining unrecognized expense over the remainder of the expected achievement period for the performance conditions of the awards.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The Company records stock-based compensation expense for such awards using the accelerated attribution method over the requisite service period. The Company determines the requisite service period by comparing the derived service period to achieve the market-based vesting condition and the explicit time-based service period, using the longer of the two service periods as the requisite service period.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granted service-based and performance-based RSAs to certain continuing employees in connection with the Acquisition. RSAs are measured at fair value of the underlying common stock on the date of grant. For awards with only service-based vesting conditions, which is generally satisfied over 14 quarters, the Company records compensation cost for these awards using the straight-line method over the requisite service period. Awards with performance-based vesting conditions vest upon the achievement of designated operational metrics and continued employment at the time when the performance condition is achieved. The Company recognizes compensation cost for performance-based RSAs based on the accelerated attribution method when the performance condition is considered probable to be satisfied.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the Company’s cash and cash equivalents and marketable securities.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cash held in banks and highly liquid investments, including money market funds, with an original maturity of three months or less at the date of purchase, to be cash and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restricted cash consisted of cash restricted by an agreement with a bank partner and is required to be used to purchase loans held for investment.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Collateral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cash collateral accounts with each respective bank partner to provide them with protection against losses from certain products. The Company funds these accounts according to requirements in the individual agreements, which vary by product type. On a monthly basis, any calculated deficit in such collateral accounts is funded by the Company, and any surplus may be remitted by the respective bank partner at the request of the Company. The amount of cash collateral funded fluctuates month-to-month and in some instances, the Company’s accounts receivable with the bank partner may be pledged to satisfy the collateral requirements.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appropriate classification of its investments in marketable securities at the time of purchase and reevaluates such designation at each balance sheet date. The Company has classified and accounted for its marketable securities as available-for-sale (“AFS”). After consideration of the Company’s capital preservation objectives, as well as its liquidity requirements, the Company may sell securities prior to their stated maturities and therefore classifies marketable securities as current assets on the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carries its AFS securities at fair value and reports any unrealized gain and loss, net of taxes, in accumulated other comprehensive income (loss), a component of stockholders’ deficit. The Company records any realized gains or losses on the sale of marketable securities in other income, net on the consolidated statements of operations. The cost of securities sold is based on the specific-identification method. Interest on marketable securities classified as AFS is included in other income, net on the consolidated statements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evaluates unrealized losses on its AFS securities to determine if they are due to credit or non-credit related factors. The Company considers credit related impairments to be changes in fair value that are driven by a change in the creditor’s ability to meet its payment obligations. In those instances, an impairment charge equal to the difference between the fair value and the amortized cost basis is recognized in other income, net on the consolidated statements of operations. The Company determined that there was no credit-related impairment on marketable securities during the years ended December 31, 2025,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reports all financial assets and liabilities that are recognized or disclosed at fair value on the consolidated financial statements on a recurring basis in accordance with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(“ASC 820”). ASC 820 defines fair value as the price that would be received from selling an asset or paid to transfer a liability in an orderly transaction between market participants at the measurement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ASC 820 also establishes a fair value hierarchy, which prioritizes the inputs to valuation techniques used to measure fair value into three levels. A financial instrument’s categorization within the fair value hierarchy is based upon the lowest level of input that is available and significant to the fair value measurement. ASC 820 establishes and prioritizes three levels of inputs that may be used to measure fair value: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 Inputs to the valuation methodology are quoted prices, unadjusted, for identical assets or liabilities in active markets.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Level 3: Inputs to the valuation methodology are unobservable and significant to the fair value measurement. Level 3 assets and liabilities include financial instruments whose value is determined using discounted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flow methodologies, as well as instruments for which the determination of fair value requires significant management judgment or estimation.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4 for additional disclosure related to fair value measurements.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is principally comprised of interchange-based fees due from the bank partners, net of bank partner costs, and incentives due from card networks. These receivables are generally collected monthly or quarterly in arrears based on the remittance terms in the respective agreements with each bank partner and card network. The Company estimates an allowance for accounts receivable based on its assessment of the collectability by considering its historical accounts receivable collection experience for each counterparty, the credit quality of the counterparties, the age of the outstanding receivable, and an evaluation of current expected risk of credit loss based on current economic conditions and reasonable and supportable forecasts of future economic conditions over the life of the receivable.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Loans Held for Investment,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the launch of MyPay in 2024, one of the Company’s bank partners was provided with a contractual option to sell individual MyPay receivables to the Company once such receivables have aged two days beyond their origination date. These MyPay receivables purchased by the Company are initially recognized at fair value on the date of acquisition on the consolidated balance sheets as loans held for investment when the Company makes payment to the bank partner and acquires all rights and title of the receivables. These receivables have no stated maturity date; however, are deemed to be held for investment as the Company has the intent and ability to hold them for the foreseeable future or until payoff.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are reported at amortized cost, which includes unpaid principal balances and any related premiums. The amortized cost is adjusted for the allowance for expected credit losses within loans held investment, net. The Company accrues MyPay instant transfer fee revenue for these loans using the effective interest method.</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Allowance for Expected Credit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the allowance for credit losses represents management’s estimate of expected credit losses over the remaining expected life of the Company’s financial assets measured at amortized cost considering available information from internal and external sources. The allowance for credit losses is primarily related to expected losses on the Company’s loans held for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allowance for expected credit losses on loa</w:t>
      </w:r>
      <w:r>
        <w:rPr>
          <w:rFonts w:ascii="Times New Roman;serif" w:hAnsi="Times New Roman;serif"/>
          <w:b w:val="false"/>
          <w:color w:val="000000"/>
          <w:sz w:val="20"/>
        </w:rPr>
        <w:t>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is stated at cost, less accumulated depreciation and amortization. Depreciation is computed using the straight-line method over the estimated useful life of the respective asset, which is generally as follows:</w:t>
      </w:r>
    </w:p>
    <w:tbl>
      <w:tblPr>
        <w:tblW w:w="8666" w:type="dxa"/>
        <w:jc w:val="left"/>
        <w:tblInd w:w="0" w:type="dxa"/>
        <w:tblLayout w:type="fixed"/>
        <w:tblCellMar>
          <w:top w:w="28" w:type="dxa"/>
          <w:left w:w="28" w:type="dxa"/>
          <w:bottom w:w="28" w:type="dxa"/>
          <w:right w:w="28" w:type="dxa"/>
        </w:tblCellMar>
      </w:tblPr>
      <w:tblGrid>
        <w:gridCol w:w="1368"/>
        <w:gridCol w:w="1204"/>
        <w:gridCol w:w="1208"/>
        <w:gridCol w:w="109"/>
        <w:gridCol w:w="109"/>
        <w:gridCol w:w="109"/>
        <w:gridCol w:w="1334"/>
        <w:gridCol w:w="1334"/>
        <w:gridCol w:w="18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Property, Equipment and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6"/>
              </w:rPr>
            </w:pPr>
            <w:r>
              <w:rPr>
                <w:rFonts w:ascii="Times New Roman;serif" w:hAnsi="Times New Roman;serif"/>
                <w:b/>
                <w:color w:val="000000"/>
                <w:sz w:val="16"/>
              </w:rPr>
              <w:t>Useful Life</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to 7 years</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Shorter of estimated useful life or remaining lease term</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years</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Expenditures for repairs and maintenance are expensed as incurred. Upon disposal, the cost and related accumulated depreciation are removed from the accounts and the resulting gain or loss is reflected in other income, net on the consolidated statements of operations. For the years ended December 31, 2025, 2024, and 2023, there were no material gains or losses on the disposal of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its costs relating to internal-use software projects when preliminary development efforts are successfully completed, management has authorized and committed project funding, it is probable that the project will be completed, and the software will be used as intended. Capitalized costs primarily consist of salaries and compensation costs for employees, fees paid to third-party consultants who are directly involved in development efforts and costs incurred for upgrades and functionality enhancements. Other costs are expensed as incurred. Internal-use software is amortized on a straight-line basis over the estimated useful life of the related asset, which is generally three years from when the software is ready for its intended use.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Acquisition-related expenses and post-combination integration and employee compensation costs are recognized separately from the business combination and are expensed as incurred.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Long-Lived Assets, including 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its property and equipment and finite-lived intangible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the carrying amount is not recoverable and exceeds the asset’s fair value, such assets are considered to be impaired and an impairment loss is recognized based on the excess of the carrying amount of the asset above the fair value of the asset.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net assets acquired in a business combination and is allocated to reporting units expected to benefit from the business combination. We operate and report financial information in one operating segment. The Company performs a goodwill impairment test annually and more frequently if events and circumstances indicate that the asset might be impaired. The Company first assesses qualitative factors to determine whether events or circumstances indicate that it is more likely than not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a reporting unit is less than its carrying amount and determine whether further action is needed. If, after assessing the totality of events or circumstances, the Company determines it is not more likely than not that the fair value of a reporting unit is less than its carrying amount, then additional impairment testing is not required. However, if the Company concludes otherwise, it performs a quantitative assessment to compare the estimated value of a reporting unit to its book value. If the book value exceeds its fair value, an impairment loss will be recognized in an amount equal to that excess, limited to the total amount of goodwill allocated to that reporting unit. The Company recognized $27.5 million in goodwill in other assets on the consolidated balance sheets as of December 31, 2025 and 2024.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establishes an accrual for estimated losses due to transaction disputes, which represent a potential loss due to member-initiated transaction disputes or due to processing a fraudulent transaction. The accrual is estimated based on available data as of the reporting date, including expected disputes on processed transactions, and historical loss rates. Additions to the accrual are reflected in transaction and risk losses in the consolidated statements of operations while realized losses are offset against the accrual. The accrual for estimated transaction dispute losses is included within accrued and other current liabilities in the consolidated balance sheets.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product obligation is initially measured at fair value and subsequently remeasured at each reporting period end for any incremental increases or decreases in its fair value. </w:t>
      </w:r>
      <w:r>
        <w:rPr>
          <w:rFonts w:ascii="Times New Roman;serif" w:hAnsi="Times New Roman;serif"/>
          <w:b w:val="false"/>
          <w:color w:val="000000"/>
          <w:sz w:val="20"/>
          <w:shd w:fill="FFFFFF" w:val="clear"/>
        </w:rPr>
        <w:t>The product obligation represe</w:t>
      </w:r>
      <w:r>
        <w:rPr>
          <w:rFonts w:ascii="Times New Roman;serif" w:hAnsi="Times New Roman;serif"/>
          <w:b w:val="false"/>
          <w:color w:val="000000"/>
          <w:sz w:val="20"/>
        </w:rPr>
        <w:t>nts the Company’s expected remaining future cash flows at period end from the off-balance sheet MyPay receivables, Instant Loans, SpotMe, as well as other instances where a member’s account is overdrawn. The cash flows are inclusive of revenues related to off-balance sheet MyPay receivables and Instant Loans and expected credit losses. See Note 8 - Credit Obligations for further details.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its agreements with its bank partners, the Company is required to collateralize this product obligation. Cash collateral on the product obligation is recorded in product collateral on the consolidated balance sheets, and collateral in the form of accounts receivable, due from bank partners, is recorded in accounts receivable on the Company’s consolidated balance sheets.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Network Incentive Obligation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records a network incentive obligation when the card network provides upfront incentive payments for the Company meeting certain future milestones. The incentives are deferred and recognized as a reduction to cost of revenue over the life of the contract. The portion of network incentive obligation which is expected to be recognized in the next twelve months is included within accrued and other current liabilities in the consolidated balance sheets, while the remainder is included within other non-current liabilities in the consolidated balance sheets.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lease agreements generally contain lease and non-lease components. The Company elected to apply the practical expedient to combine non-lease components, which primarily include payments for maintenance and utilities, with lease payments and account for them as a single lease component. The Company includes the fixed non-lease components in the determination of the right-of-use assets and operating lease liabilities. The Company records the amortization of the right of use asset and the accretion of lease liability as rent expense and allocates the amounts as overhead on the consolidated statement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Lease terms may include renewal or extension options to the extent they are reasonably certain to be exercised. The assessment of whether lease renewal or extension options are reasonably certain to be exercised is made at lease commencement. Factors considered in determining whether an option is reasonably certain to be exercised include, but are not limited to, the value of any leasehold improvements, the value of renewal rates compared to market rates, and the presence of factors that would cause a significant economic penalty to the Company if the option were not exercised.</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elected to apply the short-term lease measurement and recognition practical expedient to its leases where applicable, thus leases with an initial term of 12 months or less are not recorded on the consolidated balance sheets. The Company records rent expense for short-term leases on the consolidated statements of operations on a straight-line basis over the lease term. The Company has no finance leases.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401(k)-tax deferred savings plan under which eligible employees may elect to have a portion of their salary deferred and contributed to the plan. Employees may also contribute to a Roth 401(k) plan using post-tax dollars. During the years ended December 31, 2025, 2024, and 2023, the Company contributed approximately $9.5 million, $8.5 million, and $8.4 million to the 401(k)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 repurchases may be made through a variety of methods, including open market or privately negotiated purchases. Shares repurchased are immediately retired. When shares are retired, the value of repurchased shares is a deduction to common stock par value and any excess over par value is recorded to additional paid-in capital.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A valuation allowance may be established to reduce the deferred tax asset to the level at which it is more likely than not that the tax asset or benefits will be realized. If the Company determines that it is able to realize its deferred tax assets in the future in excess of the net recorded amount, the Company decreases the deferred tax asset valuation allowance, which reduces the income tax expense. Realization of tax benefits of deductible temporary differences, operating loss carryforwards and tax credit carryforwards depends on having sufficient taxable income of an appropriate character within the carryback or carryforward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effect of income tax positions only if those positions are more likely than not to be sustained upon review by the taxing authority. Recognized income tax positions are measured at the largest amount that is greater than 50% likelihood of being realized. Changes in recognition or measurement are reflected in the period in which the change in judgment occurs. Interest and penalties related to income taxes are reported in the provision (benefit) for income taxes on the consolidated statements of operations, if applicable.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had 100% of its product collateral with two bank partners based on contractual agreements with each bank partner.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2025 and December 31, 2024, there were no concentrations of investments in securities of the same issuer, except for U.S. government securities, which amounted to </w:t>
      </w:r>
      <w:r>
        <w:rPr>
          <w:rFonts w:ascii="Times New Roman;serif" w:hAnsi="Times New Roman;serif"/>
          <w:b w:val="false"/>
          <w:color w:val="000000"/>
          <w:sz w:val="20"/>
          <w:shd w:fill="FFFFFF" w:val="clear"/>
        </w:rPr>
        <w:t>$563.6 million and $352.6 million,</w:t>
      </w:r>
      <w:r>
        <w:rPr>
          <w:color w:val="000000"/>
        </w:rPr>
        <w:t xml:space="preserve"> </w:t>
      </w:r>
      <w:r>
        <w:rPr>
          <w:rFonts w:ascii="Times New Roman;serif" w:hAnsi="Times New Roman;serif"/>
          <w:b w:val="false"/>
          <w:color w:val="000000"/>
          <w:sz w:val="20"/>
        </w:rPr>
        <w:t>or 96% and 96%, of the investments in marketable securities. All debt securities within the Company’s portfolio are investment-grade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receivables outstanding from two bank partners, that represent 46% of receivables collectively (26% and 20% for each respective bank partner), and one card network partner that represented 50% of receivables. As of December 31, 2024, the Company had receivables outstanding from two bank partners, that represent 45% of receivables collectively (25% and 20% for each respective bank partner), and one card network partner that represented 50% of receivables.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Standards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December 2023, FASB issued ASU 2023-09,</w:t>
      </w:r>
      <w:r>
        <w:rPr>
          <w:color w:val="000000"/>
        </w:rPr>
        <w:t xml:space="preserve"> </w:t>
      </w:r>
      <w:r>
        <w:rPr>
          <w:rFonts w:ascii="Times New Roman;serif" w:hAnsi="Times New Roman;serif"/>
          <w:b w:val="false"/>
          <w:i/>
          <w:color w:val="000000"/>
          <w:sz w:val="20"/>
        </w:rPr>
        <w:t>Income Taxes (Topic 740): Improvements to Tax Disclosures.</w:t>
      </w:r>
      <w:r>
        <w:rPr>
          <w:color w:val="000000"/>
        </w:rPr>
        <w:t xml:space="preserve"> </w:t>
      </w:r>
      <w:r>
        <w:rPr>
          <w:rFonts w:ascii="Times New Roman;serif" w:hAnsi="Times New Roman;serif"/>
          <w:b w:val="false"/>
          <w:color w:val="000000"/>
          <w:sz w:val="20"/>
        </w:rPr>
        <w:t>This ASU expands disclosures in an entity’s income tax rate reconciliation table and regarding cash taxes paid. The Company adopted this guidance on a prospective basis effective January 1, 2025 and included the required disclosures in the Company’s notes to the financial statements for our income taxes. This standard update did not affect the Company’s operating results.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("ASU 2025-12"). This ASU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Early adoption is allowed on an issue-by-issue basis. The Company elected to early adopt Issue 10 on a prospective basis as of January 1, 2025. Issue 10 relates to stock repurchases, and explicitly permits the excess of repurchase price over par or stated value to be accounted for entirely as a deduction from additional paid-in capital as long as additional paid-in capital does not become negative. As a result, the Company recorded a $77.5 million deduction from additional paid-in capital during the year ended December 31, 2025. The Company is still evaluating the remaining issues but does not expect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i/>
          <w:color w:val="000000"/>
          <w:sz w:val="20"/>
          <w:shd w:fill="FFFFFF" w:val="clear"/>
        </w:rPr>
        <w:t>Recently Issued Accounting Pronouncements Not Yet Adopted</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 Income Statement - Reporting Comprehensive Income - Expense Disaggregation Disclosures (Topic 220): Disaggregation of Income Statement Expenses,</w:t>
      </w:r>
      <w:r>
        <w:rPr>
          <w:color w:val="000000"/>
        </w:rPr>
        <w:t xml:space="preserve"> </w:t>
      </w:r>
      <w:r>
        <w:rPr>
          <w:rFonts w:ascii="Times New Roman;serif" w:hAnsi="Times New Roman;serif"/>
          <w:b w:val="false"/>
          <w:color w:val="000000"/>
          <w:sz w:val="20"/>
        </w:rPr>
        <w:t>which requires disclosure of additional information about specific expense categories 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which provides for a practical expedient to estimate credit losses related to accounts receivable and contract assets from revenue contracts accounted for in accordance with ASC 606 using information as of the balance sheet date. This ASU is effective for annual periods beginning after December 15, 2025 and early adoption is permitted. The Company is currently evaluating the impact of this ASU on its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This ASU makes targeted improvements to the accounting for internal-use software costs, removing the previous “development stage” model and introducing a more judgment-based approach. This ASU is effective for annual reporting periods beginning after December 15, 2027 and provides for adoption on a prospective basis, with retrospective or modified retrospective application permitted. The Company is currently evaluating the impact of this ASU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only to members within the United States. The following table provides information about the Company’s disaggregated revenue streams:</w:t>
      </w:r>
    </w:p>
    <w:tbl>
      <w:tblPr>
        <w:tblW w:w="7513" w:type="dxa"/>
        <w:jc w:val="left"/>
        <w:tblInd w:w="0" w:type="dxa"/>
        <w:tblLayout w:type="fixed"/>
        <w:tblCellMar>
          <w:top w:w="28" w:type="dxa"/>
          <w:left w:w="28" w:type="dxa"/>
          <w:bottom w:w="28" w:type="dxa"/>
          <w:right w:w="28" w:type="dxa"/>
        </w:tblCellMar>
      </w:tblPr>
      <w:tblGrid>
        <w:gridCol w:w="901"/>
        <w:gridCol w:w="793"/>
        <w:gridCol w:w="79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Platform-related revenue </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(1)In the years ended December 31, 2025, 2024, and 2023 platform-related revenue included $379.8 million, $145.3 million, and $21.8 million</w:t>
      </w:r>
      <w:r>
        <w:rPr>
          <w:color w:val="000000"/>
        </w:rPr>
        <w:t xml:space="preserve"> </w:t>
      </w:r>
      <w:r>
        <w:rPr>
          <w:rFonts w:ascii="Times New Roman;serif" w:hAnsi="Times New Roman;serif"/>
          <w:b w:val="false"/>
          <w:color w:val="000000"/>
          <w:sz w:val="16"/>
        </w:rPr>
        <w:t>that was not derived from contracts with customers.</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 the years ended December 31, 2025 and 2024, platform-related revenue included $333.5 million and $121.0 million related to MyPay receivables, which was comprised of</w:t>
      </w:r>
      <w:r>
        <w:rPr>
          <w:color w:val="000000"/>
        </w:rPr>
        <w:t xml:space="preserve"> </w:t>
      </w:r>
      <w:r>
        <w:rPr>
          <w:rFonts w:ascii="Times New Roman;serif" w:hAnsi="Times New Roman;serif"/>
          <w:b w:val="false"/>
          <w:color w:val="000000"/>
          <w:sz w:val="16"/>
        </w:rPr>
        <w:t>$206.2 million and $76.2 million related to off-balance sheet MyPay receivables and $127.3 million and $44.8 million related to on-balance sheet MyPay receivables. In the year ended December 31, 2023, platform-related revenue included $15.0 million related to off-balance sheet MyPay receivables.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member-paid tips received prior to the expiration of the contractual refundable period. The deferred revenue balances were as follows:</w:t>
      </w:r>
    </w:p>
    <w:tbl>
      <w:tblPr>
        <w:tblW w:w="6846" w:type="dxa"/>
        <w:jc w:val="left"/>
        <w:tblInd w:w="0" w:type="dxa"/>
        <w:tblLayout w:type="fixed"/>
        <w:tblCellMar>
          <w:top w:w="28" w:type="dxa"/>
          <w:left w:w="28" w:type="dxa"/>
          <w:bottom w:w="28" w:type="dxa"/>
          <w:right w:w="28" w:type="dxa"/>
        </w:tblCellMar>
      </w:tblPr>
      <w:tblGrid>
        <w:gridCol w:w="1391"/>
        <w:gridCol w:w="1219"/>
        <w:gridCol w:w="1229"/>
        <w:gridCol w:w="109"/>
        <w:gridCol w:w="109"/>
        <w:gridCol w:w="109"/>
        <w:gridCol w:w="109"/>
        <w:gridCol w:w="109"/>
        <w:gridCol w:w="109"/>
        <w:gridCol w:w="109"/>
        <w:gridCol w:w="211"/>
        <w:gridCol w:w="616"/>
        <w:gridCol w:w="109"/>
        <w:gridCol w:w="109"/>
        <w:gridCol w:w="109"/>
        <w:gridCol w:w="109"/>
        <w:gridCol w:w="211"/>
        <w:gridCol w:w="61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materially all revenue from amounts included in the opening deferred revenue balances for the years ended December 31, 2025 and 2024. Changes in deferred revenue during the periods are driven by the increase in the amount of tips paid by members for using SpotMe.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assets and liabilities measured at fair value on a recurring basis by level within the fair value hierarchy: </w:t>
      </w:r>
    </w:p>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for the product obligation measured at fair value on a recurring basis, weighted by the total unrecovered balance:</w:t>
      </w:r>
    </w:p>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3.48%-3.48%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4.16%-5.16%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8 - Credit Obligations for more information on the product obligation.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transfers between Level 1, Level 2, and Level 3 assets or liabilities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fair value of the Company’s available for sale (“AFS”) securities aggregated by investment category:</w:t>
      </w:r>
    </w:p>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04"/>
        <w:gridCol w:w="889"/>
        <w:gridCol w:w="157"/>
        <w:gridCol w:w="109"/>
        <w:gridCol w:w="109"/>
        <w:gridCol w:w="109"/>
        <w:gridCol w:w="400"/>
        <w:gridCol w:w="771"/>
        <w:gridCol w:w="20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587,828 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4"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61"/>
        <w:gridCol w:w="800"/>
        <w:gridCol w:w="189"/>
        <w:gridCol w:w="109"/>
        <w:gridCol w:w="109"/>
        <w:gridCol w:w="109"/>
        <w:gridCol w:w="417"/>
        <w:gridCol w:w="745"/>
        <w:gridCol w:w="21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nil and 4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 cost of securities sold is based on the specific-identification method. There were no material realized gains or losses from marketable securities that were reclassified out of accumulated other comprehensive income for the years ended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and fair values for those investments that were in an unrealized loss position as of December 31, 2024, aggregated by investment category and the length of time that individual securities have been in a continuous loss position are as follows:</w:t>
      </w:r>
    </w:p>
    <w:tbl>
      <w:tblPr>
        <w:tblW w:w="10205" w:type="dxa"/>
        <w:jc w:val="left"/>
        <w:tblInd w:w="0" w:type="dxa"/>
        <w:tblLayout w:type="fixed"/>
        <w:tblCellMar>
          <w:top w:w="28" w:type="dxa"/>
          <w:left w:w="28" w:type="dxa"/>
          <w:bottom w:w="28" w:type="dxa"/>
          <w:right w:w="28" w:type="dxa"/>
        </w:tblCellMar>
      </w:tblPr>
      <w:tblGrid>
        <w:gridCol w:w="611"/>
        <w:gridCol w:w="514"/>
        <w:gridCol w:w="518"/>
        <w:gridCol w:w="211"/>
        <w:gridCol w:w="721"/>
        <w:gridCol w:w="109"/>
        <w:gridCol w:w="109"/>
        <w:gridCol w:w="109"/>
        <w:gridCol w:w="109"/>
        <w:gridCol w:w="402"/>
        <w:gridCol w:w="717"/>
        <w:gridCol w:w="210"/>
        <w:gridCol w:w="109"/>
        <w:gridCol w:w="109"/>
        <w:gridCol w:w="109"/>
        <w:gridCol w:w="232"/>
        <w:gridCol w:w="447"/>
        <w:gridCol w:w="120"/>
        <w:gridCol w:w="111"/>
        <w:gridCol w:w="111"/>
        <w:gridCol w:w="111"/>
        <w:gridCol w:w="385"/>
        <w:gridCol w:w="743"/>
        <w:gridCol w:w="201"/>
        <w:gridCol w:w="109"/>
        <w:gridCol w:w="109"/>
        <w:gridCol w:w="109"/>
        <w:gridCol w:w="211"/>
        <w:gridCol w:w="721"/>
        <w:gridCol w:w="109"/>
        <w:gridCol w:w="109"/>
        <w:gridCol w:w="109"/>
        <w:gridCol w:w="109"/>
        <w:gridCol w:w="391"/>
        <w:gridCol w:w="697"/>
        <w:gridCol w:w="294"/>
      </w:tblGrid>
      <w:tr>
        <w:trPr/>
        <w:tc>
          <w:tcPr>
            <w:tcW w:w="6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by contractual maturity:</w:t>
      </w:r>
    </w:p>
    <w:tbl>
      <w:tblPr>
        <w:tblW w:w="5057" w:type="dxa"/>
        <w:jc w:val="left"/>
        <w:tblInd w:w="0" w:type="dxa"/>
        <w:tblLayout w:type="fixed"/>
        <w:tblCellMar>
          <w:top w:w="28" w:type="dxa"/>
          <w:left w:w="28" w:type="dxa"/>
          <w:bottom w:w="28" w:type="dxa"/>
          <w:right w:w="28" w:type="dxa"/>
        </w:tblCellMar>
      </w:tblPr>
      <w:tblGrid>
        <w:gridCol w:w="829"/>
        <w:gridCol w:w="731"/>
        <w:gridCol w:w="734"/>
        <w:gridCol w:w="229"/>
        <w:gridCol w:w="898"/>
        <w:gridCol w:w="118"/>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to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 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550" w:type="dxa"/>
        <w:jc w:val="left"/>
        <w:tblInd w:w="0" w:type="dxa"/>
        <w:tblLayout w:type="fixed"/>
        <w:tblCellMar>
          <w:top w:w="28" w:type="dxa"/>
          <w:left w:w="28" w:type="dxa"/>
          <w:bottom w:w="28" w:type="dxa"/>
          <w:right w:w="28" w:type="dxa"/>
        </w:tblCellMar>
      </w:tblPr>
      <w:tblGrid>
        <w:gridCol w:w="1151"/>
        <w:gridCol w:w="1011"/>
        <w:gridCol w:w="1018"/>
        <w:gridCol w:w="276"/>
        <w:gridCol w:w="1081"/>
        <w:gridCol w:w="142"/>
        <w:gridCol w:w="109"/>
        <w:gridCol w:w="109"/>
        <w:gridCol w:w="109"/>
        <w:gridCol w:w="273"/>
        <w:gridCol w:w="1072"/>
        <w:gridCol w:w="19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Receivables due from bank partners</w:t>
            </w:r>
            <w:r>
              <w:rPr>
                <w:rFonts w:ascii="Times New Roman;serif" w:hAnsi="Times New Roman;serif"/>
                <w:b w:val="false"/>
                <w:color w:val="000000"/>
                <w:sz w:val="13"/>
              </w:rPr>
              <w:t>(1)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receivable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111,097 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Receivables due from bank partners are net of bank partner and network costs. As of December 31, 2025 and December 31, 2024, </w:t>
      </w:r>
      <w:r>
        <w:rPr>
          <w:rFonts w:ascii="Times New Roman;serif" w:hAnsi="Times New Roman;serif"/>
          <w:b w:val="false"/>
          <w:color w:val="000000"/>
          <w:sz w:val="16"/>
          <w:shd w:fill="FFFFFF" w:val="clear"/>
        </w:rPr>
        <w:t>$23.3 million and $42.8 million</w:t>
      </w:r>
      <w:r>
        <w:rPr>
          <w:color w:val="000000"/>
        </w:rPr>
        <w:t xml:space="preserve"> </w:t>
      </w:r>
      <w:r>
        <w:rPr>
          <w:rFonts w:ascii="Times New Roman;serif" w:hAnsi="Times New Roman;serif"/>
          <w:b w:val="false"/>
          <w:color w:val="000000"/>
          <w:sz w:val="16"/>
        </w:rPr>
        <w:t>of gross receivables due from bank partners were pledged as collateral.</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allowance for credit losses on accounts receivable was not material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 LOANS HELD FOR INVESTMENT,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consisted of the following:</w:t>
      </w:r>
    </w:p>
    <w:tbl>
      <w:tblPr>
        <w:tblW w:w="6376"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11"/>
        <w:gridCol w:w="826"/>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tbl>
      <w:tblPr>
        <w:tblW w:w="4949"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211"/>
        <w:gridCol w:w="826"/>
        <w:gridCol w:w="109"/>
        <w:gridCol w:w="109"/>
        <w:gridCol w:w="109"/>
        <w:gridCol w:w="109"/>
        <w:gridCol w:w="211"/>
        <w:gridCol w:w="826"/>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Days from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61 - 90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181 - 270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CREDIT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and Instant Loan receivables retained by the bank partners, SpotMe, and other instances where a member’s account is overdrawn are recorded as a product obligation on the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changes in allowance for expected credit losses on MyPay loans held for investment:</w:t>
      </w:r>
    </w:p>
    <w:tbl>
      <w:tblPr>
        <w:tblW w:w="5656" w:type="dxa"/>
        <w:jc w:val="left"/>
        <w:tblInd w:w="0" w:type="dxa"/>
        <w:tblLayout w:type="fixed"/>
        <w:tblCellMar>
          <w:top w:w="28" w:type="dxa"/>
          <w:left w:w="28" w:type="dxa"/>
          <w:bottom w:w="28" w:type="dxa"/>
          <w:right w:w="28" w:type="dxa"/>
        </w:tblCellMar>
      </w:tblPr>
      <w:tblGrid>
        <w:gridCol w:w="1080"/>
        <w:gridCol w:w="950"/>
        <w:gridCol w:w="954"/>
        <w:gridCol w:w="211"/>
        <w:gridCol w:w="721"/>
        <w:gridCol w:w="109"/>
        <w:gridCol w:w="109"/>
        <w:gridCol w:w="109"/>
        <w:gridCol w:w="109"/>
        <w:gridCol w:w="211"/>
        <w:gridCol w:w="721"/>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began writing off loans held for investment during the year ended December 31, 2025, as such loans began aging beyond 365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product obligation:</w:t>
      </w:r>
    </w:p>
    <w:tbl>
      <w:tblPr>
        <w:tblW w:w="7972"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364"/>
        <w:gridCol w:w="364"/>
        <w:gridCol w:w="365"/>
        <w:gridCol w:w="109"/>
        <w:gridCol w:w="211"/>
        <w:gridCol w:w="82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2773" w:type="dxa"/>
            <w:gridSpan w:val="10"/>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product obligation</w:t>
            </w:r>
            <w:r>
              <w:rPr>
                <w:rFonts w:ascii="Times New Roman;serif" w:hAnsi="Times New Roman;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 in fair value of the product obligation was recorded on the consolidated statements of operations as follows:</w:t>
      </w:r>
    </w:p>
    <w:tbl>
      <w:tblPr>
        <w:tblW w:w="7842" w:type="dxa"/>
        <w:jc w:val="left"/>
        <w:tblInd w:w="0" w:type="dxa"/>
        <w:tblLayout w:type="fixed"/>
        <w:tblCellMar>
          <w:top w:w="28" w:type="dxa"/>
          <w:left w:w="28" w:type="dxa"/>
          <w:bottom w:w="28" w:type="dxa"/>
          <w:right w:w="28" w:type="dxa"/>
        </w:tblCellMar>
      </w:tblPr>
      <w:tblGrid>
        <w:gridCol w:w="1331"/>
        <w:gridCol w:w="1170"/>
        <w:gridCol w:w="1189"/>
        <w:gridCol w:w="109"/>
        <w:gridCol w:w="109"/>
        <w:gridCol w:w="109"/>
        <w:gridCol w:w="109"/>
        <w:gridCol w:w="364"/>
        <w:gridCol w:w="364"/>
        <w:gridCol w:w="365"/>
        <w:gridCol w:w="109"/>
        <w:gridCol w:w="196"/>
        <w:gridCol w:w="811"/>
        <w:gridCol w:w="109"/>
        <w:gridCol w:w="109"/>
        <w:gridCol w:w="109"/>
        <w:gridCol w:w="109"/>
        <w:gridCol w:w="196"/>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2623" w:type="dxa"/>
            <w:gridSpan w:val="10"/>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SpotMe and other negative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change in fair value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losses under its product obligation was $722.3 million and $454.3 million as of December 31, 2025 and December 31, 2024, which represent the total possible undiscounted amounts the Company could be required to pay, assuming no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property, equipment, and software, net consisted of the following:</w:t>
      </w:r>
    </w:p>
    <w:tbl>
      <w:tblPr>
        <w:tblW w:w="6818" w:type="dxa"/>
        <w:jc w:val="left"/>
        <w:tblInd w:w="0" w:type="dxa"/>
        <w:tblLayout w:type="fixed"/>
        <w:tblCellMar>
          <w:top w:w="28" w:type="dxa"/>
          <w:left w:w="28" w:type="dxa"/>
          <w:bottom w:w="28" w:type="dxa"/>
          <w:right w:w="28" w:type="dxa"/>
        </w:tblCellMar>
      </w:tblPr>
      <w:tblGrid>
        <w:gridCol w:w="1505"/>
        <w:gridCol w:w="1320"/>
        <w:gridCol w:w="1329"/>
        <w:gridCol w:w="211"/>
        <w:gridCol w:w="826"/>
        <w:gridCol w:w="109"/>
        <w:gridCol w:w="109"/>
        <w:gridCol w:w="109"/>
        <w:gridCol w:w="109"/>
        <w:gridCol w:w="211"/>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equipment, and software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equipment, and software,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expense on property, equipment, and software was $9.4 million, $8.8 million, and $7.2 million for the years ended December 31, 2025, 2024, and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on internal-use software was $20.4 million, $16.5 million, and $5.7 million for the years ended December 31, 2025, 2024, and 2023, which includes $14.0 million, $10.5 million, and $1.3 million recorded in cost of revenue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estimated aggregate amortization expense related to internal-use software for each of the succeeding fiscal years was as follows:</w:t>
      </w:r>
    </w:p>
    <w:tbl>
      <w:tblPr>
        <w:tblW w:w="2780" w:type="dxa"/>
        <w:jc w:val="left"/>
        <w:tblInd w:w="0" w:type="dxa"/>
        <w:tblLayout w:type="fixed"/>
        <w:tblCellMar>
          <w:top w:w="28" w:type="dxa"/>
          <w:left w:w="28" w:type="dxa"/>
          <w:bottom w:w="28" w:type="dxa"/>
          <w:right w:w="28" w:type="dxa"/>
        </w:tblCellMar>
      </w:tblPr>
      <w:tblGrid>
        <w:gridCol w:w="612"/>
        <w:gridCol w:w="537"/>
        <w:gridCol w:w="545"/>
        <w:gridCol w:w="211"/>
        <w:gridCol w:w="72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BUSINESS COMBINATIONS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Salt Labs Acquisition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acquired a 100% ownership interest (“Acquisition”) in Salt Labs, Inc. (“Salt Labs”), an employee rewards company, on June 26, 2024 (“Acquisition Date”). The purpose of the Acquisition was to create a new channel to grow the Company’s member base. The purchase consideration was $43.3 million, which consisted of (i) $23.6 million in cash, (ii) $4.7 million from the issuance of shares of the Company’s common stock, (iii) $13.8 million related to the deemed vested component of outstanding employee awards, based on the ratio of time served in relation to the vesting term of each award, with the unvested portion being replaced with the Company’s unvested replacement awards comprising of restricted stock awards, and (iv) $1.2 million of cash paid for transaction costs on behalf of Salt Labs. The fair value of Company’s common stock and restricted stock awards are determined based on the price of the Company’s common stock on the Acquisition Date. The purchase consideration excludes $19.8 million related to the restricted stock awards that is subject to certain service-based and performance-based conditions and will be recognized as postcombination compensation expense over the requisite vesting period. Postcombination expense recognized was $3.3 million for the year ended December 31,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certain retained employees of Salt Labs are eligible to earn earn-out performance-based restricted stock units based on achievement of designated operational metrics. These PSUs are recognized as postcombination compensation expense - see Note 14 - Stock-based Compensation for further details.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met the criteria to be accounted for as a business combination in accordance with ASC 805, Business Combinations (“ASC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final purchase consideration of $43.3 million was allocated to the fair value of assets acquired and liabilities assumed as of the Acquisition Date:</w:t>
      </w:r>
    </w:p>
    <w:tbl>
      <w:tblPr>
        <w:tblW w:w="4812" w:type="dxa"/>
        <w:jc w:val="left"/>
        <w:tblInd w:w="0" w:type="dxa"/>
        <w:tblLayout w:type="fixed"/>
        <w:tblCellMar>
          <w:top w:w="28" w:type="dxa"/>
          <w:left w:w="28" w:type="dxa"/>
          <w:bottom w:w="28" w:type="dxa"/>
          <w:right w:w="28" w:type="dxa"/>
        </w:tblCellMar>
      </w:tblPr>
      <w:tblGrid>
        <w:gridCol w:w="1228"/>
        <w:gridCol w:w="1079"/>
        <w:gridCol w:w="1082"/>
        <w:gridCol w:w="211"/>
        <w:gridCol w:w="721"/>
        <w:gridCol w:w="491"/>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Developed technology intangible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43,258 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net tangible and identifiable intangible assets acquired was recorded as goodwill, which is primarily attributed to the opportunities from the Company’s current and future offerings and the value of the assembled workforce. Goodwill recognized from the Acquisition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an intangible asset of developed technology with a fair value of $4.5 million to be amortized over an estimated useful life of 3 years. Intangible assets are amortized over the estimated useful lives in a pattern that most closely matches the timing of their economic benefits.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and the acquired developed technology are recorded on the consolidated balance sheets as other assets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SIGNIFICANT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496" w:type="dxa"/>
        <w:jc w:val="left"/>
        <w:tblInd w:w="0" w:type="dxa"/>
        <w:tblLayout w:type="fixed"/>
        <w:tblCellMar>
          <w:top w:w="28" w:type="dxa"/>
          <w:left w:w="28" w:type="dxa"/>
          <w:bottom w:w="28" w:type="dxa"/>
          <w:right w:w="28" w:type="dxa"/>
        </w:tblCellMar>
      </w:tblPr>
      <w:tblGrid>
        <w:gridCol w:w="554"/>
        <w:gridCol w:w="487"/>
        <w:gridCol w:w="489"/>
        <w:gridCol w:w="304"/>
        <w:gridCol w:w="1039"/>
        <w:gridCol w:w="157"/>
        <w:gridCol w:w="109"/>
        <w:gridCol w:w="109"/>
        <w:gridCol w:w="109"/>
        <w:gridCol w:w="221"/>
        <w:gridCol w:w="757"/>
        <w:gridCol w:w="16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489" w:type="dxa"/>
        <w:jc w:val="left"/>
        <w:tblInd w:w="0" w:type="dxa"/>
        <w:tblLayout w:type="fixed"/>
        <w:tblCellMar>
          <w:top w:w="28" w:type="dxa"/>
          <w:left w:w="28" w:type="dxa"/>
          <w:bottom w:w="28" w:type="dxa"/>
          <w:right w:w="28" w:type="dxa"/>
        </w:tblCellMar>
      </w:tblPr>
      <w:tblGrid>
        <w:gridCol w:w="1385"/>
        <w:gridCol w:w="1215"/>
        <w:gridCol w:w="1225"/>
        <w:gridCol w:w="211"/>
        <w:gridCol w:w="826"/>
        <w:gridCol w:w="109"/>
        <w:gridCol w:w="109"/>
        <w:gridCol w:w="109"/>
        <w:gridCol w:w="109"/>
        <w:gridCol w:w="211"/>
        <w:gridCol w:w="82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transaction dispute losses</w:t>
            </w:r>
            <w:r>
              <w:rPr>
                <w:rFonts w:ascii="Times New Roman;serif" w:hAnsi="Times New Roman;serif"/>
                <w:b w:val="false"/>
                <w:color w:val="000000"/>
                <w:sz w:val="13"/>
              </w:rPr>
              <w:t>(i)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accrued and other current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reconciliation of the beginning and ending accrued transaction dispute losses is as follows:</w:t>
      </w:r>
    </w:p>
    <w:tbl>
      <w:tblPr>
        <w:tblW w:w="8036" w:type="dxa"/>
        <w:jc w:val="left"/>
        <w:tblInd w:w="0" w:type="dxa"/>
        <w:tblLayout w:type="fixed"/>
        <w:tblCellMar>
          <w:top w:w="28" w:type="dxa"/>
          <w:left w:w="28" w:type="dxa"/>
          <w:bottom w:w="28" w:type="dxa"/>
          <w:right w:w="28" w:type="dxa"/>
        </w:tblCellMar>
      </w:tblPr>
      <w:tblGrid>
        <w:gridCol w:w="1524"/>
        <w:gridCol w:w="1340"/>
        <w:gridCol w:w="1350"/>
        <w:gridCol w:w="109"/>
        <w:gridCol w:w="109"/>
        <w:gridCol w:w="109"/>
        <w:gridCol w:w="109"/>
        <w:gridCol w:w="364"/>
        <w:gridCol w:w="364"/>
        <w:gridCol w:w="365"/>
        <w:gridCol w:w="109"/>
        <w:gridCol w:w="196"/>
        <w:gridCol w:w="646"/>
        <w:gridCol w:w="109"/>
        <w:gridCol w:w="109"/>
        <w:gridCol w:w="109"/>
        <w:gridCol w:w="109"/>
        <w:gridCol w:w="196"/>
        <w:gridCol w:w="55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2293" w:type="dxa"/>
            <w:gridSpan w:val="10"/>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896" w:type="dxa"/>
        <w:jc w:val="left"/>
        <w:tblInd w:w="0" w:type="dxa"/>
        <w:tblLayout w:type="fixed"/>
        <w:tblCellMar>
          <w:top w:w="28" w:type="dxa"/>
          <w:left w:w="28" w:type="dxa"/>
          <w:bottom w:w="28" w:type="dxa"/>
          <w:right w:w="28" w:type="dxa"/>
        </w:tblCellMar>
      </w:tblPr>
      <w:tblGrid>
        <w:gridCol w:w="1571"/>
        <w:gridCol w:w="1380"/>
        <w:gridCol w:w="1384"/>
        <w:gridCol w:w="222"/>
        <w:gridCol w:w="759"/>
        <w:gridCol w:w="114"/>
        <w:gridCol w:w="109"/>
        <w:gridCol w:w="109"/>
        <w:gridCol w:w="109"/>
        <w:gridCol w:w="221"/>
        <w:gridCol w:w="757"/>
        <w:gridCol w:w="161"/>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net of current portion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INDEBTEDNESS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was party to a credit agreement with certain lenders, which provided for a $125.0 million senior secured credit facility maturing on June 5, 2028 (the “prior facility”). As of December 31, 2024, the Company had letters of credit outstanding under the prior facility in a face amount of $20.1 million, which resulted in remaining borrowing capacity under the prior facility of $104.9 million, and no revolving loans had been drawn under the prior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terminated the prior facility and entered into a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or such later date as may be extended in accordance with the terms of the credit facility. As of December 31, 2025, the Company had letters of credit outstanding thereunder in a face amount of $31.4 million. As of December 31, 2025, no funds have been drawn under the credit facility.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initially bear interest at the Company’s option of (i) an annual rate based on the forward-looking term rate based on the Secured Overnight Financing Rate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From and after the date financial statements are delivered under the credit facility for the fiscal quarter ending June 30, 2025,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 REDEEMABLE CONVERTIBLE PREFERRED STOCK, COMMON STOCK, AND STOCKHOLDERS’ EQUITY (DEFICIT)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series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20 votes per share and is 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Conversion of Class B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share of Class B common stock is convertible at any time at the option of the holder into one share of Class A common stock. All of the Class B common stock will convert into shares of Class A common stock (that is, “sunset”) on the earlier of (i) the date determined by the holders of two-thirds of the then outstanding shares of Class B common stock and (ii) when both of the Company’s co-founders have experienced a “Triggering Event” (subject to a transition period of between 30 and 180 days as determined by the Company’s board of directors) A “Triggering Event” is the first to occur of any of the following with respect to each co-founder: (A) the aggregate number of shares of the Company’s capital stock and shares underlying any securities (including RSUs, options, or other convertible instruments) held by such co-founder and his related entities and permitted transferees represent less than 35% of the Class B common stock held by such co-founder and his related entities and permitted transferees as of immediately following the completion of this offering, (B) the date such co-founder is no longer providing services to the Company as an officer, employee, or consultant and such co-founder is no longer a member of the Company’s board of directors, (C) the date that such co-founder’s employment with the Company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Conversion of Class C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conversion or exchange of all outstanding shares of the Company’s Class B common stock into shares of Class A common stock, all outstanding shares of Class C common stock will convert automatically into Class A common stock, on a share-for-share basis, on the date or time specified by the holders of a majority of the outstanding shares of Class A common stock, voting as a separate class.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preferences that may apply to any shares of preferred stock outstanding at the time, the holders of the Company’s common stock are entitled to receive dividends out of funds legally available if the Company’s board of directors, in its discretion, determines to issue dividends and then only at the times and in the amounts that the Company’s board of directors may determine.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Liquidation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Company becomes subject to a liquidation, dissolution, or winding-up, the assets legally available for distribution to its stockholders would be distributable ratably among the holders of the Company’s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 Preemptive or Similar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not entitled to preemptive rights, and is not subject to conversion, redemption, or sinking fund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completion of the Company’s IPO, all of the Company’s then-outstanding shares of redeemable convertible preferred stock were automatically converted into 258,667,796 shares of common stock and, in connection with the IPO, all shares of voting common stock underlying the redeemable convertible preferred stock were reclassified into an equivalent number of shares of Class A common stock. The holders of the Company’s redeemable convertible preferred stock had certain voting, dividend, and redemption rights, as well as liquidation preferences and conversion privileges, in respect of the redeemable convertible preferred stock. All of such rights, preferences, and privileges associated with the redeemable convertible preferred stock were terminated at the time of the Company’s IPO in conjunction with the conversion mentioned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redeemable convertible preferred stock as of December 31, 2024 and immediately prior to the conversion into common stock upon completion of the IPO:</w:t>
      </w:r>
    </w:p>
    <w:tbl>
      <w:tblPr>
        <w:tblW w:w="10611"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592"/>
        <w:gridCol w:w="594"/>
        <w:gridCol w:w="306"/>
        <w:gridCol w:w="109"/>
        <w:gridCol w:w="109"/>
        <w:gridCol w:w="109"/>
        <w:gridCol w:w="774"/>
        <w:gridCol w:w="412"/>
        <w:gridCol w:w="336"/>
        <w:gridCol w:w="109"/>
        <w:gridCol w:w="109"/>
        <w:gridCol w:w="109"/>
        <w:gridCol w:w="211"/>
        <w:gridCol w:w="93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Dividend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Net of Issuance Costs</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14,662,469 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14,513,241 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15,998,298 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258,613,394 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258,464,156 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IPO, the Charter became effective which authorized the issuance of 100.0 million shares of preferred stock with a par value of $0.0001 per share with rights and preferences, including voting rights, designated from time to time by the Company’s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issued warrants to purchase its common stock to non-employee service providers and others in connection with debt financings, credit facilities, and promissory notes. The Company recorded the warrants within stockholders’ equity.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there were 787,840 warrants outstanding and exercisable with a weighted average exercise price of $0.10 and a weighted average remaining life of 2.03 years. All warrants outstanding as of December 31, 2024 were exercised in the year ended December 31, 2025. As a result, 785,350 shares of Class A common stock were issued and there were no warrants outstanding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Company’s board of directors authorized a share repurchase program to repurchase up to $200.0 million of our outstanding shares of Class A common stock. During the year ended December 31, 2025, the Company repurchased and immediately retired 3.7 million shares of its Class A common stock for an aggregate amount of $77.5 million. As of December 31, 2025, $122.5 million remained available and authorized for repurchase under the share repurchase program. The share repurchase program has no expiration date and purchases under this program may be made from time to time on the open market and in private transactions, depending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2012 Stock Option and Grant Plan, as amended (the “2012 Plan”) was adopted, approved, and became effective in August 2012. Under the 2012 Plan, the Company was authorized to grant incentive stock options (“ISOs”), non-qualified stock options (“NSOs”), restricted stock awards (“RSAs”), unrestricted stock awards, RSUs, and PSUs. In connection with the IPO, the 2012 Plan was terminated effective immediately prior to the effectiveness of the 2025 Equity Incentive Plan (the “2025 Plan”). Under the 2025 Plan, the Company is authorized to grant ISOs, within the meaning of Section 422 of the Code, to employees and any parent and subsidiary corporations’ employees, as well as NSOs, RSAs, RSUs, PSUs, stock appreciation rights, and performance awards to employees, directors, and consultants, and the Company’s parent and subsidiary corporations’ employees and consultants.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2025 Plan, the Company initially reserved 46,500,000 shares of Class A common stock for future issuance. In addition, the shares reserved for issuance under the 2025 Plan also includes any shares subject to stock options, restricted stock units, or similar awards granted under the 2012 Plan that, on or after the effective date of the IPO, expire or otherwise terminate without having been exercised in full, are tendered to or withheld by us for payment of an exercise price or for satisfying tax withholding obligations, or are forfeited to or repurchased by us due to failure to vest (provided that the maximum number of shares that may be added to the 2025 Plan pursuant to this sentence is 91,000,000 shares). The number of shares available for issuance under the 2025 Plan also includes an annual increase on the first day of each fiscal year beginning with the Company’s 2026 fiscal year, equal to the lesser of: (1) 46,500,000 shares of common stock, (2) five percent (5%) of the total number of shares of all classes of the Company’s outstanding common stock as of the last day of the immediately preceding fiscal year, or (3) such other amount as the Company’s board of directors may determine no later than the last day of the immediately preceding fiscal year.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56,701,090</w:t>
      </w:r>
      <w:r>
        <w:rPr>
          <w:color w:val="000000"/>
          <w:shd w:fill="FFFFFF" w:val="clear"/>
        </w:rPr>
        <w:t xml:space="preserve"> </w:t>
      </w:r>
      <w:r>
        <w:rPr>
          <w:rFonts w:ascii="Times New Roman;serif" w:hAnsi="Times New Roman;serif"/>
          <w:b w:val="false"/>
          <w:color w:val="000000"/>
          <w:sz w:val="20"/>
        </w:rPr>
        <w:t>shares of Class A common stock reserved for future issuance under the 2025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awards stock options with service-based vesting conditions to employees, generally vesting over a four-year period and contingent upon continued employment on each vesting date (“service-based stock options”). </w:t>
      </w:r>
      <w:r>
        <w:rPr>
          <w:rFonts w:ascii="Times New Roman;serif" w:hAnsi="Times New Roman;serif"/>
          <w:b w:val="false"/>
          <w:color w:val="000000"/>
          <w:sz w:val="20"/>
        </w:rPr>
        <w:t xml:space="preserve">In 2024, the Company also granted stock options with performance-based vesting conditions to certain executives.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options are granted with an exercise price of at least 100% of the fair market value of the Company’s stock at the date of grant and are exercisable when vested. In the event that an employee owns greater than 10% of the total combined voting power of all classes of stock of the Company, the exercise price must not be less than 110% of the fair market value of the Company’s stock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indicates the weighted-average assumptions made in estimating the fair value as of December 31, 2025, 2024 and 2023:</w:t>
      </w:r>
    </w:p>
    <w:tbl>
      <w:tblPr>
        <w:tblW w:w="6243" w:type="dxa"/>
        <w:jc w:val="left"/>
        <w:tblInd w:w="0" w:type="dxa"/>
        <w:tblLayout w:type="fixed"/>
        <w:tblCellMar>
          <w:top w:w="28" w:type="dxa"/>
          <w:left w:w="28" w:type="dxa"/>
          <w:bottom w:w="28" w:type="dxa"/>
          <w:right w:w="28" w:type="dxa"/>
        </w:tblCellMar>
      </w:tblPr>
      <w:tblGrid>
        <w:gridCol w:w="772"/>
        <w:gridCol w:w="677"/>
        <w:gridCol w:w="681"/>
        <w:gridCol w:w="308"/>
        <w:gridCol w:w="308"/>
        <w:gridCol w:w="516"/>
        <w:gridCol w:w="109"/>
        <w:gridCol w:w="109"/>
        <w:gridCol w:w="109"/>
        <w:gridCol w:w="308"/>
        <w:gridCol w:w="308"/>
        <w:gridCol w:w="516"/>
        <w:gridCol w:w="109"/>
        <w:gridCol w:w="109"/>
        <w:gridCol w:w="109"/>
        <w:gridCol w:w="308"/>
        <w:gridCol w:w="308"/>
        <w:gridCol w:w="579"/>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years</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stock options granted was $14.75, $11.90, and $10.00 for the years ended December 31, 2025, 2024, and 2023.</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stock option activity for the year ended December 31, 2025 is as follows:</w:t>
      </w:r>
    </w:p>
    <w:tbl>
      <w:tblPr>
        <w:tblW w:w="10205" w:type="dxa"/>
        <w:jc w:val="center"/>
        <w:tblInd w:w="0" w:type="dxa"/>
        <w:tblLayout w:type="fixed"/>
        <w:tblCellMar>
          <w:top w:w="28" w:type="dxa"/>
          <w:left w:w="28" w:type="dxa"/>
          <w:bottom w:w="28" w:type="dxa"/>
          <w:right w:w="28" w:type="dxa"/>
        </w:tblCellMar>
      </w:tblPr>
      <w:tblGrid>
        <w:gridCol w:w="811"/>
        <w:gridCol w:w="711"/>
        <w:gridCol w:w="715"/>
        <w:gridCol w:w="689"/>
        <w:gridCol w:w="496"/>
        <w:gridCol w:w="460"/>
        <w:gridCol w:w="109"/>
        <w:gridCol w:w="109"/>
        <w:gridCol w:w="109"/>
        <w:gridCol w:w="350"/>
        <w:gridCol w:w="1024"/>
        <w:gridCol w:w="181"/>
        <w:gridCol w:w="109"/>
        <w:gridCol w:w="109"/>
        <w:gridCol w:w="109"/>
        <w:gridCol w:w="771"/>
        <w:gridCol w:w="771"/>
        <w:gridCol w:w="773"/>
        <w:gridCol w:w="109"/>
        <w:gridCol w:w="109"/>
        <w:gridCol w:w="109"/>
        <w:gridCol w:w="259"/>
        <w:gridCol w:w="1018"/>
        <w:gridCol w:w="195"/>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31,463,015 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567,641 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3,106,800 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(9,243,830)</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25,280,942 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368,580 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December 31, 2025</w:t>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25,280,942 </w:t>
            </w:r>
          </w:p>
        </w:tc>
        <w:tc>
          <w:tcPr>
            <w:tcW w:w="4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368,580 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18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18,914,125 </w:t>
            </w:r>
          </w:p>
        </w:tc>
        <w:tc>
          <w:tcPr>
            <w:tcW w:w="4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337,125 </w:t>
            </w:r>
          </w:p>
        </w:tc>
        <w:tc>
          <w:tcPr>
            <w:tcW w:w="1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Aggregate intrinsic value represents the difference between the Company’s estimated fair value of its common stock and the exercise price of outstanding options with an exercise price below such estimated fair value. Aggregate intrinsic value for stock options exercised for the years ended December 31, 2025, 2024 and 2023 was $189.1 million, $20.1 million, and $25.3 million. The total grant date fair value of service based options that vested during the years ended December 31, 2025, 2024 and 2023 was $30.3 million, $19.7 million and $22.1 million.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March 2024, the Company granted 1,200,000 stock options to certain executives, subject to both a service-based vesting condition and a performance-based vesting condition, each of which must be satisfied in order for an option share to vest. The service-based vesting schedule is satisfied in 48 equal monthly installments over four years following the vesting commencement date. The performance conditions relate to the achievement of specified revenue and other financial metric targets for the 2024 fiscal year as compared to 2023. In the first quarter of 2025, it was determined that the performance conditions were met for 400,000 shares pursuant to such awards and the remaining 800,000 shares pursuant to such awards were cancelled. The total grant date fair value of the performance-based stock options that vested during the year ended December 31, 2025 was $2.1 million. No performance-based stock options vested during the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performance stock option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837"/>
        <w:gridCol w:w="734"/>
        <w:gridCol w:w="738"/>
        <w:gridCol w:w="658"/>
        <w:gridCol w:w="467"/>
        <w:gridCol w:w="468"/>
        <w:gridCol w:w="109"/>
        <w:gridCol w:w="109"/>
        <w:gridCol w:w="109"/>
        <w:gridCol w:w="359"/>
        <w:gridCol w:w="1049"/>
        <w:gridCol w:w="185"/>
        <w:gridCol w:w="109"/>
        <w:gridCol w:w="109"/>
        <w:gridCol w:w="109"/>
        <w:gridCol w:w="789"/>
        <w:gridCol w:w="789"/>
        <w:gridCol w:w="791"/>
        <w:gridCol w:w="109"/>
        <w:gridCol w:w="109"/>
        <w:gridCol w:w="109"/>
        <w:gridCol w:w="291"/>
        <w:gridCol w:w="850"/>
        <w:gridCol w:w="21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December 31, 2025</w:t>
            </w:r>
          </w:p>
        </w:tc>
        <w:tc>
          <w:tcPr>
            <w:tcW w:w="11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1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183,332 </w:t>
            </w:r>
          </w:p>
        </w:tc>
        <w:tc>
          <w:tcPr>
            <w:tcW w:w="4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service-based and performance-based RSAs to certain continuing employees in connection with the Acquisition.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RSA activity for the year ended December 31, 2025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799,822 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(262,294)</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498,722 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value of shares vested in the years ended December 31, 2025 and 2024 were $7.2 million and $3.1 million. No shares vested during the year ended December 31, 2023.</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RSA activity for year ended December 31, 2025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509,186 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483,125 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RSUs activity is as follows:</w:t>
      </w:r>
    </w:p>
    <w:tbl>
      <w:tblPr>
        <w:tblW w:w="9597" w:type="dxa"/>
        <w:jc w:val="left"/>
        <w:tblInd w:w="0" w:type="dxa"/>
        <w:tblLayout w:type="fixed"/>
        <w:tblCellMar>
          <w:top w:w="28" w:type="dxa"/>
          <w:left w:w="28" w:type="dxa"/>
          <w:bottom w:w="28" w:type="dxa"/>
          <w:right w:w="28" w:type="dxa"/>
        </w:tblCellMar>
      </w:tblPr>
      <w:tblGrid>
        <w:gridCol w:w="1077"/>
        <w:gridCol w:w="944"/>
        <w:gridCol w:w="949"/>
        <w:gridCol w:w="844"/>
        <w:gridCol w:w="844"/>
        <w:gridCol w:w="847"/>
        <w:gridCol w:w="109"/>
        <w:gridCol w:w="109"/>
        <w:gridCol w:w="109"/>
        <w:gridCol w:w="808"/>
        <w:gridCol w:w="2364"/>
        <w:gridCol w:w="593"/>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2024 </w:t>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39,328,435 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14,620,668 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Vested</w:t>
            </w:r>
            <w:r>
              <w:rPr>
                <w:color w:val="000000"/>
              </w:rPr>
              <w:t xml:space="preserve"> </w:t>
            </w:r>
            <w:r>
              <w:rPr>
                <w:rFonts w:ascii="Times New Roman;serif" w:hAnsi="Times New Roman;serif"/>
                <w:b w:val="false"/>
                <w:color w:val="000000"/>
                <w:sz w:val="13"/>
              </w:rPr>
              <w:t>(1)</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(30,135,213)</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(2,939,056)</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2025 </w:t>
            </w:r>
          </w:p>
        </w:tc>
        <w:tc>
          <w:tcPr>
            <w:tcW w:w="1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20,874,834 </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13,067,772 shares of common stock underlying RSUs that were withheld to cover taxes on the settlement of vested RSUs during the year ended December 31, 2025.</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value of service-based RSUs vested in the year ended December 31, 2025 was $802.9 million. No shares vested in the years ended December 31,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PSU activity for year ended December 31, 2025 is as follows:</w:t>
      </w:r>
    </w:p>
    <w:tbl>
      <w:tblPr>
        <w:tblW w:w="10062" w:type="dxa"/>
        <w:jc w:val="left"/>
        <w:tblInd w:w="0" w:type="dxa"/>
        <w:tblLayout w:type="fixed"/>
        <w:tblCellMar>
          <w:top w:w="28" w:type="dxa"/>
          <w:left w:w="28" w:type="dxa"/>
          <w:bottom w:w="28" w:type="dxa"/>
          <w:right w:w="28" w:type="dxa"/>
        </w:tblCellMar>
      </w:tblPr>
      <w:tblGrid>
        <w:gridCol w:w="1022"/>
        <w:gridCol w:w="898"/>
        <w:gridCol w:w="900"/>
        <w:gridCol w:w="1004"/>
        <w:gridCol w:w="1004"/>
        <w:gridCol w:w="1007"/>
        <w:gridCol w:w="109"/>
        <w:gridCol w:w="109"/>
        <w:gridCol w:w="109"/>
        <w:gridCol w:w="721"/>
        <w:gridCol w:w="2109"/>
        <w:gridCol w:w="1070"/>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4,800,000 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(60,646)</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2024 in connection with the acquisition of Salt Labs, Inc., certain employees were granted 1,929,943 PSUs which vest based upon the achievement of designated operational metrics, continued employment through the date the designated operational metrics are achieved, and upon the occurrence of a liquidity event. The liquidity-based vesting condition was satisfied upon completion of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4,800,000 PSUs which vest based upon the achievement of growth and profit performance-based metrics, continued employment through the date the growth and profit performance-based condition is met, a service-based condition that is satisfied over four years,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April 2025 the Co-Founders were granted 1,600,000 PSU awards which vest based upon the achievement of stock price hurdle market-based metrics, continued employment through the date the stock price hurdles are met, a service-based condition that is satisfied over four years, and upon the occurrence of a liquidity event. The liquidity-based vesting condition was satisfied upon completion of the Company’s IPO. The fair value of these PSUs with a market condition was determined using a Monte Carlo valuation model that incorporated multiple stock price paths and probabilities that the Company stock price hurdles are met, with the following weighted-average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tbl>
      <w:tblPr>
        <w:tblW w:w="3061" w:type="dxa"/>
        <w:jc w:val="left"/>
        <w:tblInd w:w="0" w:type="dxa"/>
        <w:tblLayout w:type="fixed"/>
        <w:tblCellMar>
          <w:top w:w="28" w:type="dxa"/>
          <w:left w:w="28" w:type="dxa"/>
          <w:bottom w:w="28" w:type="dxa"/>
          <w:right w:w="28" w:type="dxa"/>
        </w:tblCellMar>
      </w:tblPr>
      <w:tblGrid>
        <w:gridCol w:w="771"/>
        <w:gridCol w:w="676"/>
        <w:gridCol w:w="682"/>
        <w:gridCol w:w="308"/>
        <w:gridCol w:w="308"/>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the awards was $23.96.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1,600,000 market-based PSUs were outstanding as of December 31, 2025, as none have vested or been cancelled.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adopted, and the Company's stockholders approved, the 2025 Employee Stock Purchase Plan (the “ESPP”), which became effective immediately prior to the effectiveness of the registration statement on Form S-1 related to the IPO. A total of 9,300,000 shares of Class A common stock were initially reserved for sale under the ESPP. The number of shares of Class A common stock reserved for sale will automatically increase on the first day of each fiscal year beginning with the 2026 fiscal year, equal to the lesser of: (1) 9,300,000 shares, (2) one percent (1%) of the total number of shares of all classes of the Company’s common stock outstanding as of the last day of the immediately preceding fiscal year, or (3) such other amount as the board of directors may determine no later than the last day of the immediately preceding fiscal year.</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any limitations contained therein, the ESPP allows eligible employees to contribute (in the form of payroll deductions or otherwise to the extent permitted by the administrator) an amount established by the administrator, but not exceeding 15% of their eligible compensation, from time to time in its discretion to purchase common stock at a discounted price per share.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had been no offering period or purchase period under the ESPP, and no such period will begin unless and until determined by the Company’s board of directors as the administrator of the ESPP.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remained </w:t>
      </w:r>
      <w:r>
        <w:rPr>
          <w:rFonts w:ascii="Times New Roman;serif" w:hAnsi="Times New Roman;serif"/>
          <w:b w:val="false"/>
          <w:color w:val="000000"/>
          <w:sz w:val="20"/>
        </w:rPr>
        <w:t>9,300,000 shares reserved for sale under the ESPP.</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w:t>
      </w:r>
    </w:p>
    <w:tbl>
      <w:tblPr>
        <w:tblW w:w="7539"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2781" w:type="dxa"/>
            <w:gridSpan w:val="1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is the cumulative stock-based compensation expense, using the accelerated attribution method, for those RSUs and PSUs for which the service condition had been satisfied prior to the occurrence of the liquidity event. which occurred in connection with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Company capitalized $1.3 million, $0.1 million and $0.2 million each period of stock-based compensation expense related to capitalized internal-use software.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$461.1 million of unrecognized stock based compensation expected to be recognized over a weighted average period of 2.77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 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net loss per share attributable to common stockholders in conformity with the two-class method required for participating securities, and considered redeemable convertible preferred stock which was outstanding prior to the Company’s IPO to be participating securities.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amended its certificate of incorporation and created multiple classes of common stock (see Note 2). Class A, Class B, and Class C common stock share proportionately, on a per share basis, in the Company’s net income (losses) and participate equally in the dividends on common stock, if declared. The Company allocates net income (losses) attributable to common stock between each class of common stock on a one-to-one basis when computing net loss per share. As a result, basic and diluted net loss per share or each class of common stock are equivalent.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stock options, RSUs, and common stock warrants to the extent these are dilutive. Basic and diluted net loss per share is the same for all periods presented because the effects of potentially dilutive items were anti-dilutive.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basic and diluted net loss per share attributable to common stockholders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772"/>
        <w:gridCol w:w="1558"/>
        <w:gridCol w:w="1569"/>
        <w:gridCol w:w="109"/>
        <w:gridCol w:w="109"/>
        <w:gridCol w:w="109"/>
        <w:gridCol w:w="109"/>
        <w:gridCol w:w="109"/>
        <w:gridCol w:w="109"/>
        <w:gridCol w:w="109"/>
        <w:gridCol w:w="109"/>
        <w:gridCol w:w="211"/>
        <w:gridCol w:w="1019"/>
        <w:gridCol w:w="109"/>
        <w:gridCol w:w="109"/>
        <w:gridCol w:w="109"/>
        <w:gridCol w:w="109"/>
        <w:gridCol w:w="240"/>
        <w:gridCol w:w="841"/>
        <w:gridCol w:w="109"/>
        <w:gridCol w:w="109"/>
        <w:gridCol w:w="109"/>
        <w:gridCol w:w="109"/>
        <w:gridCol w:w="211"/>
        <w:gridCol w:w="884"/>
        <w:gridCol w:w="156"/>
      </w:tblGrid>
      <w:tr>
        <w:trPr/>
        <w:tc>
          <w:tcPr>
            <w:tcW w:w="177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3095" w:type="dxa"/>
            <w:gridSpan w:val="12"/>
            <w:tcBorders/>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63,104,219 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satisfaction of certain conditions which were not satisfied at the end of the respective periods:</w:t>
      </w:r>
    </w:p>
    <w:tbl>
      <w:tblPr>
        <w:tblW w:w="10205" w:type="dxa"/>
        <w:jc w:val="left"/>
        <w:tblInd w:w="0" w:type="dxa"/>
        <w:tblLayout w:type="fixed"/>
        <w:tblCellMar>
          <w:top w:w="28" w:type="dxa"/>
          <w:left w:w="28" w:type="dxa"/>
          <w:bottom w:w="28" w:type="dxa"/>
          <w:right w:w="28" w:type="dxa"/>
        </w:tblCellMar>
      </w:tblPr>
      <w:tblGrid>
        <w:gridCol w:w="1883"/>
        <w:gridCol w:w="1627"/>
        <w:gridCol w:w="1632"/>
        <w:gridCol w:w="109"/>
        <w:gridCol w:w="109"/>
        <w:gridCol w:w="109"/>
        <w:gridCol w:w="109"/>
        <w:gridCol w:w="540"/>
        <w:gridCol w:w="541"/>
        <w:gridCol w:w="156"/>
        <w:gridCol w:w="109"/>
        <w:gridCol w:w="109"/>
        <w:gridCol w:w="109"/>
        <w:gridCol w:w="593"/>
        <w:gridCol w:w="593"/>
        <w:gridCol w:w="156"/>
        <w:gridCol w:w="109"/>
        <w:gridCol w:w="109"/>
        <w:gridCol w:w="109"/>
        <w:gridCol w:w="593"/>
        <w:gridCol w:w="593"/>
        <w:gridCol w:w="208"/>
      </w:tblGrid>
      <w:tr>
        <w:trPr/>
        <w:tc>
          <w:tcPr>
            <w:tcW w:w="188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1721" w:type="dxa"/>
            <w:gridSpan w:val="6"/>
            <w:tcBorders/>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32,663,015 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29,776,972 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service-based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31,068,799 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performance-based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market-based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55,806,920 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334,686,037 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320,301,407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transactions may include any transaction between the Company and entities under common control or with a related party. The Company has defined related parties as members of the board of directors, executive officers, principal owners of the Company’s outstanding stock, and any immediate family members of each such related party, as well as any entity for which the aforementioned individuals exercise significant influence over or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2024 and 2023, a member of the Company's board of directors was an executive officer of Dallas Basketball Limited (“the Dallas Mavericks”). The Company is party to a multi-year sponsorship agreement with the Dallas Mavericks. During the years ended December 31, 2024 and 2023, the Company paid $11.2 million and $11.5 million in sponsorship fees as part of the agreement. There were no balances outstanding or due as of December 31, 2024, and 2023. The board member ceased serving as an executive officer of the Dallas Mavericks in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2022, the Company established the Chime Scholars Foundation (the “Foundation”), which is a non-controlled nonprofit organization formed for the purpose of distributing charitable donations to recipients generally located in the communities the Company serves. In furtherance of this initiative, the Company entered into an agreement to gift 3,210,192 shares of the Company’s Class A common stock to the Foundation in ten annual installments commencing upon the Company’s IPO. The first annual installment of 321,019 shares of Class A common stock were transferred to the Foundation in June 2025. During the years ended December 31, 2025, 2024, and 2023, the Company recognized $11.2 million, nil, and nil of stock-based charitable contribution for the fair value of donated shares, based on the closing stock price on the day of donation, within general and administrative expenses in the consolidated statement of operations. Cash donations are recognized as expenses when paid to the Foundation. During the years ended December 31, 2025, 2024, and 2023, cash donations were $3.0 million, $1.7 million, and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INCOME TAXES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 2024, and 2023</w:t>
      </w:r>
      <w:r>
        <w:rPr>
          <w:rFonts w:ascii="Times New Roman;serif" w:hAnsi="Times New Roman;serif"/>
          <w:b w:val="false"/>
          <w:color w:val="000000"/>
          <w:sz w:val="20"/>
          <w:shd w:fill="FFFFFF" w:val="clear"/>
        </w:rPr>
        <w:t>, the geographical breakdown of our income (loss) before income taxes is as follows:</w:t>
      </w:r>
    </w:p>
    <w:tbl>
      <w:tblPr>
        <w:tblW w:w="7272" w:type="dxa"/>
        <w:jc w:val="left"/>
        <w:tblInd w:w="0" w:type="dxa"/>
        <w:tblLayout w:type="fixed"/>
        <w:tblCellMar>
          <w:top w:w="28" w:type="dxa"/>
          <w:left w:w="28" w:type="dxa"/>
          <w:bottom w:w="28" w:type="dxa"/>
          <w:right w:w="28" w:type="dxa"/>
        </w:tblCellMar>
      </w:tblPr>
      <w:tblGrid>
        <w:gridCol w:w="1038"/>
        <w:gridCol w:w="912"/>
        <w:gridCol w:w="915"/>
        <w:gridCol w:w="211"/>
        <w:gridCol w:w="1051"/>
        <w:gridCol w:w="109"/>
        <w:gridCol w:w="109"/>
        <w:gridCol w:w="109"/>
        <w:gridCol w:w="109"/>
        <w:gridCol w:w="211"/>
        <w:gridCol w:w="796"/>
        <w:gridCol w:w="109"/>
        <w:gridCol w:w="109"/>
        <w:gridCol w:w="109"/>
        <w:gridCol w:w="109"/>
        <w:gridCol w:w="211"/>
        <w:gridCol w:w="90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was composed of the following:</w:t>
      </w:r>
    </w:p>
    <w:tbl>
      <w:tblPr>
        <w:tblW w:w="4017" w:type="dxa"/>
        <w:jc w:val="left"/>
        <w:tblInd w:w="0" w:type="dxa"/>
        <w:tblLayout w:type="fixed"/>
        <w:tblCellMar>
          <w:top w:w="28" w:type="dxa"/>
          <w:left w:w="28" w:type="dxa"/>
          <w:bottom w:w="28" w:type="dxa"/>
          <w:right w:w="28" w:type="dxa"/>
        </w:tblCellMar>
      </w:tblPr>
      <w:tblGrid>
        <w:gridCol w:w="292"/>
        <w:gridCol w:w="257"/>
        <w:gridCol w:w="261"/>
        <w:gridCol w:w="211"/>
        <w:gridCol w:w="466"/>
        <w:gridCol w:w="109"/>
        <w:gridCol w:w="109"/>
        <w:gridCol w:w="109"/>
        <w:gridCol w:w="109"/>
        <w:gridCol w:w="211"/>
        <w:gridCol w:w="616"/>
        <w:gridCol w:w="109"/>
        <w:gridCol w:w="109"/>
        <w:gridCol w:w="109"/>
        <w:gridCol w:w="109"/>
        <w:gridCol w:w="211"/>
        <w:gridCol w:w="466"/>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Income tax expense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differed from the amount computed by applying the Federal statutory income tax rate of 21% to pretax loss as a result of the following:</w:t>
      </w:r>
    </w:p>
    <w:tbl>
      <w:tblPr>
        <w:tblW w:w="5494" w:type="dxa"/>
        <w:jc w:val="left"/>
        <w:tblInd w:w="0" w:type="dxa"/>
        <w:tblLayout w:type="fixed"/>
        <w:tblCellMar>
          <w:top w:w="28" w:type="dxa"/>
          <w:left w:w="28" w:type="dxa"/>
          <w:bottom w:w="28" w:type="dxa"/>
          <w:right w:w="28" w:type="dxa"/>
        </w:tblCellMar>
      </w:tblPr>
      <w:tblGrid>
        <w:gridCol w:w="1101"/>
        <w:gridCol w:w="971"/>
        <w:gridCol w:w="973"/>
        <w:gridCol w:w="211"/>
        <w:gridCol w:w="901"/>
        <w:gridCol w:w="109"/>
        <w:gridCol w:w="109"/>
        <w:gridCol w:w="109"/>
        <w:gridCol w:w="109"/>
        <w:gridCol w:w="291"/>
        <w:gridCol w:w="294"/>
        <w:gridCol w:w="316"/>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(211,912)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State tax, net of federal benefit</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(1)State taxes in New York, Tennessee, and Texas made up the majority (greater than 50%) of the tax effect in this category.</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Income tax expense for the year ended </w:t>
      </w:r>
      <w:r>
        <w:rPr>
          <w:rFonts w:ascii="Times New Roman;serif" w:hAnsi="Times New Roman;serif"/>
          <w:b w:val="false"/>
          <w:color w:val="000000"/>
          <w:sz w:val="20"/>
        </w:rPr>
        <w:t xml:space="preserve">December 31, 2024 and 2023 </w:t>
      </w:r>
      <w:r>
        <w:rPr>
          <w:rFonts w:ascii="Times New Roman;serif" w:hAnsi="Times New Roman;serif"/>
          <w:b w:val="false"/>
          <w:color w:val="000000"/>
          <w:sz w:val="20"/>
          <w:shd w:fill="FFFFFF" w:val="clear"/>
        </w:rPr>
        <w:t>differed from the amount computed by applying the Federal statutory income tax rate of 21% to pretax loss as a result of the following:</w:t>
      </w:r>
    </w:p>
    <w:tbl>
      <w:tblPr>
        <w:tblW w:w="5529"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291"/>
        <w:gridCol w:w="294"/>
        <w:gridCol w:w="409"/>
        <w:gridCol w:w="164"/>
        <w:gridCol w:w="164"/>
        <w:gridCol w:w="164"/>
        <w:gridCol w:w="291"/>
        <w:gridCol w:w="294"/>
        <w:gridCol w:w="477"/>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income tax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difference in the Company’s effective tax rate and the U.S. federal statutory tax rate is primarily due to recording a full valuation allowance on the Company’s U.S.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components of deferred tax assets and liabilities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were as follows:</w:t>
      </w:r>
    </w:p>
    <w:tbl>
      <w:tblPr>
        <w:tblW w:w="6101" w:type="dxa"/>
        <w:jc w:val="left"/>
        <w:tblInd w:w="0" w:type="dxa"/>
        <w:tblLayout w:type="fixed"/>
        <w:tblCellMar>
          <w:top w:w="28" w:type="dxa"/>
          <w:left w:w="28" w:type="dxa"/>
          <w:bottom w:w="28" w:type="dxa"/>
          <w:right w:w="28" w:type="dxa"/>
        </w:tblCellMar>
      </w:tblPr>
      <w:tblGrid>
        <w:gridCol w:w="990"/>
        <w:gridCol w:w="868"/>
        <w:gridCol w:w="872"/>
        <w:gridCol w:w="259"/>
        <w:gridCol w:w="1107"/>
        <w:gridCol w:w="133"/>
        <w:gridCol w:w="109"/>
        <w:gridCol w:w="109"/>
        <w:gridCol w:w="109"/>
        <w:gridCol w:w="257"/>
        <w:gridCol w:w="1100"/>
        <w:gridCol w:w="188"/>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reserves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748,290 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449,212 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(717,584)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(429,540)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Management believes that, based on available evidence, both positive and negative, it is more likely than not that the deferred tax assets will not be utilized, and as such the Company maintains a full valuation allowance at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valuation allowance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$288.0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primarily as a result of the current year capitalized internally developed software.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had approximately </w:t>
      </w:r>
      <w:r>
        <w:rPr>
          <w:rFonts w:ascii="Times New Roman;serif" w:hAnsi="Times New Roman;serif"/>
          <w:b w:val="false"/>
          <w:color w:val="000000"/>
          <w:sz w:val="20"/>
        </w:rPr>
        <w:t>$1,123.4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$994.7 million </w:t>
      </w:r>
      <w:r>
        <w:rPr>
          <w:rFonts w:ascii="Times New Roman;serif" w:hAnsi="Times New Roman;serif"/>
          <w:b w:val="false"/>
          <w:color w:val="000000"/>
          <w:sz w:val="20"/>
          <w:shd w:fill="FFFFFF" w:val="clear"/>
        </w:rPr>
        <w:t xml:space="preserve">of federal and state (post-apportioned) net operating losses (NOL) carryforwards. The Federal NOL will carry forward indefinitely and the state NOLs will begin to expire in 2028. The Company also has United States federal, state, and Canadian research and development tax credit carryforwards of approximately </w:t>
      </w:r>
      <w:r>
        <w:rPr>
          <w:rFonts w:ascii="Times New Roman;serif" w:hAnsi="Times New Roman;serif"/>
          <w:b w:val="false"/>
          <w:color w:val="000000"/>
          <w:sz w:val="20"/>
        </w:rPr>
        <w:t>$98.6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$56.9 million</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$4.0 million, respectively</w:t>
      </w:r>
      <w:r>
        <w:rPr>
          <w:rFonts w:ascii="Times New Roman;serif" w:hAnsi="Times New Roman;serif"/>
          <w:b w:val="false"/>
          <w:color w:val="000000"/>
          <w:sz w:val="20"/>
          <w:shd w:fill="FFFFFF" w:val="clear"/>
        </w:rPr>
        <w:t>. The federal and Canadian research credits will begin to expire in 2040, while the state research credits will begin to expire in 2030. The Internal Revenue Code (“IRC”) limits the amount of net operating loss carryforwards that a company may use in a given year in the event of certain cumulative changes in ownership over a three-year period as described in Section 382 of the IRC. The Company has performed a detailed analysis to determine whether an ownership change has occurred and noted three ownership changes. These changes are limited under Section 382, however, none of the net operating losses are projected to expire unutilized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gross unrecognized tax benefits is as follows:</w:t>
      </w:r>
    </w:p>
    <w:tbl>
      <w:tblPr>
        <w:tblW w:w="7167" w:type="dxa"/>
        <w:jc w:val="left"/>
        <w:tblInd w:w="0" w:type="dxa"/>
        <w:tblLayout w:type="fixed"/>
        <w:tblCellMar>
          <w:top w:w="28" w:type="dxa"/>
          <w:left w:w="28" w:type="dxa"/>
          <w:bottom w:w="28" w:type="dxa"/>
          <w:right w:w="28" w:type="dxa"/>
        </w:tblCellMar>
      </w:tblPr>
      <w:tblGrid>
        <w:gridCol w:w="1212"/>
        <w:gridCol w:w="1065"/>
        <w:gridCol w:w="1068"/>
        <w:gridCol w:w="211"/>
        <w:gridCol w:w="721"/>
        <w:gridCol w:w="109"/>
        <w:gridCol w:w="109"/>
        <w:gridCol w:w="109"/>
        <w:gridCol w:w="109"/>
        <w:gridCol w:w="211"/>
        <w:gridCol w:w="721"/>
        <w:gridCol w:w="109"/>
        <w:gridCol w:w="109"/>
        <w:gridCol w:w="109"/>
        <w:gridCol w:w="109"/>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positions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with taxing authorities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Expirations of status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recognized, all of the unrecognized tax benefits would not impact the effective tax rate due to the valuation allowance against certain deferred tax assets. As of December 31, 2025, the Company had $65.8 million unrecognized income tax benefits and there were increases of $32.6 million to the Company’s unrecognized tax benefits during the year. The Company’s policy is to classify interest and penalties associated with unrecognized tax benefits as income tax expense. There were no interest and penalties related to unrecognized tax benefits recorded on the consolidated statements of operations for the years ended December 31, 2025, 2024, and 2023 or the consolidated balance sheets as of December 31, 2025 and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and various state jurisdictions. In addition, the Company files income tax returns in Canada. The Company is not currently under examination by income tax authorities in any of the jurisdictions. All tax returns will remain open for examination by the federal and most state taxing authorities for three years and four years, respectively, from the date of utilization of any net operating loss carryforwards or research and development credits.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income taxes paid (net of refunds received) were $1.1 million. The breakout by jurisdiction was as follows:</w:t>
      </w:r>
    </w:p>
    <w:tbl>
      <w:tblPr>
        <w:tblW w:w="4588" w:type="dxa"/>
        <w:jc w:val="left"/>
        <w:tblInd w:w="0" w:type="dxa"/>
        <w:tblLayout w:type="fixed"/>
        <w:tblCellMar>
          <w:top w:w="28" w:type="dxa"/>
          <w:left w:w="28" w:type="dxa"/>
          <w:bottom w:w="28" w:type="dxa"/>
          <w:right w:w="28" w:type="dxa"/>
        </w:tblCellMar>
      </w:tblPr>
      <w:tblGrid>
        <w:gridCol w:w="923"/>
        <w:gridCol w:w="812"/>
        <w:gridCol w:w="814"/>
        <w:gridCol w:w="438"/>
        <w:gridCol w:w="1281"/>
        <w:gridCol w:w="32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 Federal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State and local</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Oregon</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state and local</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under operating leases that expire at various dates. The most significant of these operating leases is the corporate headquarters in San Francisco, California. For the years ended December 31, 2025, 2024, and 2023, rent expense for all operating leases was $13.3 million, $11.1 million, and $10.0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lease for office space at 122 Fifth Avenue, New York, New York with a commencement date based on delivery of the premises in agreed-upon condition. The lease has a term of 11 years, 2 months from the commencement date of August 1, 2025. Base rent payments are approximately $7.5 million annually for the first six years and $8.2 million annually for the remainder of the term, subject to a rent abatement period of fourteen months beginning on the commencement date.</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are as follows:</w:t>
      </w:r>
    </w:p>
    <w:tbl>
      <w:tblPr>
        <w:tblW w:w="7229" w:type="dxa"/>
        <w:jc w:val="left"/>
        <w:tblInd w:w="0" w:type="dxa"/>
        <w:tblLayout w:type="fixed"/>
        <w:tblCellMar>
          <w:top w:w="28" w:type="dxa"/>
          <w:left w:w="28" w:type="dxa"/>
          <w:bottom w:w="28" w:type="dxa"/>
          <w:right w:w="28" w:type="dxa"/>
        </w:tblCellMar>
      </w:tblPr>
      <w:tblGrid>
        <w:gridCol w:w="917"/>
        <w:gridCol w:w="808"/>
        <w:gridCol w:w="810"/>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2781" w:type="dxa"/>
            <w:gridSpan w:val="1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 are primarily related to payments made to the Company’s landlords for common area maintenance, property taxes, insurance, and other 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material restrictive 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remaining operating lease term and the weighted average discount rate used in the calculation of the Company’s lease assets and lease liabilities were as follows: </w:t>
      </w:r>
    </w:p>
    <w:tbl>
      <w:tblPr>
        <w:tblW w:w="6524" w:type="dxa"/>
        <w:jc w:val="left"/>
        <w:tblInd w:w="0" w:type="dxa"/>
        <w:tblLayout w:type="fixed"/>
        <w:tblCellMar>
          <w:top w:w="28" w:type="dxa"/>
          <w:left w:w="28" w:type="dxa"/>
          <w:bottom w:w="28" w:type="dxa"/>
          <w:right w:w="28" w:type="dxa"/>
        </w:tblCellMar>
      </w:tblPr>
      <w:tblGrid>
        <w:gridCol w:w="1784"/>
        <w:gridCol w:w="1570"/>
        <w:gridCol w:w="1580"/>
        <w:gridCol w:w="324"/>
        <w:gridCol w:w="324"/>
        <w:gridCol w:w="942"/>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operating lease term (in years)</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leases were as follows:</w:t>
      </w:r>
    </w:p>
    <w:tbl>
      <w:tblPr>
        <w:tblW w:w="9464" w:type="dxa"/>
        <w:jc w:val="left"/>
        <w:tblInd w:w="0" w:type="dxa"/>
        <w:tblLayout w:type="fixed"/>
        <w:tblCellMar>
          <w:top w:w="28" w:type="dxa"/>
          <w:left w:w="28" w:type="dxa"/>
          <w:bottom w:w="28" w:type="dxa"/>
          <w:right w:w="28" w:type="dxa"/>
        </w:tblCellMar>
      </w:tblPr>
      <w:tblGrid>
        <w:gridCol w:w="1728"/>
        <w:gridCol w:w="1516"/>
        <w:gridCol w:w="1526"/>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c>
          <w:tcPr>
            <w:tcW w:w="2781" w:type="dxa"/>
            <w:gridSpan w:val="1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as of December 31, 2025 were as follows:</w:t>
      </w:r>
    </w:p>
    <w:tbl>
      <w:tblPr>
        <w:tblW w:w="4182" w:type="dxa"/>
        <w:jc w:val="left"/>
        <w:tblInd w:w="0" w:type="dxa"/>
        <w:tblLayout w:type="fixed"/>
        <w:tblCellMar>
          <w:top w:w="28" w:type="dxa"/>
          <w:left w:w="28" w:type="dxa"/>
          <w:bottom w:w="28" w:type="dxa"/>
          <w:right w:w="28" w:type="dxa"/>
        </w:tblCellMar>
      </w:tblPr>
      <w:tblGrid>
        <w:gridCol w:w="959"/>
        <w:gridCol w:w="842"/>
        <w:gridCol w:w="853"/>
        <w:gridCol w:w="211"/>
        <w:gridCol w:w="826"/>
        <w:gridCol w:w="491"/>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37,962 </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134,665 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If the reasonable estimate is a range and no amount within that range is considered a better estimate than any other amount, an accrual is recorded based on the bottom amount of the range. Loss contingencies that are reasonably possible of occurrence are subject to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has evaluated the effectiveness of our disclosure controls and procedures as of the end of the period covered by this Annual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Annual Report, our disclosure controls and procedures were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and 15d-15(f) under the Exchange Act) during the quarter ended December 31, 2025 that has materially affected, or is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 control system, no matter how well conceived and operated, can provide only reasonable, not absolute, assurance that the objectives of the control system are met. We intend to continue to monitor and upgrade our internal controls as necessary or appropriate for our business, but cannot provide absolute assurance that misstatements due to error or fraud will not occur or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described below, during the three months ended December 31, 2025, none of our officers or directors, as defined in Rule 16a-1(f) of the Exchange Act, adopted, modified, or terminated any contract, instruction, or written plan for the purchase or sale of our securities that was intended to satisfy the affirmative defense conditions of Rule 10b5-1(c) (a “Rule 10b5-1 trading arrangement”) or any “non Rule 10b5-1 trading arrangement,” as defined in Regulation S-K Item 408.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2025, Amine Asmerom, our Chief Accounting Officer, adopted a “Rule 10b5-1 trading arrangement” (as defined in Item 408(a) of Regulation S-K) intended to satisfy the affirmative defense of Rule 10b5-1(c) under the Exchange Act pursuant to which he may sell up to 39,505 shares of our Class A common stock on or prior to September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2026 Annual Meeting of Stockholders to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2026 Annual Meeting of Stockholders to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2026 Annual Meeting of Stockholders to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2026 Annual Meeting of Stockholders to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2026 Annual Meeting of Stockholders to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 on Form 10-K:</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following consolidated financial statements of Chime Financial, Inc. and subsidiaries are filed as part of this Annual Report on Form 10-K under Part II, Item 8:</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Reports of Independent Registered Public Accounting Firm on Consolidated Financial Statements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Balance Sheets as of December 31, 2025 and 2024</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Statements of Operations for the Years Ended December 31, 2025, 2024 and 2023</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Statements of Comprehensive Income for the Years Ended December 31, 2025, 2024 and 2023</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Statements of Cash Flows for the Years Ended December 31, 2025, 2024 and 2023</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Statements of Changes in Stockholders’ Equity for the Years Ended December 31, 2025, 2024 and 2023</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Notes to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schedules are omitted because of the absence of conditions under which they are required or because information called for is shown in the consolidated financial statements and notes thereto in Part II, Item 8 of this Annual Report on Form 10-K.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Annual Report on Form 10-K, or are incorporated herein by reference, in each case as indicated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782"/>
        <w:gridCol w:w="1699"/>
        <w:gridCol w:w="1718"/>
        <w:gridCol w:w="109"/>
        <w:gridCol w:w="109"/>
        <w:gridCol w:w="109"/>
        <w:gridCol w:w="148"/>
        <w:gridCol w:w="148"/>
        <w:gridCol w:w="149"/>
        <w:gridCol w:w="110"/>
        <w:gridCol w:w="110"/>
        <w:gridCol w:w="110"/>
        <w:gridCol w:w="334"/>
        <w:gridCol w:w="316"/>
        <w:gridCol w:w="282"/>
        <w:gridCol w:w="110"/>
        <w:gridCol w:w="110"/>
        <w:gridCol w:w="110"/>
        <w:gridCol w:w="185"/>
        <w:gridCol w:w="185"/>
        <w:gridCol w:w="186"/>
        <w:gridCol w:w="109"/>
        <w:gridCol w:w="109"/>
        <w:gridCol w:w="109"/>
        <w:gridCol w:w="245"/>
        <w:gridCol w:w="245"/>
        <w:gridCol w:w="3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Filing Date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Filed Herewith</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Amended and Restated Investors’ Rights Agreement among the registrant and certain holders of its capital stock, dated as of August 9,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Warrant to Purchase Class A 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43-descriptionofsecuriti.htm">
              <w:r>
                <w:rPr>
                  <w:rStyle w:val="InternetLink"/>
                  <w:rFonts w:ascii="Times New Roman;serif" w:hAnsi="Times New Roman;serif"/>
                  <w:b w:val="false"/>
                  <w:color w:val="000080"/>
                  <w:sz w:val="18"/>
                  <w:u w:val="single"/>
                </w:rPr>
                <w:t>Description of Securities</w:t>
              </w:r>
            </w:hyperlink>
            <w:hyperlink w:anchor="ex43-descriptionofsecuriti.htm">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Indemnification Agreement between the registrant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Chime Financial, Inc. 2025 Equity Incentive Plan and related form agreements.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09"/>
        <w:gridCol w:w="182"/>
        <w:gridCol w:w="174"/>
        <w:gridCol w:w="109"/>
        <w:gridCol w:w="109"/>
        <w:gridCol w:w="109"/>
        <w:gridCol w:w="2149"/>
        <w:gridCol w:w="1998"/>
        <w:gridCol w:w="2005"/>
        <w:gridCol w:w="109"/>
        <w:gridCol w:w="109"/>
        <w:gridCol w:w="109"/>
        <w:gridCol w:w="125"/>
        <w:gridCol w:w="125"/>
        <w:gridCol w:w="125"/>
        <w:gridCol w:w="109"/>
        <w:gridCol w:w="109"/>
        <w:gridCol w:w="109"/>
        <w:gridCol w:w="196"/>
        <w:gridCol w:w="196"/>
        <w:gridCol w:w="197"/>
        <w:gridCol w:w="109"/>
        <w:gridCol w:w="109"/>
        <w:gridCol w:w="109"/>
        <w:gridCol w:w="169"/>
        <w:gridCol w:w="169"/>
        <w:gridCol w:w="173"/>
        <w:gridCol w:w="109"/>
        <w:gridCol w:w="109"/>
        <w:gridCol w:w="109"/>
        <w:gridCol w:w="109"/>
        <w:gridCol w:w="109"/>
        <w:gridCol w:w="160"/>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Chime Financial, Inc. 2025 Employee Stock Purchase Plan and related form agreements.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Chime Financial, Inc. Amended and Restated 2012 Stock Option and Grant Plan and related form agreements.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Outside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Change in Control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Officer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Executive Incentive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Confirmatory Employment Letter between the registrant and Christopher Britt,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Confirmatory Employment Letter between the registrant and Ryan King, dated as of April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Confirmatory Employment Letter between the registrant and Matthew Newcomb,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Confirmatory Employment Letter between the registrant and Adam Frankel, dated as of April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Confirmatory Employment Letter between the registrant and Mark Troughton,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Founder Letter Agreement between the registrant and Christopher Britt, dated as of April 28,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Founder Letter Agreement between the registrant and Ryan King, dated as of April 28,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Form of Exchange Agreement among the registrant, each of Christopher Britt and Ryan King, and certain related entities.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Equity Exchange Right Agreement between the registrant and each of Christopher Britt and Ryan King.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Lease Agreement between the registrant and Elm Property Venture LLC, dated as of September 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Credit Agreement among the registrant, the several lenders from time to time party thereto, and Morgan Stanley Senior Funding, Inc., dated as of March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0-msa10xk.htm">
              <w:r>
                <w:rPr>
                  <w:rStyle w:val="InternetLink"/>
                  <w:rFonts w:ascii="Times New Roman;serif" w:hAnsi="Times New Roman;serif"/>
                  <w:b w:val="false"/>
                  <w:color w:val="000080"/>
                  <w:sz w:val="18"/>
                  <w:u w:val="single"/>
                </w:rPr>
                <w:t>Master Services Agreement between the registrant and The Bancorp Bank, N.A., dated as of June 9, 2023, as amended on January 6, 2025, February 27, 2025, March 19, 2025</w:t>
              </w:r>
            </w:hyperlink>
            <w:hyperlink w:anchor="exhibit1020-msa10xk.htm">
              <w:r>
                <w:rPr>
                  <w:rStyle w:val="InternetLink"/>
                  <w:rFonts w:ascii="Times New Roman;serif" w:hAnsi="Times New Roman;serif"/>
                  <w:b w:val="false"/>
                  <w:color w:val="000080"/>
                  <w:sz w:val="18"/>
                  <w:u w:val="single"/>
                </w:rPr>
                <w:t>, J</w:t>
              </w:r>
            </w:hyperlink>
            <w:hyperlink w:anchor="exhibit1020-msa10xk.htm">
              <w:r>
                <w:rPr>
                  <w:rStyle w:val="InternetLink"/>
                  <w:rFonts w:ascii="Times New Roman;serif" w:hAnsi="Times New Roman;serif"/>
                  <w:b w:val="false"/>
                  <w:color w:val="000080"/>
                  <w:sz w:val="18"/>
                  <w:u w:val="single"/>
                </w:rPr>
                <w:t>une 20, 2025</w:t>
              </w:r>
            </w:hyperlink>
            <w:hyperlink w:anchor="exhibit1020-msa10xk.htm">
              <w:r>
                <w:rPr>
                  <w:rStyle w:val="InternetLink"/>
                  <w:rFonts w:ascii="Times New Roman;serif" w:hAnsi="Times New Roman;serif"/>
                  <w:b w:val="false"/>
                  <w:color w:val="000080"/>
                  <w:sz w:val="18"/>
                  <w:u w:val="single"/>
                </w:rPr>
                <w:t>, and October 20, 2</w:t>
              </w:r>
            </w:hyperlink>
            <w:hyperlink w:anchor="exhibit1020-msa10xk.htm">
              <w:r>
                <w:rPr>
                  <w:rStyle w:val="InternetLink"/>
                  <w:rFonts w:ascii="Times New Roman;serif" w:hAnsi="Times New Roman;serif"/>
                  <w:b w:val="false"/>
                  <w:color w:val="000080"/>
                  <w:sz w:val="18"/>
                  <w:u w:val="single"/>
                </w:rPr>
                <w:t>025</w:t>
              </w:r>
            </w:hyperlink>
            <w:hyperlink w:anchor="exhibit1020-msa10xk.htm">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Amended &amp; Restated Private Label Consumer &amp; Commercial Checking Account, Savings Account &amp; Debit Card Issuance Agreement between the registrant and Stride Bank, N.A. (f/k/a Central National Bank and Trust Co. of Enid), effective as of December 1, 2022, as amended on October 23, 2024, and March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Secured Credit Card Issuing and Marketing Agreement between the registrant and Central National Bank and Trust Co. of Enid, effective as of October 10, 2018, as amended on March 10, 2020, March 17, 2021, December 1, 2022, and October 23,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erif" w:hAnsi="Times New Roman;serif"/>
                  <w:b w:val="false"/>
                  <w:color w:val="0000FF"/>
                  <w:sz w:val="18"/>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62"/>
        <w:gridCol w:w="142"/>
        <w:gridCol w:w="144"/>
        <w:gridCol w:w="109"/>
        <w:gridCol w:w="109"/>
        <w:gridCol w:w="109"/>
        <w:gridCol w:w="2300"/>
        <w:gridCol w:w="2073"/>
        <w:gridCol w:w="2079"/>
        <w:gridCol w:w="109"/>
        <w:gridCol w:w="109"/>
        <w:gridCol w:w="109"/>
        <w:gridCol w:w="110"/>
        <w:gridCol w:w="110"/>
        <w:gridCol w:w="110"/>
        <w:gridCol w:w="109"/>
        <w:gridCol w:w="109"/>
        <w:gridCol w:w="109"/>
        <w:gridCol w:w="179"/>
        <w:gridCol w:w="179"/>
        <w:gridCol w:w="181"/>
        <w:gridCol w:w="109"/>
        <w:gridCol w:w="109"/>
        <w:gridCol w:w="109"/>
        <w:gridCol w:w="140"/>
        <w:gridCol w:w="140"/>
        <w:gridCol w:w="141"/>
        <w:gridCol w:w="109"/>
        <w:gridCol w:w="109"/>
        <w:gridCol w:w="109"/>
        <w:gridCol w:w="109"/>
        <w:gridCol w:w="109"/>
        <w:gridCol w:w="162"/>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80"/>
                  <w:sz w:val="18"/>
                  <w:u w:val="single"/>
                </w:rPr>
                <w:t>S</w:t>
              </w:r>
            </w:hyperlink>
            <w:hyperlink r:id="rId30">
              <w:r>
                <w:rPr>
                  <w:rStyle w:val="InternetLink"/>
                  <w:rFonts w:ascii="Times New Roman;serif" w:hAnsi="Times New Roman;serif"/>
                  <w:b w:val="false"/>
                  <w:color w:val="000080"/>
                  <w:sz w:val="18"/>
                  <w:u w:val="single"/>
                </w:rPr>
                <w:t>ubsidiaries of Chime</w:t>
              </w:r>
            </w:hyperlink>
            <w:hyperlink r:id="rId31">
              <w:r>
                <w:rPr>
                  <w:rStyle w:val="InternetLink"/>
                  <w:rFonts w:ascii="Times New Roman;serif" w:hAnsi="Times New Roman;serif"/>
                  <w:b w:val="false"/>
                  <w:color w:val="000080"/>
                  <w:sz w:val="18"/>
                  <w:u w:val="single"/>
                </w:rPr>
                <w:t xml:space="preserve"> Financial,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eyconsentx10xk.htm">
              <w:r>
                <w:rPr>
                  <w:rStyle w:val="InternetLink"/>
                  <w:rFonts w:ascii="Times New Roman;serif" w:hAnsi="Times New Roman;serif"/>
                  <w:b w:val="false"/>
                  <w:color w:val="000080"/>
                  <w:sz w:val="18"/>
                  <w:u w:val="single"/>
                </w:rPr>
                <w:t>C</w:t>
              </w:r>
            </w:hyperlink>
            <w:hyperlink w:anchor="ex231-eyconsentx10xk.htm">
              <w:r>
                <w:rPr>
                  <w:rStyle w:val="InternetLink"/>
                  <w:rFonts w:ascii="Times New Roman;serif" w:hAnsi="Times New Roman;serif"/>
                  <w:b w:val="false"/>
                  <w:color w:val="000080"/>
                  <w:sz w:val="18"/>
                  <w:u w:val="single"/>
                </w:rPr>
                <w:t>onsent of Independent Registered Public Accounting Firm</w:t>
              </w:r>
            </w:hyperlink>
            <w:hyperlink w:anchor="ex231-eyconsentx10xk.htm">
              <w:r>
                <w:rPr>
                  <w:rStyle w:val="InternetLink"/>
                  <w:rFonts w:ascii="Times New Roman;serif" w:hAnsi="Times New Roman;serif"/>
                  <w:b w:val="false"/>
                  <w:color w:val="000080"/>
                  <w:sz w:val="18"/>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3f56f875cf425ea78fcca0a339f364_840">
              <w:r>
                <w:rPr>
                  <w:rStyle w:val="InternetLink"/>
                  <w:rFonts w:ascii="Times New Roman;serif" w:hAnsi="Times New Roman;serif"/>
                  <w:b w:val="false"/>
                  <w:color w:val="000080"/>
                  <w:sz w:val="18"/>
                  <w:u w:val="single"/>
                </w:rPr>
                <w:t>P</w:t>
              </w:r>
            </w:hyperlink>
            <w:hyperlink w:anchor="i1f3f56f875cf425ea78fcca0a339f364_840">
              <w:r>
                <w:rPr>
                  <w:rStyle w:val="InternetLink"/>
                  <w:rFonts w:ascii="Times New Roman;serif" w:hAnsi="Times New Roman;serif"/>
                  <w:b w:val="false"/>
                  <w:color w:val="000080"/>
                  <w:sz w:val="18"/>
                  <w:u w:val="single"/>
                </w:rPr>
                <w:t>ower of Attorney (included in signature pages hereto)</w:t>
              </w:r>
            </w:hyperlink>
            <w:hyperlink w:anchor="i1f3f56f875cf425ea78fcca0a339f364_840">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q4202510xk.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4202510xk.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q4202510xk.htm">
              <w:r>
                <w:rPr>
                  <w:rStyle w:val="InternetLink"/>
                  <w:rFonts w:ascii="Times New Roman;serif" w:hAnsi="Times New Roman;serif"/>
                  <w:b w:val="false"/>
                  <w:color w:val="0000FF"/>
                  <w:sz w:val="18"/>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71compensationrecovery.htm">
              <w:r>
                <w:rPr>
                  <w:rStyle w:val="InternetLink"/>
                  <w:rFonts w:ascii="Times New Roman;serif" w:hAnsi="Times New Roman;serif"/>
                  <w:b w:val="false"/>
                  <w:color w:val="000080"/>
                  <w:sz w:val="18"/>
                  <w:u w:val="single"/>
                </w:rPr>
                <w:t>Compensation Recovery Po</w:t>
              </w:r>
            </w:hyperlink>
            <w:hyperlink w:anchor="ex971compensationrecovery.htm">
              <w:r>
                <w:rPr>
                  <w:rStyle w:val="InternetLink"/>
                  <w:rFonts w:ascii="Times New Roman;serif" w:hAnsi="Times New Roman;serif"/>
                  <w:b w:val="false"/>
                  <w:color w:val="000080"/>
                  <w:sz w:val="18"/>
                  <w:u w:val="single"/>
                </w:rPr>
                <w:t>licy</w:t>
              </w:r>
            </w:hyperlink>
            <w:hyperlink w:anchor="ex971compensationrecovery.htm">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Annual Report on Form 10-K for the year ended December 31, 2025, formatted in Inline XBRL: (i) Consolidated Statements of Operations, (ii) Consolidated Statements of Comprehensive Loss, (iii) Consolidated Statements of Cash Flows, (iv) Consolidated Balance Sheets, (v) Consolidated Statements of Stockholders' Equity and (vi) Notes to Consolidated Financial Statements, tagged as blocks of text and including detailed tags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Annual Report on Form 10-K for the year ended December 31, 2025, formatted in Inline XBRL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information in this exhibit (indicated by asterisks) has been redacted because it is both (i) not material and (ii) information that the registrant treats as private or confidential.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lineRule="auto" w:line="288" w:before="0" w:after="180"/>
        <w:ind w:left="0" w:right="0" w:firstLine="360"/>
        <w:jc w:val="left"/>
        <w:rPr>
          <w:color w:val="000000"/>
        </w:rPr>
      </w:pPr>
      <w:r>
        <w:rPr>
          <w:color w:val="000000"/>
        </w:rPr>
        <w:t>†    </w:t>
      </w:r>
      <w:r>
        <w:rPr>
          <w:rFonts w:ascii="Times New Roman;serif" w:hAnsi="Times New Roman;serif"/>
          <w:b w:val="false"/>
          <w:color w:val="000000"/>
          <w:sz w:val="20"/>
        </w:rPr>
        <w:t>The certifications attached as Exhibit 32.1 that accompany this Annual Report on Form 10-K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San Francisco, California, on March 5, 2026.</w:t>
      </w:r>
    </w:p>
    <w:tbl>
      <w:tblPr>
        <w:tblW w:w="4365" w:type="dxa"/>
        <w:jc w:val="left"/>
        <w:tblInd w:w="0" w:type="dxa"/>
        <w:tblLayout w:type="fixed"/>
        <w:tblCellMar>
          <w:top w:w="28" w:type="dxa"/>
          <w:left w:w="28" w:type="dxa"/>
          <w:bottom w:w="28" w:type="dxa"/>
          <w:right w:w="28" w:type="dxa"/>
        </w:tblCellMar>
      </w:tblPr>
      <w:tblGrid>
        <w:gridCol w:w="124"/>
        <w:gridCol w:w="109"/>
        <w:gridCol w:w="109"/>
        <w:gridCol w:w="257"/>
        <w:gridCol w:w="257"/>
        <w:gridCol w:w="257"/>
        <w:gridCol w:w="716"/>
        <w:gridCol w:w="716"/>
        <w:gridCol w:w="716"/>
        <w:gridCol w:w="320"/>
        <w:gridCol w:w="320"/>
        <w:gridCol w:w="4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CHIME FINANCIAL,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Christopher Britt and Matthew Newcomb,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tbl>
      <w:tblPr>
        <w:tblW w:w="7132" w:type="dxa"/>
        <w:jc w:val="left"/>
        <w:tblInd w:w="0" w:type="dxa"/>
        <w:tblLayout w:type="fixed"/>
        <w:tblCellMar>
          <w:top w:w="28" w:type="dxa"/>
          <w:left w:w="28" w:type="dxa"/>
          <w:bottom w:w="28" w:type="dxa"/>
          <w:right w:w="28" w:type="dxa"/>
        </w:tblCellMar>
      </w:tblPr>
      <w:tblGrid>
        <w:gridCol w:w="700"/>
        <w:gridCol w:w="616"/>
        <w:gridCol w:w="618"/>
        <w:gridCol w:w="109"/>
        <w:gridCol w:w="109"/>
        <w:gridCol w:w="109"/>
        <w:gridCol w:w="1065"/>
        <w:gridCol w:w="1065"/>
        <w:gridCol w:w="1079"/>
        <w:gridCol w:w="109"/>
        <w:gridCol w:w="109"/>
        <w:gridCol w:w="109"/>
        <w:gridCol w:w="389"/>
        <w:gridCol w:w="389"/>
        <w:gridCol w:w="55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Amine Asmerom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Amine Asmerom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Shawn Carolan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Shawn Carolan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Susan Decker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Susan Decker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Jimmy Dunne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Jimmy Dunne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M. P. Feuille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M. P. Feuille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Ryan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Ryan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Cynthia Marshall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Cynthia Marshall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4.3</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following description of capital stock of Chime Financial, Inc. (“us,” “our,” “we,” or the “Company”) is a summary. We have adopted an Amended and Restated Certificate of Incorporation (our “Charter”) and Amended and Restated Bylaws (our “Bylaws”). Because it is only a summary, it does not contain all the information that may be important to you. For a complete description of the matters set forth in this Exhibit 4.3, you should refer to our Charter, Bylaws, and our Amended and Restated Investors’ Rights Agreement, dated August 9, 2021 (the “IRA”), each previously filed with the Securities and Exchange Commission (the “SEC”) and incorporated by reference as an exhibit to the Annual Report on Form 10-K of which this Exhibit 4.3 is a part, and to the applicable provisions of Delaware law.</w:t>
      </w:r>
      <w:r>
        <w:rPr>
          <w:color w:val="000000"/>
        </w:rPr>
        <w:t> </w:t>
      </w:r>
      <w:r>
        <w:rPr>
          <w:rFonts w:ascii="Times New Roman;serif" w:hAnsi="Times New Roman;serif"/>
          <w:b w:val="false"/>
          <w:color w:val="000000"/>
          <w:sz w:val="20"/>
        </w:rPr>
        <w:t xml:space="preserve">Our authorized capital stock consists of 5,665,000,000 shares of capital stock, $0.0001 par value per share, of which: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5,000,000,000 shares are designated as Class A common stock;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65,000,000 shares are designated as Class B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500,000,000 shares are designated as Class C common stock; and </w:t>
      </w:r>
    </w:p>
    <w:p>
      <w:pPr>
        <w:pStyle w:val="TextBody"/>
        <w:bidi w:val="0"/>
        <w:spacing w:lineRule="auto" w:line="288" w:before="0" w:after="10"/>
        <w:ind w:left="0" w:right="0" w:hanging="360"/>
        <w:jc w:val="left"/>
        <w:rPr/>
      </w:pPr>
      <w:r>
        <w:rPr>
          <w:color w:val="000000"/>
        </w:rPr>
        <w:t>•</w:t>
      </w:r>
      <w:r>
        <w:rPr>
          <w:rFonts w:ascii="Times New Roman;serif" w:hAnsi="Times New Roman;serif"/>
          <w:b w:val="false"/>
          <w:color w:val="000000"/>
          <w:sz w:val="20"/>
        </w:rPr>
        <w:t xml:space="preserve">100,000,000 shares are designated as 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our Charter, our board of directors has the authority, without stockholder approval except as required by the Nasdaq listing standards, to issue additional shares of our Class A common stock and Class C common stock. Until the date on which the final conversion of all outstanding shares of Class B common stock pursuant to the terms of our Charter occurs (the “Final Conversion Date”), any issuance of additional shares of Class B common stock (other than shares of Class B common stock over which one or both of Christopher Britt, our co-founder, Chairman of our board of directors, and Chief Executive Officer, and Ryan King, our co-founder anda member of our board of directors (each a “Co-Founder” and together, the “Co-Founders”) have voting control or which are subject to a voting proxy substantially similar to the Founder Voting Proxy (as defined below)) requires the prior affirmative vote of the holders of two-thirds of the outstanding shares of Class B common stock, voting as a separate series.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three series of authorized common stock: Class A common stock, Class B common stock, and Class C common stock. The rights of the holders of Class A common stock, Class B common stock, and Class C common stock are identical, except with respect to voting and conversion.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Dividend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Class A common stock are entitled to one vote for each share held on all matters submitted to a vote of stockholders, holders of our Class B common stock are entitled to 20 votes for each share held on all matters submitted to a vote of stockholders,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or our Charter. Delaware law could require holders of our Class A common stock, our Class B common stock, or our Class C common stock to vote separately as a single series if we were to seek to amend our Charter in a manner that alters or changes the powers, preferences, or special rights of one or more series of our common stock so as to affect them adversely but did not so affect the entire class of common stock, then such adversely and disproportionately affected series would be required to vote separately to approve the proposed amendment.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Until the Final Conversion Date, the prior affirmative vote of the holders of two-thirds of the outstanding shares of our Class B common stock will be required to: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amend or repeal, or adopt any provision of the Charter inconsistent with, or otherwise alter, any provision of the Charter relating to the voting, conversion, or other rights, powers, preferences, or restrictions of the Class B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reclassify any outstanding shares of Class A common stock or Class C common stock into shares having rights as to dividends or liquidation that are senior to the Class B common stock or the right to have more than one vote for each share thereof and, in the case of Class C common stock, the right to have any vote for any share thereof, except as expressly provided in our Charter or as required by law;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issue any shares of Class B common stock (other than shares of Class B common stock over which one or both Co-Founders have voting control or which are subject to a voting proxy substantially similar to the Founder Voting Proxy);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or issue any shares of, any class or series of our capital stock (other than Class B common stock) having the right to more than one vote for each share thereof.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 provides for a classified board of directors consisting of three classes of approximately equal size, each serving staggered three-year terms. Only the directors in one class will be subject to election by stockholders at each annual meeting of stockholders, with the directors in the other classes continuing for the remainder of their respective three-year terms. Stockholders do not have the ability to cumulate votes for the election of directors. In an election for directors that is not a contested election, as defined in our Bylaws, directors will be elected by a majority of the votes cast in the election of directors. Abstentions and broker non-votes will not be considered votes cast. Votes cast shall include direction to withhold authority. In a contested election, directors will be elected by a plurality of the votes cast.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No Preemptive or Similar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not entitled to preemptive rights, and is not subject to conversion, redemption, or sinking fund provisions.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Right to Receive Liquidation Distributions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Conversion of Class B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share of Class B common stock is convertible at any time at the option of the holder into one share of Class A common stock. Shares of Class B common stock will automatically convert into shares of Class A common stock upon sale or transfer except for certain transfers described in our Charter, including estate planning or other transfers among our Co-Founders and their family members where a Co-Founder who has not experienced a Triggering Event (as defined below) retains or is granted exclusive voting control with respect to the shares of Class B common stock transferred. Further, if, following a permitted transfer of shares of Class B common stock, a Co-Founder who has not experienced a Triggering Event does not have exclusive voting control over such shares, the shares of Class B common stock that were transferred will automatically convert into shares of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Class B common stock held by such Co-Founder and his related entities and permitted transferees as of immediately following the completion of our initial public offering,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Conversion of Class C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conversion or exchange of all outstanding shares of our Class B common stock into shares of Class A common stock, all outstanding shares of Class C common stock will convert automatically into Class A common stock, on a share-for-share basis, on the date or time specified by the holders of a majority of the outstanding shares of Class A common stock, voting as a separate class.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Charter,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common stock. We have no current plan to issue any shares of preferred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Founder Voting Proxy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The Founder Voting Proxy will continue over any such shares of Class B common stock until all of the Class B common stock converts automatically into shares of Class A common stock,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holders of our Class A common stock are entitled to rights with respect to the registration of their shares under the Securities Act of 1933, as amended (the “Securities Act”). These registration rights are contained in our IRA. We and certain holders of our capital stock are parties to the IRA. The registration rights set forth in the IRA will expire three years following the completion of our initial public offering, or, with respect to any particular stockholder, such earlier time at which such stockholder (i) can sell all of its shares in compliance with Rule 144(b)(1)(i) of the Securities Act or (ii) holds one percent or less of our outstanding common stock and all securities held by such holder (and its affiliates with whom such holder must aggregate sales under Rule 144) can be sold in any three month period without registration in compliance with Rule 144.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Demand Registration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holders of our Class A common stock are entitled to demand registration rights. The holders of at least 30% of the shares registrable under the IRA can request that we register the offer and sale of their shares. Such request for registration must cover securities, the anticipated aggregate offering price of which is at least $120,000,000.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90 days. Additionally, we will not be required to effect a demand registration during the period beginning 60 days prior to our good faith estimate of the date of the filing of, and ending on a date 180 days following the effectiveness of, a registration statement relating to the public offering of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Piggyback Registration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propose to register the offer and sale of our Class A common stock under the Securities Act, in connection with the public offering of such Class A common stock, certain holders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demand registration, (ii) a registration related to any employee benefit plan or a corporate reorganization or other transaction covered by Rule 145 promulgated under the Securities Act, (iii) a registration on any registration form which does not include substantially the same information as would be required to be included in a registration statement covering the sale of the shares,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S-3 Registration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holders of our Class A common stock will be entitled to certain Form S-3 registration rights. The holders of at least 20% of these shares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is at least $15,000,000, net of any underwriters’ discounts or commissions.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once in any 12-month period, for a period of up to 90 days.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Anti-Takeover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of Delaware law, our Charter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Delaware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business combination or transaction which resulted in the stockholder becoming an interested stockholder was approved by the board of directors prior to the time that the stockholder became an interested stockholder;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 “business combination” to include mergers, asset sales, and other transactions resulting in financial benefit to a stockholder and an “interested stockholder” as a person who, together with its affiliates and associates, owns, or within three years did own, 15% or more of the corporation’s outstanding voting stock. These provisions may have the effect of delaying, deferring, or preventing changes in control of our company.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Charter and Bylaws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and Bylaws include a number of provisions that could deter hostile takeovers or delay or prevent changes in control of our board of directors or management team, including the following: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Multi-Class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in “-Common Stock-Voting Rights,” our Charter provides for a multi-class common stock structure, as a result of which our holders of Class B common stock, our Co-Founders and their respective permitted entities and permitted transferees, are entitled to 20 votes for each share held on all matters submitted to a vote of stockholders. Our Co-Founders will each vote in their own discretion on any action requiring approval of our stockholders. However, as a result, individually or together, our Co-Founders will be able to significantly influence or determine any action requiring the approval of our stockholders, including the election of our board of directors, the adoption of amendments to our Charter and Bylaws, and the approval of any merger, consolidation, sale of all or substantially all of our assets, or other major corporate transaction.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Separate Class B Vote for Certain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Until the Final Conversion Date, our Class B common stock will have the right to vote as a separate class on certain actions that affect the rights of our Class B common stock. See the section above titled “-Common Stock-Voting Rights.”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Board of Directors Vacancies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and Bylaws will provide that only our board of directors may fill vacant directorships, except, prior to the first date on which the outstanding shares of our Class B common stock represent less than a majority of the total combined voting power of our then outstanding shares (the “Voting Threshold Date”), if a vacancy is created by the removal of a director by the stockholders, then the stockholders may elect a director to fill such vacancy, but if such vacancy is not filled by a vote of the stockholders within 60 days, such vacancy may be filled by the vote of a majority of the remaining members of our board of directors. In addition, the number of directors constituting our board of directors will be permitted to be set only by a resolution adopted by a majority of our entire board of directors. These provisions would prevent a stockholder from increasing the size of our board of directors and then </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gaining control of our board of directors by filling the newly created seats with its own nominees. This will make it more difficult to change the composition of our board of directors and will promote continuity of management.</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Stockholder Action; Special Meeting of Stockholders </w:t>
      </w:r>
    </w:p>
    <w:p>
      <w:pPr>
        <w:pStyle w:val="TextBody"/>
        <w:bidi w:val="0"/>
        <w:spacing w:lineRule="auto" w:line="288" w:before="0" w:after="180"/>
        <w:jc w:val="left"/>
        <w:rPr/>
      </w:pPr>
      <w:r>
        <w:rPr>
          <w:rFonts w:ascii="Times New Roman;serif" w:hAnsi="Times New Roman;serif"/>
          <w:b w:val="false"/>
          <w:color w:val="000000"/>
          <w:sz w:val="20"/>
        </w:rPr>
        <w:t>Our Charter provides that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and after the Voting Threshold Date, our stockholders will only be able to take action at a meeting of stockholders and will not be able to take action by written consent for any matter. As a result, on or after the Voting Threshold Date, holders controlling a majority of the voting power of our capital stock would not be able to amend our Bylaws or remove directors without holding a meeting of our stockholders called in accordance with our Charter and Bylaws, and prior to the Voting Threshold Date, unless such action is first recommended or approved by our board of directors or our board of directors and our Secretary have been provided with at least 30 days’ prior written notice of such action. Our Charter further provides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the voting power of our capital stock to take any action, including the removal of directors.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Advance Notice Requirements for Stockholder Proposals and Director Nominations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advance notice procedures for stockholders seeking to bring business before our annual meeting of stockholders or to nominate candidates for election as directors at our annual meeting of stockholders or any special meeting of stockholders called for the purpose of electing directors.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or any special meeting of stockholders called for the purpose of electing directors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No Cumulative Voting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General Corporation Law provides that stockholders are not entitled to cumulate votes in the election of directors unless a corporation’s certificate of incorporation provides otherwise. Our Charter does not provide for cumulative voting.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Amendment of Charter and Bylaws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amendment to our Charter that requires stockholder approval will require the affirmative vote of the holders of at least a majority of the voting power of the outstanding shares of our capital stock entitled to vote generally in the election of directors, voting together as a single class. See also above under “Separate Class B Vote for Certain Actions.” Our Bylaws provide that an affirmative vote of the holders of at least a majority of the total voting power of our outstanding voting securities, voting together as a single class, is required for stockholders to alter, amend, repeal, or adopt any provision of our Bylaws.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Issuance of Undesignated 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the authority, without further action by our stockholders, to issue up to 100,000,000 shares of undesignated preferred stock with rights, powers,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Exclusive Forum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the sole and exclusive forum for (i) any derivative action or proceeding brought on our behalf, (ii)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(iii) any action or proceeding asserting a claim against us or any current or former director, stockholder, or officer or other employee of us arising pursuant to, or seeking to enforce any right, obligation, or remedy under, any provision of the Delaware General Corporation Law, our Charter, or our Bylaws, (iv) any action or proceeding related to or involving us or any current or former director, stockholder, or officer or other employee of us that is governed by the internal affairs doctrine, (v) any action or proceeding asserting an “internal corporate claim” as that term is defined in Section 115 of the Delaware General Corporation Law, or (vi)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Bylaws precludes stockholders that assert claims under the Exchange Act from bringing such claims in federal court, subject to applicable law. Our Bylaws also provide that the federal district courts of the United States of America will be the exclusive forum for resolving any complaint asserting a cause or causes of action under the Securities Act, including all causes of action asserted against any defendant to such complaint. Any person or entity purchasing or otherwise acquiring or holding any interest in any of our securities shall be deemed to have notice of and consented to the foregoing provisions. We note that stockholders cannot waive compliance (or consent to non-compliance) with the federal securities laws and the rules and regulations thereunder.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Limitations of Liability and Indemnification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contains provisions that limit the liability of our directors and officers for monetary damages to the fullest extent permitted by law. Consequently, our directors and officers will not be personally liable to us or our stockholders for monetary damages for any breach of fiduciary duties as directors and officers to the fullest extent permitted by law, except liability for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breach of their duty of loyalty to our company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our directors, unlawful payments of dividends or unlawful stock repurchases or redemptions as provided in Section 174 of the Delaware General Corporation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from which they derived an improper personal benefit;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our officers, any action by or in the right of the corporation.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and officers of corporations, then the personal liability of our directors and officers will be further limited to the greatest extent permitted by the Delaware General Corporation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Bylaws provide that we will indemnify, to the fullest extent permitted by law, any person who is or was a party or is threatened to be made a party to any action, suit, or proceeding by reason of the fact that they are or were one of our directors or executive officers or is or was serving at our request as a director or executive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they are or were one of our officers, employees, or agents or is or was serving at our request as an officer, employee, or agent of another corporation, partnership, joint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venture, trust, or other enterprise. Our Bylaws also provide that we must advance expenses incurred by or on behalf of a director or executive officer in advance of the final disposition of any action or proceeding, subject to limited exceptions.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that are included in our Charter, Bylaws, and in indemnification agreements that we have entered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w:t>
      </w:r>
      <w:r>
        <w:rPr>
          <w:color w:val="000000"/>
        </w:rPr>
        <w:t xml:space="preserve"> </w:t>
      </w:r>
      <w:r>
        <w:rPr>
          <w:rFonts w:ascii="Times New Roman;serif" w:hAnsi="Times New Roman;serif"/>
          <w:b w:val="false"/>
          <w:color w:val="000000"/>
          <w:sz w:val="20"/>
        </w:rPr>
        <w:t>with respect to payments that may be made by us to these directors and executive officers pursuant to our indemnification obligations or otherwise as a matter of law.</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Class A common stock and Class B common stock is Computershare Trust Company, N.A. The transfer agent and registrar’s address is 150 Royall Street, Canton, Massachusetts 02021.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Listing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under the symbol “CHYM”.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10.20</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20"/>
        <w:jc w:val="center"/>
        <w:rPr/>
      </w:pPr>
      <w:r>
        <w:rPr/>
      </w:r>
    </w:p>
    <w:p>
      <w:pPr>
        <w:pStyle w:val="TextBody"/>
        <w:bidi w:val="0"/>
        <w:spacing w:lineRule="auto" w:line="333" w:before="0" w:after="240"/>
        <w:jc w:val="left"/>
        <w:rPr/>
      </w:pPr>
      <w:r>
        <w:rPr>
          <w:rFonts w:ascii="Times New Roman;serif" w:hAnsi="Times New Roman;serif"/>
          <w:b/>
          <w:color w:val="000000"/>
          <w:sz w:val="18"/>
        </w:rPr>
        <w:t>CERTAIN INFORMATION IN THIS EXHIBIT HAS BEEN REDACTED BECAUSE IT IS BOTH (I) NOT MATERIAL AND (II) INFORMATION THAT THE REGISTRANT TREATS AS PRIVATE OR CONFIDENTIAL.</w:t>
      </w:r>
      <w:r>
        <w:rPr>
          <w:color w:val="000000"/>
        </w:rPr>
        <w:t xml:space="preserve"> </w:t>
      </w:r>
      <w:r>
        <w:rPr>
          <w:rFonts w:ascii="Times New Roman;serif" w:hAnsi="Times New Roman;serif"/>
          <w:b/>
          <w:color w:val="000000"/>
          <w:sz w:val="18"/>
        </w:rPr>
        <w:t>[***] INDICATES THAT INFORMATION HAS BEEN REDACTED.</w:t>
      </w:r>
    </w:p>
    <w:p>
      <w:pPr>
        <w:pStyle w:val="TextBody"/>
        <w:bidi w:val="0"/>
        <w:spacing w:lineRule="auto" w:line="333" w:before="0" w:after="0"/>
        <w:jc w:val="right"/>
        <w:rPr>
          <w:color w:val="000000"/>
        </w:rPr>
      </w:pPr>
      <w:r>
        <w:rPr>
          <w:color w:val="000000"/>
        </w:rPr>
        <w:t>–</w:t>
      </w:r>
      <w:r>
        <w:rPr>
          <w:rFonts w:ascii="Times New Roman;serif" w:hAnsi="Times New Roman;serif"/>
          <w:b w:val="false"/>
          <w:color w:val="000000"/>
          <w:sz w:val="20"/>
        </w:rPr>
        <w:t>Execution Copy</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240" w:before="0" w:after="240"/>
        <w:jc w:val="both"/>
        <w:rPr/>
      </w:pPr>
      <w:r>
        <w:rPr>
          <w:rFonts w:ascii="Times New Roman;serif" w:hAnsi="Times New Roman;serif"/>
          <w:b w:val="false"/>
          <w:color w:val="000000"/>
          <w:sz w:val="24"/>
        </w:rPr>
        <w:t>This MASTER SERVICES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June 9, 2023, and effective as of July 1, 2023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N.A. </w:t>
      </w:r>
      <w:r>
        <w:rPr>
          <w:rFonts w:ascii="Times New Roman;serif" w:hAnsi="Times New Roman;serif"/>
          <w:b w:val="false"/>
          <w:color w:val="000000"/>
          <w:sz w:val="24"/>
        </w:rPr>
        <w:t>(the “Bank”)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333" w:before="0" w:after="240"/>
        <w:ind w:left="0" w:right="0" w:hanging="720"/>
        <w:jc w:val="both"/>
        <w:rPr/>
      </w:pPr>
      <w:r>
        <w:rPr>
          <w:rFonts w:ascii="Times New Roman;serif" w:hAnsi="Times New Roman;serif"/>
          <w:b w:val="false"/>
          <w:color w:val="000000"/>
          <w:sz w:val="24"/>
        </w:rPr>
        <w:t>(a)    Bank is a nationally-chartered bank which intends to offer Programs and perform other activities as set forth in this Agreement. Bank and any of its successors, subsidiaries, and assigns are collectively referred to as “</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throughout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is in the business of developing, marketing, and servicing consumer relationships, including relationships involving consumer banking and payment services.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Bank desires to (i) retain Client to continue to provide certain marketing and program management services, (ii) have Client market Programs, issued by Bank in accordance with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Client desires to continue to provide its marketing services to Bank and to serve as the Bank’s limited agent solely for the purposes of marketing and servicing the Bank’s Programs to Client’s Customers and in accordance 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(e)    Bank and Client are parties to the Amended and Restated Private Label Account Program Services Agreement dated on or about February 16, 2020, as amended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 Bank and Parties desire to amend and restate the Prior Agreement in its entirety, together with all amendments thereto.</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Bank and Client are entering into this Agreement to document the terms and conditions applicable to the development, marketing, and servicing of new and existing Financial Products and Services.</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TERMS OF AGREEMENT</w:t>
      </w:r>
    </w:p>
    <w:p>
      <w:pPr>
        <w:pStyle w:val="TextBody"/>
        <w:bidi w:val="0"/>
        <w:spacing w:lineRule="auto" w:line="333"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conditions hereinafter set forth, the Parties hereto, intending to be legally bound,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1970"/>
                <wp:effectExtent l="0" t="0" r="0" b="0"/>
                <wp:wrapNone/>
                <wp:docPr id="152" name="Frame15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CERTAIN DEFINITIONS.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specifically indicated, the following terms shall have the following meanings in this Agreement (such meanings to be equally applicable to both the singular and plural forms of the terms defined):</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ACH</w:t>
      </w:r>
      <w:r>
        <w:rPr>
          <w:color w:val="000000"/>
        </w:rPr>
        <w:t xml:space="preserve">” </w:t>
      </w:r>
      <w:r>
        <w:rPr>
          <w:rFonts w:ascii="Times New Roman;serif" w:hAnsi="Times New Roman;serif"/>
          <w:b w:val="false"/>
          <w:color w:val="000000"/>
          <w:sz w:val="24"/>
        </w:rPr>
        <w:t>means the Automated Clearing House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means a demand deposit account, savings account, credit card account and/or a loan account originated by Bank on behalf of a Customer.</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the consumer Accounts as between the Bank and a Customer, including all disclosures required by law as well as the terms and conditions applicable to the Card issued in connection therewith.</w:t>
      </w:r>
    </w:p>
    <w:p>
      <w:pPr>
        <w:pStyle w:val="TextBody"/>
        <w:bidi w:val="0"/>
        <w:spacing w:lineRule="auto" w:line="319"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Account Income</w:t>
      </w:r>
      <w:r>
        <w:rPr>
          <w:color w:val="000000"/>
        </w:rPr>
        <w:t xml:space="preserve">” </w:t>
      </w:r>
      <w:r>
        <w:rPr>
          <w:rFonts w:ascii="Times New Roman;serif" w:hAnsi="Times New Roman;serif"/>
          <w:b w:val="false"/>
          <w:color w:val="000000"/>
          <w:sz w:val="24"/>
        </w:rPr>
        <w:t>means all fee revenue received from a Customer including but not limited to transaction fees, balance inquiry fees, Card fees, or other fees as specified in the Account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Addendum</w:t>
      </w:r>
      <w:r>
        <w:rPr>
          <w:color w:val="000000"/>
        </w:rPr>
        <w:t xml:space="preserve">” </w:t>
      </w:r>
      <w:r>
        <w:rPr>
          <w:rFonts w:ascii="Times New Roman;serif" w:hAnsi="Times New Roman;serif"/>
          <w:b w:val="false"/>
          <w:color w:val="000000"/>
          <w:sz w:val="24"/>
        </w:rPr>
        <w:t>means added terms to this Agreement governing specific terms of various Programs or product types subject to this Agreement. For avoidance of doubt, any reference to “Agreement” shall include any applicable Addendums.</w:t>
      </w:r>
    </w:p>
    <w:p>
      <w:pPr>
        <w:pStyle w:val="TextBody"/>
        <w:bidi w:val="0"/>
        <w:spacing w:lineRule="auto" w:line="319"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each Person who directly or indirectly controls, is controlled by or is under common control with a Party. For the purpose of this definition, the term “control” (including with correlative meanings, the terms controlling, controlled by and under common control with) means the power to direct the management or policies of such Person or Party, directly or indirectly, through the ownership of twenty-five percent (25%) or more of a class of voting securities, by contract or otherwise.</w:t>
      </w:r>
    </w:p>
    <w:p>
      <w:pPr>
        <w:pStyle w:val="TextBody"/>
        <w:bidi w:val="0"/>
        <w:spacing w:lineRule="auto" w:line="319"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to the extent applicable to a Party, a particular Program, or made applicable by virtue of this Agreement, (i) Consumer Protection Laws, (ii) Data Security and Privacy Laws, (iii) the Rules, (iv) any order issued by a court having jurisdiction over a Party (v) any applicable international, federal, state, or local law, including without limitation, the Bank Secrecy Act and its implementing regulations including, 31 CFR 1022.210, 31 CFR 1022.320, 31CFR 1022.420, any and all sanctions or regulations enforced by OFAC, and statutes or regulations of any state relating to card issuance, money transmission or unclaimed property, that are applicable to the marketing, issuance, sale, authorization or usage of the Cards (including, but not limited to, Title IV of the Credit Card Accountability Responsibility and Disclosure Act of 2009, Section 920 of the Electronic Fund Transfer Act, as amended, and the Prepaid Access Rule), and (vi) any other regulation, rule, supervisory guidance, directive, or interpretation promulgated or published by a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1970"/>
                <wp:effectExtent l="0" t="0" r="0" b="0"/>
                <wp:wrapNone/>
                <wp:docPr id="153" name="Frame15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Asset Based Program</w:t>
      </w:r>
      <w:r>
        <w:rPr>
          <w:color w:val="000000"/>
        </w:rPr>
        <w:t xml:space="preserve">” </w:t>
      </w:r>
      <w:r>
        <w:rPr>
          <w:rFonts w:ascii="Times New Roman;serif" w:hAnsi="Times New Roman;serif"/>
          <w:b w:val="false"/>
          <w:color w:val="000000"/>
          <w:sz w:val="24"/>
        </w:rPr>
        <w:t xml:space="preserve">means any Program offered pursuant to a Program Addendum and applicable Program Authorization Letter which involves the Bank extending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1970"/>
                <wp:effectExtent l="0" t="0" r="0" b="0"/>
                <wp:wrapNone/>
                <wp:docPr id="154" name="Frame15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or other liquidity and holding such credit or other liquidity on its balance sheet, which may include credit card accounts, loan accounts, and overdraft or similar programs.</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Bank Fees and Assessments</w:t>
      </w:r>
      <w:r>
        <w:rPr>
          <w:color w:val="000000"/>
        </w:rPr>
        <w:t xml:space="preserve">” </w:t>
      </w:r>
      <w:r>
        <w:rPr>
          <w:rFonts w:ascii="Times New Roman;serif" w:hAnsi="Times New Roman;serif"/>
          <w:b w:val="false"/>
          <w:color w:val="000000"/>
          <w:sz w:val="24"/>
        </w:rPr>
        <w:t>has the meaning set forth in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Bank Transaction Fees</w:t>
      </w:r>
      <w:r>
        <w:rPr>
          <w:color w:val="000000"/>
        </w:rPr>
        <w:t xml:space="preserve">” </w:t>
      </w:r>
      <w:r>
        <w:rPr>
          <w:rFonts w:ascii="Times New Roman;serif" w:hAnsi="Times New Roman;serif"/>
          <w:b w:val="false"/>
          <w:color w:val="000000"/>
          <w:sz w:val="24"/>
        </w:rPr>
        <w:t>has the meaning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Monday through Friday, excluding federal holidays.</w:t>
      </w:r>
    </w:p>
    <w:p>
      <w:pPr>
        <w:pStyle w:val="TextBody"/>
        <w:bidi w:val="0"/>
        <w:spacing w:lineRule="auto" w:line="333" w:before="0" w:after="240"/>
        <w:ind w:left="0" w:right="0" w:firstLine="720"/>
        <w:jc w:val="both"/>
        <w:rPr/>
      </w:pPr>
      <w:r>
        <w:rPr>
          <w:rFonts w:ascii="Times New Roman;serif" w:hAnsi="Times New Roman;serif"/>
          <w:b w:val="false"/>
          <w:color w:val="000000"/>
          <w:sz w:val="24"/>
        </w:rPr>
        <w:t>(l)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any access device issued and/or sold by Bank to a Customer pursuant to the Prior Agreement or this Agreement, used for the purchase of goods and services by accessing the available balance in an Account through a Network.</w:t>
      </w:r>
    </w:p>
    <w:p>
      <w:pPr>
        <w:pStyle w:val="TextBody"/>
        <w:bidi w:val="0"/>
        <w:spacing w:lineRule="auto" w:line="333" w:before="0" w:after="240"/>
        <w:ind w:left="0" w:right="0" w:firstLine="720"/>
        <w:jc w:val="both"/>
        <w:rPr/>
      </w:pPr>
      <w:r>
        <w:rPr>
          <w:rFonts w:ascii="Times New Roman;serif" w:hAnsi="Times New Roman;serif"/>
          <w:b w:val="false"/>
          <w:color w:val="000000"/>
          <w:sz w:val="24"/>
        </w:rPr>
        <w:t>(m)    “</w:t>
      </w:r>
      <w:r>
        <w:rPr>
          <w:rFonts w:ascii="Times New Roman;serif" w:hAnsi="Times New Roman;serif"/>
          <w:b/>
          <w:color w:val="000000"/>
          <w:sz w:val="24"/>
        </w:rPr>
        <w:t>Client Funded Asset Account</w:t>
      </w:r>
      <w:r>
        <w:rPr>
          <w:color w:val="000000"/>
        </w:rPr>
        <w:t xml:space="preserve">” </w:t>
      </w:r>
      <w:r>
        <w:rPr>
          <w:rFonts w:ascii="Times New Roman;serif" w:hAnsi="Times New Roman;serif"/>
          <w:b w:val="false"/>
          <w:color w:val="000000"/>
          <w:sz w:val="24"/>
        </w:rPr>
        <w:t>means the balance of any funds held in a Negative Balance Funding Account (as defined in an applicable Addendum) or an account which is used as collateral against Accounts originated pursuant to an Asset Based Program, or as further set forth in Exhibit A of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(n)    “</w:t>
      </w:r>
      <w:r>
        <w:rPr>
          <w:rFonts w:ascii="Times New Roman;serif" w:hAnsi="Times New Roman;serif"/>
          <w:b/>
          <w:color w:val="000000"/>
          <w:sz w:val="24"/>
        </w:rPr>
        <w:t>Consumer Protection Laws</w:t>
      </w:r>
      <w:r>
        <w:rPr>
          <w:color w:val="000000"/>
        </w:rPr>
        <w:t xml:space="preserve">” </w:t>
      </w:r>
      <w:r>
        <w:rPr>
          <w:rFonts w:ascii="Times New Roman;serif" w:hAnsi="Times New Roman;serif"/>
          <w:b w:val="false"/>
          <w:color w:val="000000"/>
          <w:sz w:val="24"/>
        </w:rPr>
        <w:t>means the laws applicable to a Consumer for each Financial Product or Service established primarily for personal, family, or household purposes.</w:t>
      </w:r>
    </w:p>
    <w:p>
      <w:pPr>
        <w:pStyle w:val="TextBody"/>
        <w:bidi w:val="0"/>
        <w:spacing w:lineRule="auto" w:line="333" w:before="0" w:after="240"/>
        <w:ind w:left="0" w:right="0" w:firstLine="720"/>
        <w:jc w:val="both"/>
        <w:rPr/>
      </w:pPr>
      <w:r>
        <w:rPr>
          <w:rFonts w:ascii="Times New Roman;serif" w:hAnsi="Times New Roman;serif"/>
          <w:b w:val="false"/>
          <w:color w:val="000000"/>
          <w:sz w:val="24"/>
        </w:rPr>
        <w:t>(o)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any person obtaining an Account under the Agreement pursuant to the Account-opening standards set forth in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(p)    “</w:t>
      </w:r>
      <w:r>
        <w:rPr>
          <w:rFonts w:ascii="Times New Roman;serif" w:hAnsi="Times New Roman;serif"/>
          <w:b/>
          <w:color w:val="000000"/>
          <w:sz w:val="24"/>
        </w:rPr>
        <w:t>Customer Agreement</w:t>
      </w:r>
      <w:r>
        <w:rPr>
          <w:color w:val="000000"/>
        </w:rPr>
        <w:t xml:space="preserve">” </w:t>
      </w:r>
      <w:r>
        <w:rPr>
          <w:rFonts w:ascii="Times New Roman;serif" w:hAnsi="Times New Roman;serif"/>
          <w:b w:val="false"/>
          <w:color w:val="000000"/>
          <w:sz w:val="24"/>
        </w:rPr>
        <w:t>means the agreement between Bank and a Customer governing the terms and use of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(q)    “</w:t>
      </w:r>
      <w:r>
        <w:rPr>
          <w:rFonts w:ascii="Times New Roman;serif" w:hAnsi="Times New Roman;serif"/>
          <w:b/>
          <w:color w:val="000000"/>
          <w:sz w:val="24"/>
        </w:rPr>
        <w:t>Customer Disclosures</w:t>
      </w:r>
      <w:r>
        <w:rPr>
          <w:color w:val="000000"/>
        </w:rPr>
        <w:t xml:space="preserve">” </w:t>
      </w:r>
      <w:r>
        <w:rPr>
          <w:rFonts w:ascii="Times New Roman;serif" w:hAnsi="Times New Roman;serif"/>
          <w:b w:val="false"/>
          <w:color w:val="000000"/>
          <w:sz w:val="24"/>
        </w:rPr>
        <w:t>means the Customer Agreement, Cards (to the extent applicable), and any other terms and conditions or disclosures required by Applicable Law for participation in a Program or using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(r)    “</w:t>
      </w:r>
      <w:r>
        <w:rPr>
          <w:rFonts w:ascii="Times New Roman;serif" w:hAnsi="Times New Roman;serif"/>
          <w:b/>
          <w:color w:val="000000"/>
          <w:sz w:val="24"/>
        </w:rPr>
        <w:t>Customer Funds</w:t>
      </w:r>
      <w:r>
        <w:rPr>
          <w:color w:val="000000"/>
        </w:rPr>
        <w:t xml:space="preserve">” </w:t>
      </w:r>
      <w:r>
        <w:rPr>
          <w:rFonts w:ascii="Times New Roman;serif" w:hAnsi="Times New Roman;serif"/>
          <w:b w:val="false"/>
          <w:color w:val="000000"/>
          <w:sz w:val="24"/>
        </w:rPr>
        <w:t>means the balance of funds held by Bank on behalf of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(s)    “</w:t>
      </w:r>
      <w:r>
        <w:rPr>
          <w:rFonts w:ascii="Times New Roman;serif" w:hAnsi="Times New Roman;serif"/>
          <w:b/>
          <w:color w:val="000000"/>
          <w:sz w:val="24"/>
        </w:rPr>
        <w:t>Data Security and Privacy Laws</w:t>
      </w:r>
      <w:r>
        <w:rPr>
          <w:color w:val="000000"/>
        </w:rPr>
        <w:t xml:space="preserve">” </w:t>
      </w:r>
      <w:r>
        <w:rPr>
          <w:rFonts w:ascii="Times New Roman;serif" w:hAnsi="Times New Roman;serif"/>
          <w:b w:val="false"/>
          <w:color w:val="000000"/>
          <w:sz w:val="24"/>
        </w:rPr>
        <w:t>means the federal banking agencies’ Interagency Guidelines Establishing Standards for Safeguarding Consumer Information and the Interagency Guidelines Establishing Information Security Standards, 12 CFR 1016 (Regulation P), any other applicable federal or state law regarding protection of Nonpublic Personal Information, and to the extent applicable, the General Data Protection Regulation (GDPR).</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1970"/>
                <wp:effectExtent l="0" t="0" r="0" b="0"/>
                <wp:wrapNone/>
                <wp:docPr id="155" name="Frame15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(t)    “</w:t>
      </w:r>
      <w:r>
        <w:rPr>
          <w:rFonts w:ascii="Times New Roman;serif" w:hAnsi="Times New Roman;serif"/>
          <w:b/>
          <w:color w:val="000000"/>
          <w:sz w:val="24"/>
        </w:rPr>
        <w:t>Deposit</w:t>
      </w:r>
      <w:r>
        <w:rPr>
          <w:color w:val="000000"/>
        </w:rPr>
        <w:t xml:space="preserve">” </w:t>
      </w:r>
      <w:r>
        <w:rPr>
          <w:rFonts w:ascii="Times New Roman;serif" w:hAnsi="Times New Roman;serif"/>
          <w:b w:val="false"/>
          <w:color w:val="000000"/>
          <w:sz w:val="24"/>
        </w:rPr>
        <w:t>has the meaning set forth in Section 3(1) of the Federal Deposit Insurance Act, 12 U.S.C. § 1813(1).</w:t>
      </w:r>
    </w:p>
    <w:p>
      <w:pPr>
        <w:pStyle w:val="TextBody"/>
        <w:bidi w:val="0"/>
        <w:spacing w:lineRule="auto" w:line="333" w:before="0" w:after="240"/>
        <w:ind w:left="0" w:right="0" w:firstLine="720"/>
        <w:jc w:val="both"/>
        <w:rPr/>
      </w:pPr>
      <w:r>
        <w:rPr>
          <w:rFonts w:ascii="Times New Roman;serif" w:hAnsi="Times New Roman;serif"/>
          <w:b w:val="false"/>
          <w:color w:val="000000"/>
          <w:sz w:val="24"/>
        </w:rPr>
        <w:t>(u)    “</w:t>
      </w:r>
      <w:r>
        <w:rPr>
          <w:rFonts w:ascii="Times New Roman;serif" w:hAnsi="Times New Roman;serif"/>
          <w:b/>
          <w:color w:val="000000"/>
          <w:sz w:val="24"/>
        </w:rPr>
        <w:t>Deposit Amount</w:t>
      </w:r>
      <w:r>
        <w:rPr>
          <w:color w:val="000000"/>
        </w:rPr>
        <w:t xml:space="preserve">” </w:t>
      </w:r>
      <w:r>
        <w:rPr>
          <w:rFonts w:ascii="Times New Roman;serif" w:hAnsi="Times New Roman;serif"/>
          <w:b w:val="false"/>
          <w:color w:val="000000"/>
          <w:sz w:val="24"/>
        </w:rPr>
        <w:t>means the amount of funds a Customer deposits into an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1970"/>
                <wp:effectExtent l="0" t="0" r="0" b="0"/>
                <wp:wrapNone/>
                <wp:docPr id="156" name="Frame15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(v)    “</w:t>
      </w:r>
      <w:r>
        <w:rPr>
          <w:rFonts w:ascii="Times New Roman;serif" w:hAnsi="Times New Roman;serif"/>
          <w:b/>
          <w:color w:val="000000"/>
          <w:sz w:val="24"/>
        </w:rPr>
        <w:t>Deposit Network</w:t>
      </w:r>
      <w:r>
        <w:rPr>
          <w:color w:val="000000"/>
        </w:rPr>
        <w:t xml:space="preserve">” </w:t>
      </w:r>
      <w:r>
        <w:rPr>
          <w:rFonts w:ascii="Times New Roman;serif" w:hAnsi="Times New Roman;serif"/>
          <w:b w:val="false"/>
          <w:color w:val="000000"/>
          <w:sz w:val="24"/>
        </w:rPr>
        <w:t>means any third-party network approved by Bank and over which cash Deposits are accepted through a Processor and subsequently settled with the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(w)    “</w:t>
      </w:r>
      <w:r>
        <w:rPr>
          <w:rFonts w:ascii="Times New Roman;serif" w:hAnsi="Times New Roman;serif"/>
          <w:b/>
          <w:color w:val="000000"/>
          <w:sz w:val="24"/>
        </w:rPr>
        <w:t>Due Diligence</w:t>
      </w:r>
      <w:r>
        <w:rPr>
          <w:color w:val="000000"/>
        </w:rPr>
        <w:t xml:space="preserve">” </w:t>
      </w:r>
      <w:r>
        <w:rPr>
          <w:rFonts w:ascii="Times New Roman;serif" w:hAnsi="Times New Roman;serif"/>
          <w:b w:val="false"/>
          <w:color w:val="000000"/>
          <w:sz w:val="24"/>
        </w:rPr>
        <w:t>means the process of evaluating or auditing a Subcontractor or other third party in order to identify any potential risks of doing business with such entity.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(x)    “</w:t>
      </w:r>
      <w:r>
        <w:rPr>
          <w:rFonts w:ascii="Times New Roman;serif" w:hAnsi="Times New Roman;serif"/>
          <w:b/>
          <w:color w:val="000000"/>
          <w:sz w:val="24"/>
        </w:rPr>
        <w:t>Financial Products and Services</w:t>
      </w:r>
      <w:r>
        <w:rPr>
          <w:color w:val="000000"/>
        </w:rPr>
        <w:t xml:space="preserve">” </w:t>
      </w:r>
      <w:r>
        <w:rPr>
          <w:rFonts w:ascii="Times New Roman;serif" w:hAnsi="Times New Roman;serif"/>
          <w:b w:val="false"/>
          <w:color w:val="000000"/>
          <w:sz w:val="24"/>
        </w:rPr>
        <w:t>means the products or services offered by Bank and serviced by Client pursuant to this Agreement, as set forth in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(y)    “</w:t>
      </w:r>
      <w:r>
        <w:rPr>
          <w:rFonts w:ascii="Times New Roman;serif" w:hAnsi="Times New Roman;serif"/>
          <w:b/>
          <w:color w:val="000000"/>
          <w:sz w:val="24"/>
        </w:rPr>
        <w:t>Funding Failure</w:t>
      </w:r>
      <w:r>
        <w:rPr>
          <w:color w:val="000000"/>
        </w:rPr>
        <w:t xml:space="preserve">” </w:t>
      </w:r>
      <w:r>
        <w:rPr>
          <w:rFonts w:ascii="Times New Roman;serif" w:hAnsi="Times New Roman;serif"/>
          <w:b w:val="false"/>
          <w:color w:val="000000"/>
          <w:sz w:val="24"/>
        </w:rPr>
        <w:t>means the failure of a Deposit Amount to be effectively credited to any Program Account, for any reason, including but not limited to a lack of sufficient funds on deposit to cover the sum of the Deposits, an ACH reject, the failure of any Deposit Network to fund a Deposit or any other cause.</w:t>
      </w:r>
    </w:p>
    <w:p>
      <w:pPr>
        <w:pStyle w:val="TextBody"/>
        <w:bidi w:val="0"/>
        <w:spacing w:lineRule="auto" w:line="319" w:before="0" w:after="240"/>
        <w:ind w:left="0" w:right="0" w:firstLine="720"/>
        <w:jc w:val="both"/>
        <w:rPr/>
      </w:pPr>
      <w:r>
        <w:rPr>
          <w:rFonts w:ascii="Times New Roman;serif" w:hAnsi="Times New Roman;serif"/>
          <w:b w:val="false"/>
          <w:color w:val="000000"/>
          <w:sz w:val="24"/>
        </w:rPr>
        <w:t>(z)    “</w:t>
      </w:r>
      <w:r>
        <w:rPr>
          <w:rFonts w:ascii="Times New Roman;serif" w:hAnsi="Times New Roman;serif"/>
          <w:b/>
          <w:color w:val="000000"/>
          <w:sz w:val="24"/>
        </w:rPr>
        <w:t>Graphic Standards</w:t>
      </w:r>
      <w:r>
        <w:rPr>
          <w:color w:val="000000"/>
        </w:rPr>
        <w:t xml:space="preserve">” </w:t>
      </w:r>
      <w:r>
        <w:rPr>
          <w:rFonts w:ascii="Times New Roman;serif" w:hAnsi="Times New Roman;serif"/>
          <w:b w:val="false"/>
          <w:color w:val="000000"/>
          <w:sz w:val="24"/>
        </w:rPr>
        <w:t>means all standards, policies, and other requirements adopted by a Network or Bank from time to time with respect to use of its Marks.</w:t>
      </w:r>
    </w:p>
    <w:p>
      <w:pPr>
        <w:pStyle w:val="TextBody"/>
        <w:bidi w:val="0"/>
        <w:spacing w:lineRule="auto" w:line="319" w:before="0" w:after="240"/>
        <w:ind w:left="0" w:right="0" w:firstLine="720"/>
        <w:jc w:val="both"/>
        <w:rPr/>
      </w:pPr>
      <w:r>
        <w:rPr>
          <w:rFonts w:ascii="Times New Roman;serif" w:hAnsi="Times New Roman;serif"/>
          <w:b w:val="false"/>
          <w:color w:val="000000"/>
          <w:sz w:val="24"/>
        </w:rPr>
        <w:t>(aa)    “</w:t>
      </w:r>
      <w:r>
        <w:rPr>
          <w:rFonts w:ascii="Times New Roman;serif" w:hAnsi="Times New Roman;serif"/>
          <w:b/>
          <w:color w:val="000000"/>
          <w:sz w:val="24"/>
        </w:rPr>
        <w:t>Interchange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Interchange Fee</w:t>
      </w:r>
      <w:r>
        <w:rPr>
          <w:color w:val="000000"/>
        </w:rPr>
        <w:t xml:space="preserve">” </w:t>
      </w:r>
      <w:r>
        <w:rPr>
          <w:rFonts w:ascii="Times New Roman;serif" w:hAnsi="Times New Roman;serif"/>
          <w:b w:val="false"/>
          <w:color w:val="000000"/>
          <w:sz w:val="24"/>
        </w:rPr>
        <w:t>means the fee paid to the Bank as issuer of the Card by an acquiring financial institution for a Transaction, as established by a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(bb)    “</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means, with respect to each Party, all (i) intellectual property rights of any kind, worldwide, including utility patents, design patents, utility models, and all applications for the foregoing; (ii) published works of authorship, registered copyrights, and all registrations and applications for the foregoing; (iii) proprietary software, technology and documentation; (iv) documented trade secrets; and (v) other proprietary information or materials, in whatever form.</w:t>
      </w:r>
    </w:p>
    <w:p>
      <w:pPr>
        <w:pStyle w:val="TextBody"/>
        <w:bidi w:val="0"/>
        <w:spacing w:lineRule="auto" w:line="319" w:before="0" w:after="240"/>
        <w:ind w:left="0" w:right="0" w:firstLine="720"/>
        <w:jc w:val="both"/>
        <w:rPr/>
      </w:pPr>
      <w:r>
        <w:rPr>
          <w:rFonts w:ascii="Times New Roman;serif" w:hAnsi="Times New Roman;serif"/>
          <w:b w:val="false"/>
          <w:color w:val="000000"/>
          <w:sz w:val="24"/>
        </w:rPr>
        <w:t>(cc)    “</w:t>
      </w:r>
      <w:r>
        <w:rPr>
          <w:rFonts w:ascii="Times New Roman;serif" w:hAnsi="Times New Roman;serif"/>
          <w:b/>
          <w:color w:val="000000"/>
          <w:sz w:val="24"/>
        </w:rPr>
        <w:t>Mark</w:t>
      </w:r>
      <w:r>
        <w:rPr>
          <w:color w:val="000000"/>
        </w:rPr>
        <w:t xml:space="preserve">” </w:t>
      </w:r>
      <w:r>
        <w:rPr>
          <w:rFonts w:ascii="Times New Roman;serif" w:hAnsi="Times New Roman;serif"/>
          <w:b w:val="false"/>
          <w:color w:val="000000"/>
          <w:sz w:val="24"/>
        </w:rPr>
        <w:t>means the service marks and trademarks of a Network, Bank or Client, and includes but not is limited to, the names and other distinctive marks or logos, which identify a Network, Client or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(dd)    “</w:t>
      </w:r>
      <w:r>
        <w:rPr>
          <w:rFonts w:ascii="Times New Roman;serif" w:hAnsi="Times New Roman;serif"/>
          <w:b/>
          <w:color w:val="000000"/>
          <w:sz w:val="24"/>
        </w:rPr>
        <w:t>Membership</w:t>
      </w:r>
      <w:r>
        <w:rPr>
          <w:color w:val="000000"/>
        </w:rPr>
        <w:t xml:space="preserve">” </w:t>
      </w:r>
      <w:r>
        <w:rPr>
          <w:rFonts w:ascii="Times New Roman;serif" w:hAnsi="Times New Roman;serif"/>
          <w:b w:val="false"/>
          <w:color w:val="000000"/>
          <w:sz w:val="24"/>
        </w:rPr>
        <w:t>means the membership in a Network and licensing rights thereto obtained by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(ee)    “</w:t>
      </w:r>
      <w:r>
        <w:rPr>
          <w:rFonts w:ascii="Times New Roman;serif" w:hAnsi="Times New Roman;serif"/>
          <w:b/>
          <w:color w:val="000000"/>
          <w:sz w:val="24"/>
        </w:rPr>
        <w:t>Network</w:t>
      </w:r>
      <w:r>
        <w:rPr>
          <w:color w:val="000000"/>
        </w:rPr>
        <w:t xml:space="preserve">” </w:t>
      </w:r>
      <w:r>
        <w:rPr>
          <w:rFonts w:ascii="Times New Roman;serif" w:hAnsi="Times New Roman;serif"/>
          <w:b w:val="false"/>
          <w:color w:val="000000"/>
          <w:sz w:val="24"/>
        </w:rPr>
        <w:t>means any third-party network over which funds are transferred or Transactions and Settlements are processed (including but not limited to MasterCard, VISA, Discover, Maestro, Interlink, Pulse, STAR, Cirrus, Plus, MoneyPass, Allpoint, Green Dot, Western Union, MoneyGram, Visa Readylink, MasterCard RePower, Ingo, Nacha).</w:t>
      </w:r>
    </w:p>
    <w:p>
      <w:pPr>
        <w:pStyle w:val="TextBody"/>
        <w:bidi w:val="0"/>
        <w:spacing w:lineRule="auto" w:line="319" w:before="0" w:after="240"/>
        <w:ind w:left="0" w:right="0" w:firstLine="720"/>
        <w:jc w:val="both"/>
        <w:rPr/>
      </w:pPr>
      <w:r>
        <w:rPr>
          <w:rFonts w:ascii="Times New Roman;serif" w:hAnsi="Times New Roman;serif"/>
          <w:b w:val="false"/>
          <w:color w:val="000000"/>
          <w:sz w:val="24"/>
        </w:rPr>
        <w:t>(ff)    “</w:t>
      </w:r>
      <w:r>
        <w:rPr>
          <w:rFonts w:ascii="Times New Roman;serif" w:hAnsi="Times New Roman;serif"/>
          <w:b/>
          <w:color w:val="000000"/>
          <w:sz w:val="24"/>
        </w:rPr>
        <w:t>Nonpublic Personal Information</w:t>
      </w:r>
      <w:r>
        <w:rPr>
          <w:color w:val="000000"/>
        </w:rPr>
        <w:t xml:space="preserve">” </w:t>
      </w:r>
      <w:r>
        <w:rPr>
          <w:rFonts w:ascii="Times New Roman;serif" w:hAnsi="Times New Roman;serif"/>
          <w:b w:val="false"/>
          <w:color w:val="000000"/>
          <w:sz w:val="24"/>
        </w:rPr>
        <w:t xml:space="preserve">means “non-public personal information” as defined in the Gramm-Leach-Bliley Act and implementing regulations, or any other protected Consumer-identifying information under Applicable Law; including, without limitation, a </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1970"/>
                <wp:effectExtent l="0" t="0" r="0" b="0"/>
                <wp:wrapNone/>
                <wp:docPr id="157" name="Frame15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Consumer’s name, address, or telephone number in conjunction with the Consumer’s social security number, driver’s license number, account number, credit or debit card number, or a personal identification number or password that would permit access to the Consumer’s account, or any combination of components of Consumer information that would allow someone to log onto or access a Consumer’s account, such as a username and password, password and account </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1970"/>
                <wp:effectExtent l="0" t="0" r="0" b="0"/>
                <wp:wrapNone/>
                <wp:docPr id="158" name="Frame15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number, transaction information regarding the Consumer account, or any other information provided to Bank or Client by a Consumer in connection with the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(gg)    </w:t>
      </w:r>
      <w:r>
        <w:rPr>
          <w:color w:val="000000"/>
        </w:rPr>
        <w:t>“</w:t>
      </w:r>
      <w:r>
        <w:rPr>
          <w:rFonts w:ascii="Times New Roman;serif" w:hAnsi="Times New Roman;serif"/>
          <w:b/>
          <w:color w:val="000000"/>
          <w:sz w:val="24"/>
        </w:rPr>
        <w:t xml:space="preserve">Person” </w:t>
      </w:r>
      <w:r>
        <w:rPr>
          <w:rFonts w:ascii="Times New Roman;serif" w:hAnsi="Times New Roman;serif"/>
          <w:b w:val="false"/>
          <w:color w:val="000000"/>
          <w:sz w:val="24"/>
        </w:rPr>
        <w:t>means any legal person, including any individual, corporation, limited liability company, partnership, joint venture, association, joint-stock company, trust, unincorporated organization, governmental entity or other entity of any nature.</w:t>
      </w:r>
    </w:p>
    <w:p>
      <w:pPr>
        <w:pStyle w:val="TextBody"/>
        <w:bidi w:val="0"/>
        <w:spacing w:lineRule="auto" w:line="319" w:before="0" w:after="240"/>
        <w:ind w:left="0" w:right="0" w:firstLine="720"/>
        <w:jc w:val="both"/>
        <w:rPr/>
      </w:pPr>
      <w:r>
        <w:rPr>
          <w:rFonts w:ascii="Times New Roman;serif" w:hAnsi="Times New Roman;serif"/>
          <w:b w:val="false"/>
          <w:color w:val="000000"/>
          <w:sz w:val="24"/>
        </w:rPr>
        <w:t>(hh)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means those services that are described in an Exhibit to the applicable Addendum and which are necessary to issue and service the Accounts, including, but not limited to, the processing necessary for Card Transactions, in accordance with the Rules of any Network and Regulatory Authority.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Processor</w:t>
      </w:r>
      <w:r>
        <w:rPr>
          <w:color w:val="000000"/>
        </w:rPr>
        <w:t xml:space="preserve">” </w:t>
      </w:r>
      <w:r>
        <w:rPr>
          <w:rFonts w:ascii="Times New Roman;serif" w:hAnsi="Times New Roman;serif"/>
          <w:b w:val="false"/>
          <w:color w:val="000000"/>
          <w:sz w:val="24"/>
        </w:rPr>
        <w:t>means a third-party provider of payment processing or recordkeeping services relied upon by Bank and Client in connection with any Programs contemplated by this Agreement. “Processor” shall also mean Client in the event that Client is approved by Bank to provide Processing Services pursuant to Section 3.6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(jj)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means the marketing, evaluation, processing, administration, supervision, servicing, and maintenance of the Accounts established under this Agreement, and the phrase “Account Program” shall mean a unique Account marketing effort approved by Bank pursuant to a Program Authorization Letter.</w:t>
      </w:r>
    </w:p>
    <w:p>
      <w:pPr>
        <w:pStyle w:val="TextBody"/>
        <w:bidi w:val="0"/>
        <w:spacing w:lineRule="auto" w:line="319" w:before="0" w:after="240"/>
        <w:ind w:left="0" w:right="0" w:firstLine="720"/>
        <w:jc w:val="both"/>
        <w:rPr/>
      </w:pPr>
      <w:r>
        <w:rPr>
          <w:rFonts w:ascii="Times New Roman;serif" w:hAnsi="Times New Roman;serif"/>
          <w:b w:val="false"/>
          <w:color w:val="000000"/>
          <w:sz w:val="24"/>
        </w:rPr>
        <w:t>(kk)    “</w:t>
      </w:r>
      <w:r>
        <w:rPr>
          <w:rFonts w:ascii="Times New Roman;serif" w:hAnsi="Times New Roman;serif"/>
          <w:b/>
          <w:color w:val="000000"/>
          <w:sz w:val="24"/>
        </w:rPr>
        <w:t>Program Account</w:t>
      </w:r>
      <w:r>
        <w:rPr>
          <w:color w:val="000000"/>
        </w:rPr>
        <w:t xml:space="preserve">” </w:t>
      </w:r>
      <w:r>
        <w:rPr>
          <w:rFonts w:ascii="Times New Roman;serif" w:hAnsi="Times New Roman;serif"/>
          <w:b w:val="false"/>
          <w:color w:val="000000"/>
          <w:sz w:val="24"/>
        </w:rPr>
        <w:t>shall have the meaning described in Section 2.6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(ll)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means a letter from Bank authorizing the development and launch of an Account Program. Any Program Authorization Letter shall set forth the general parameters, features, and any special terms under which the Account Program is authorized under. For clarity, all Program Authorization Letters approved under the Prior Agreement continue to be approved under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(mm)    “</w:t>
      </w:r>
      <w:r>
        <w:rPr>
          <w:rFonts w:ascii="Times New Roman;serif" w:hAnsi="Times New Roman;serif"/>
          <w:b/>
          <w:color w:val="000000"/>
          <w:sz w:val="24"/>
        </w:rPr>
        <w:t>Program Collateral</w:t>
      </w:r>
      <w:r>
        <w:rPr>
          <w:color w:val="000000"/>
        </w:rPr>
        <w:t xml:space="preserve">” </w:t>
      </w:r>
      <w:r>
        <w:rPr>
          <w:rFonts w:ascii="Times New Roman;serif" w:hAnsi="Times New Roman;serif"/>
          <w:b w:val="false"/>
          <w:color w:val="000000"/>
          <w:sz w:val="24"/>
        </w:rPr>
        <w:t>means all Customer Disclosures and Solicitation Materials relating to a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(nn)    “</w:t>
      </w:r>
      <w:r>
        <w:rPr>
          <w:rFonts w:ascii="Times New Roman;serif" w:hAnsi="Times New Roman;serif"/>
          <w:b/>
          <w:color w:val="000000"/>
          <w:sz w:val="24"/>
        </w:rPr>
        <w:t>Program Management Fee</w:t>
      </w:r>
      <w:r>
        <w:rPr>
          <w:color w:val="000000"/>
        </w:rPr>
        <w:t xml:space="preserve">” </w:t>
      </w:r>
      <w:r>
        <w:rPr>
          <w:rFonts w:ascii="Times New Roman;serif" w:hAnsi="Times New Roman;serif"/>
          <w:b w:val="false"/>
          <w:color w:val="000000"/>
          <w:sz w:val="24"/>
        </w:rPr>
        <w:t>means the fee paid by Bank to Client for the marketing and program management services as determined in an Exhibit to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(oo)    “</w:t>
      </w:r>
      <w:r>
        <w:rPr>
          <w:rFonts w:ascii="Times New Roman;serif" w:hAnsi="Times New Roman;serif"/>
          <w:b/>
          <w:color w:val="000000"/>
          <w:sz w:val="24"/>
        </w:rPr>
        <w:t>Program Revenues</w:t>
      </w:r>
      <w:r>
        <w:rPr>
          <w:color w:val="000000"/>
        </w:rPr>
        <w:t xml:space="preserve">” </w:t>
      </w:r>
      <w:r>
        <w:rPr>
          <w:rFonts w:ascii="Times New Roman;serif" w:hAnsi="Times New Roman;serif"/>
          <w:b w:val="false"/>
          <w:color w:val="000000"/>
          <w:sz w:val="24"/>
        </w:rPr>
        <w:t>means all Account Income and Interchange Fee revenues generated by or accruing to the Bank under a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1970"/>
                <wp:effectExtent l="0" t="0" r="0" b="0"/>
                <wp:wrapNone/>
                <wp:docPr id="159" name="Frame15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(pp)    “</w:t>
      </w:r>
      <w:r>
        <w:rPr>
          <w:rFonts w:ascii="Times New Roman;serif" w:hAnsi="Times New Roman;serif"/>
          <w:b/>
          <w:color w:val="000000"/>
          <w:sz w:val="24"/>
        </w:rPr>
        <w:t>Program Website</w:t>
      </w:r>
      <w:r>
        <w:rPr>
          <w:color w:val="000000"/>
        </w:rPr>
        <w:t xml:space="preserve">” </w:t>
      </w:r>
      <w:r>
        <w:rPr>
          <w:rFonts w:ascii="Times New Roman;serif" w:hAnsi="Times New Roman;serif"/>
          <w:b w:val="false"/>
          <w:color w:val="000000"/>
          <w:sz w:val="24"/>
        </w:rPr>
        <w:t>means the website (s) or mobile application(s) through which the Program is marketed to Customers and the website or websites utilized by Customers to provide information about, and access to, their Accounts.</w:t>
      </w:r>
    </w:p>
    <w:p>
      <w:pPr>
        <w:pStyle w:val="TextBody"/>
        <w:bidi w:val="0"/>
        <w:spacing w:lineRule="auto" w:line="319" w:before="0" w:after="240"/>
        <w:ind w:left="0" w:right="0" w:firstLine="720"/>
        <w:jc w:val="both"/>
        <w:rPr/>
      </w:pPr>
      <w:r>
        <w:rPr>
          <w:rFonts w:ascii="Times New Roman;serif" w:hAnsi="Times New Roman;serif"/>
          <w:b w:val="false"/>
          <w:color w:val="000000"/>
          <w:sz w:val="24"/>
        </w:rPr>
        <w:t>(qq)    “</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 xml:space="preserve">means, as the context requires, any Network; the Federal Reserve Board (FRB); the Office of the Comptroller of the Currency (OCC), the Consumer </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1970"/>
                <wp:effectExtent l="0" t="0" r="0" b="0"/>
                <wp:wrapNone/>
                <wp:docPr id="160" name="Frame15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Financial Protection Bureau (CFPB); Federal Trade Commission (FTC); the Federal Financial Institutions Examination Council (FFIEC); and any other Federal or state regulator or agency having jurisdiction over Bank, Client, or Financial Products and Services. It may also include, as the circumstances dictate, any non-U.S. authority having or exercising jurisdiction related to the issuance, sale, authorization or usage of Financial Products and Services provided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(rr)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means the reports required by Bank to properly implement and monitor a Program, as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(ss)    “</w:t>
      </w:r>
      <w:r>
        <w:rPr>
          <w:rFonts w:ascii="Times New Roman;serif" w:hAnsi="Times New Roman;serif"/>
          <w:b/>
          <w:color w:val="000000"/>
          <w:sz w:val="24"/>
        </w:rPr>
        <w:t>Rules</w:t>
      </w:r>
      <w:r>
        <w:rPr>
          <w:color w:val="000000"/>
        </w:rPr>
        <w:t xml:space="preserve">” </w:t>
      </w:r>
      <w:r>
        <w:rPr>
          <w:rFonts w:ascii="Times New Roman;serif" w:hAnsi="Times New Roman;serif"/>
          <w:b w:val="false"/>
          <w:color w:val="000000"/>
          <w:sz w:val="24"/>
        </w:rPr>
        <w:t>means (i) the by-laws and operating rules of any Network, including all standards, policies, and other requirements adopted by a Network or Bank from time to time with respect to use of its Marks, (ii) any applicable rule or requirement of any Network related to the issuance, sale, authorization or usage of products or services to be provided under this Agreement, (iii)</w:t>
      </w:r>
      <w:r>
        <w:rPr>
          <w:color w:val="1D1D1D"/>
        </w:rPr>
        <w:t xml:space="preserve"> </w:t>
      </w:r>
      <w:r>
        <w:rPr>
          <w:rFonts w:ascii="Times New Roman;serif" w:hAnsi="Times New Roman;serif"/>
          <w:b w:val="false"/>
          <w:color w:val="1D1D1D"/>
          <w:sz w:val="24"/>
        </w:rPr>
        <w:t>the published standards of the World Wide Web Consortium’s (W3C) related to digital content accessibility, and (iv)</w:t>
      </w:r>
      <w:r>
        <w:rPr>
          <w:color w:val="000000"/>
        </w:rPr>
        <w:t xml:space="preserve"> </w:t>
      </w:r>
      <w:r>
        <w:rPr>
          <w:rFonts w:ascii="Times New Roman;serif" w:hAnsi="Times New Roman;serif"/>
          <w:b w:val="false"/>
          <w:color w:val="000000"/>
          <w:sz w:val="24"/>
        </w:rPr>
        <w:t>the published regulations of any Regulatory Authority and the policies and procedures of Bank, as promulgated by Bank’s Board of Directors or Bank senior management in good faith to ensure the continued safety and soundness of Bank.</w:t>
      </w:r>
    </w:p>
    <w:p>
      <w:pPr>
        <w:pStyle w:val="TextBody"/>
        <w:bidi w:val="0"/>
        <w:spacing w:lineRule="auto" w:line="333" w:before="0" w:after="240"/>
        <w:ind w:left="0" w:right="0" w:firstLine="720"/>
        <w:jc w:val="both"/>
        <w:rPr/>
      </w:pPr>
      <w:r>
        <w:rPr>
          <w:rFonts w:ascii="Times New Roman;serif" w:hAnsi="Times New Roman;serif"/>
          <w:b w:val="false"/>
          <w:color w:val="000000"/>
          <w:sz w:val="24"/>
        </w:rPr>
        <w:t>(tt)    “</w:t>
      </w:r>
      <w:r>
        <w:rPr>
          <w:rFonts w:ascii="Times New Roman;serif" w:hAnsi="Times New Roman;serif"/>
          <w:b/>
          <w:color w:val="000000"/>
          <w:sz w:val="24"/>
        </w:rPr>
        <w:t>Settlement</w:t>
      </w:r>
      <w:r>
        <w:rPr>
          <w:color w:val="000000"/>
        </w:rPr>
        <w:t xml:space="preserve">” </w:t>
      </w:r>
      <w:r>
        <w:rPr>
          <w:rFonts w:ascii="Times New Roman;serif" w:hAnsi="Times New Roman;serif"/>
          <w:b w:val="false"/>
          <w:color w:val="000000"/>
          <w:sz w:val="24"/>
        </w:rPr>
        <w:t>means the movement of funds between Bank and Network members in accordance with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(uu)    “</w:t>
      </w:r>
      <w:r>
        <w:rPr>
          <w:rFonts w:ascii="Times New Roman;serif" w:hAnsi="Times New Roman;serif"/>
          <w:b/>
          <w:color w:val="000000"/>
          <w:sz w:val="24"/>
        </w:rPr>
        <w:t>Solicitation Material</w:t>
      </w:r>
      <w:r>
        <w:rPr>
          <w:color w:val="000000"/>
        </w:rPr>
        <w:t xml:space="preserve">” </w:t>
      </w:r>
      <w:r>
        <w:rPr>
          <w:rFonts w:ascii="Times New Roman;serif" w:hAnsi="Times New Roman;serif"/>
          <w:b w:val="false"/>
          <w:color w:val="000000"/>
          <w:sz w:val="24"/>
        </w:rPr>
        <w:t>means the advertisements, brochures, applications, marketing materials, telemarketing scripts and any other written materials relating to a Program, including point of purchase displays, television advertisements, radio advertisements, electronic web pages, electronic web links, Program Websites, and any other type of advertisement, marketing material, or interactive media related to the Program or any other materials sent to, or viewed by, a Customer or prospective Customer from time to time. For clarity, all Solicitation Materials approved under the Prior Agreement continue to be approved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(vv)    “</w:t>
      </w:r>
      <w:r>
        <w:rPr>
          <w:rFonts w:ascii="Times New Roman;serif" w:hAnsi="Times New Roman;serif"/>
          <w:b/>
          <w:color w:val="000000"/>
          <w:sz w:val="24"/>
        </w:rPr>
        <w:t>Subcontractor</w:t>
      </w:r>
      <w:r>
        <w:rPr>
          <w:color w:val="000000"/>
        </w:rPr>
        <w:t xml:space="preserve">” </w:t>
      </w:r>
      <w:r>
        <w:rPr>
          <w:rFonts w:ascii="Times New Roman;serif" w:hAnsi="Times New Roman;serif"/>
          <w:b w:val="false"/>
          <w:color w:val="000000"/>
          <w:sz w:val="24"/>
        </w:rPr>
        <w:t>means any Bank-approved Processor, servicer, reseller, or other third party contracted with Client to perform Client’s obligations under this Agreement on behalf of Client.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(ww)    “</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means a transaction that is processed through a Network and its members or through Processor, Bank or Client, including, without limitation, deposits, purchases, cash withdrawals, ACH transfers, disputes and refunds.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(xx)    “</w:t>
      </w:r>
      <w:r>
        <w:rPr>
          <w:rFonts w:ascii="Times New Roman;serif" w:hAnsi="Times New Roman;serif"/>
          <w:b/>
          <w:color w:val="000000"/>
          <w:sz w:val="24"/>
        </w:rPr>
        <w:t>Wind Down Period</w:t>
      </w:r>
      <w:r>
        <w:rPr>
          <w:color w:val="000000"/>
        </w:rPr>
        <w:t xml:space="preserve">” </w:t>
      </w:r>
      <w:r>
        <w:rPr>
          <w:rFonts w:ascii="Times New Roman;serif" w:hAnsi="Times New Roman;serif"/>
          <w:b w:val="false"/>
          <w:color w:val="000000"/>
          <w:sz w:val="24"/>
        </w:rPr>
        <w:t>means the period from the date of termination or expiration of the Agreement through the date that the Parties have completed the Wind-Down Plan for the Programs entirely pursuant to Section 10.</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1970"/>
                <wp:effectExtent l="0" t="0" r="0" b="0"/>
                <wp:wrapNone/>
                <wp:docPr id="161" name="Frame15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(yy)    “</w:t>
      </w:r>
      <w:r>
        <w:rPr>
          <w:rFonts w:ascii="Times New Roman;serif" w:hAnsi="Times New Roman;serif"/>
          <w:b/>
          <w:color w:val="000000"/>
          <w:sz w:val="24"/>
        </w:rPr>
        <w:t>Wind-Down Plan</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333" w:before="0" w:after="240"/>
        <w:ind w:left="0" w:right="0" w:firstLine="720"/>
        <w:jc w:val="both"/>
        <w:rPr/>
      </w:pPr>
      <w:r>
        <w:rPr>
          <w:rFonts w:ascii="Times New Roman;serif" w:hAnsi="Times New Roman;serif"/>
          <w:b w:val="false"/>
          <w:color w:val="000000"/>
          <w:sz w:val="24"/>
        </w:rPr>
        <w:t>(zz)    “</w:t>
      </w:r>
      <w:r>
        <w:rPr>
          <w:rFonts w:ascii="Times New Roman;serif" w:hAnsi="Times New Roman;serif"/>
          <w:b/>
          <w:color w:val="000000"/>
          <w:sz w:val="24"/>
        </w:rPr>
        <w:t>Successor Bank</w:t>
      </w:r>
      <w:r>
        <w:rPr>
          <w:color w:val="000000"/>
        </w:rPr>
        <w:t xml:space="preserve">” </w:t>
      </w:r>
      <w:r>
        <w:rPr>
          <w:rFonts w:ascii="Times New Roman;serif" w:hAnsi="Times New Roman;serif"/>
          <w:b w:val="false"/>
          <w:color w:val="000000"/>
          <w:sz w:val="24"/>
        </w:rPr>
        <w:t>has the meaning set forth in Section 10.1.</w:t>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1970"/>
                <wp:effectExtent l="0" t="0" r="0" b="0"/>
                <wp:wrapNone/>
                <wp:docPr id="162" name="Frame16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PROGRAMS GENERALLY</w:t>
      </w:r>
    </w:p>
    <w:p>
      <w:pPr>
        <w:pStyle w:val="TextBody"/>
        <w:bidi w:val="0"/>
        <w:spacing w:lineRule="auto" w:line="319" w:before="0" w:after="24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this Agreement is to offer Programs, marketed by Client and issued by Bank. It is designed to offer Customers convenient and secure Financial Products and Services.</w:t>
      </w:r>
    </w:p>
    <w:p>
      <w:pPr>
        <w:pStyle w:val="TextBody"/>
        <w:bidi w:val="0"/>
        <w:spacing w:lineRule="auto" w:line="319"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The Prior Agreement is hereby amended in its entirety and restated herein in this Agreement. Such amendment and restatement is effective upon the Effective Date. The Prior Agreement shall be of no further force and effect upon the Effective Date, except nothing in this Section 2.1 shall affect any obligations incurred by a Party under the Prior Agreement prior to the Effective Date. For clarity, nothing in this Agreement is intended to constitute an express or implied waiver (unless otherwise set forth in this Agreement) of any rights or remedies arising prior to the Effective Date that either Client or Bank may possess in connection with the Prior Agreement, all of which are hereby expressly reserved.</w:t>
      </w:r>
    </w:p>
    <w:p>
      <w:pPr>
        <w:pStyle w:val="TextBody"/>
        <w:bidi w:val="0"/>
        <w:spacing w:lineRule="auto" w:line="319"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Bank Oversight and Control</w:t>
      </w:r>
      <w:r>
        <w:rPr>
          <w:rFonts w:ascii="Times New Roman;serif" w:hAnsi="Times New Roman;serif"/>
          <w:b w:val="false"/>
          <w:color w:val="000000"/>
          <w:sz w:val="24"/>
        </w:rPr>
        <w:t>. Bank and Client hereby each acknowledge and agree the products and services offered under the Program pursuant to this Agreement are products of Bank. Client recognizes and acknowledges that Bank shall have control and oversight over the Program pursuant to Applicable Law. Bank shall have the final determination as to any material changes that may be required or advisable under Applicable Law. Bank recognizes and acknowledges that Client (i) offers products and services independent of the Program including through third parties, which may now or in the future include lending products and services, and (ii) shall create and maintain an integrated relationship with Customers and potential Customers in connection with such non-Program products and services. As between Bank and Client, Client shall have control and oversight over such non-Program products and services, and the final determination of any material changes that may be required or advisable under Applicable Law, provided that such non-Program products and services do not use any Bank Marks. Bank shall provide commercially reasonable cooperation and assistance with Client’s efforts to integrate non-Program and Program products, services and features, including those connected to lending products and services, to offer Customers and potential Customers an enhanced and seamless user experience.</w:t>
      </w:r>
    </w:p>
    <w:p>
      <w:pPr>
        <w:pStyle w:val="TextBody"/>
        <w:bidi w:val="0"/>
        <w:spacing w:lineRule="auto" w:line="319"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Appointment of Client</w:t>
      </w:r>
      <w:r>
        <w:rPr>
          <w:rFonts w:ascii="Times New Roman;serif" w:hAnsi="Times New Roman;serif"/>
          <w:b w:val="false"/>
          <w:color w:val="000000"/>
          <w:sz w:val="24"/>
        </w:rPr>
        <w:t>. Bank hereby appoints Client as its authorized delegate and representative to (A) assist Bank in the development and marketing of the Program(s), (B) market the Accounts on behalf of Bank, and (C) perform services and contract with sub-contractors to support for the Program, all in accordance with the terms of this Agreement. Bank further appoints Client as its agent for the purpose of performing certain duties in maintaining compliance with OFAC sanctions and regulations and the Bank Secrecy Act.</w:t>
      </w:r>
    </w:p>
    <w:p>
      <w:pPr>
        <w:pStyle w:val="TextBody"/>
        <w:bidi w:val="0"/>
        <w:spacing w:lineRule="auto" w:line="319"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Customer Approval</w:t>
      </w:r>
      <w:r>
        <w:rPr>
          <w:rFonts w:ascii="Times New Roman;serif" w:hAnsi="Times New Roman;serif"/>
          <w:b w:val="false"/>
          <w:color w:val="000000"/>
          <w:sz w:val="24"/>
        </w:rPr>
        <w:t xml:space="preserve">. All Customers shall be approved and qualified in accordance with the Rules for purposes of receiving an Account, which will include, but not be limited to, Customer information collection, due diligence and identity verification. Bank reserves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1970"/>
                <wp:effectExtent l="0" t="0" r="0" b="0"/>
                <wp:wrapNone/>
                <wp:docPr id="163" name="Frame16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to deny Customer approval in accordance with Applicable Law or Rule, and in its sole discretion so long as such denial is not prohibited by Applicable Law, and Client agrees to cooperate with Bank in implementing the Customer approval or denial process required by Bank for the Program, as Bank may amend from time to time with sixty (60) days’ written notice to Client (or earlier to the extent required by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1970"/>
                <wp:effectExtent l="0" t="0" r="0" b="0"/>
                <wp:wrapNone/>
                <wp:docPr id="164" name="Frame16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Account Solicitation and Distribution</w:t>
      </w:r>
      <w:r>
        <w:rPr>
          <w:rFonts w:ascii="Times New Roman;serif" w:hAnsi="Times New Roman;serif"/>
          <w:b w:val="false"/>
          <w:color w:val="000000"/>
          <w:sz w:val="24"/>
        </w:rPr>
        <w:t>. Client will market Accounts in accordance with the terms of this Agreement, in accordance with Applicable Law and the Rules, and subject to the terms and conditions of any Program Authorization Letter.</w:t>
      </w:r>
    </w:p>
    <w:p>
      <w:pPr>
        <w:pStyle w:val="TextBody"/>
        <w:bidi w:val="0"/>
        <w:spacing w:lineRule="auto" w:line="307"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Establishment of Program Accounts</w:t>
      </w:r>
      <w:r>
        <w:rPr>
          <w:rFonts w:ascii="Times New Roman;serif" w:hAnsi="Times New Roman;serif"/>
          <w:b w:val="false"/>
          <w:color w:val="000000"/>
          <w:sz w:val="24"/>
        </w:rPr>
        <w:t>. Bank and Client shall set up and maintain various internal ledger accounts at Bank (“</w:t>
      </w:r>
      <w:r>
        <w:rPr>
          <w:rFonts w:ascii="Times New Roman;serif" w:hAnsi="Times New Roman;serif"/>
          <w:b/>
          <w:color w:val="000000"/>
          <w:sz w:val="24"/>
        </w:rPr>
        <w:t xml:space="preserve">Program Accounts”) </w:t>
      </w:r>
      <w:r>
        <w:rPr>
          <w:rFonts w:ascii="Times New Roman;serif" w:hAnsi="Times New Roman;serif"/>
          <w:b w:val="false"/>
          <w:color w:val="000000"/>
          <w:sz w:val="24"/>
        </w:rPr>
        <w:t>as Bank and Client may deem necessary and appropriate in connection with the Program, including, but not limited to, Program Accounts for purposes of facilitating the flow of funds, including receiving Customer Deposits, and the payment of Settlement to the Network. The Parties acknowledge and agree that the Account information, including the balance calculation and all debits and credits related thereto, shall be maintained by the Processor on Bank’s behalf as provided in an Exhibit to the applicable Addendum.</w:t>
      </w:r>
    </w:p>
    <w:p>
      <w:pPr>
        <w:pStyle w:val="TextBody"/>
        <w:bidi w:val="0"/>
        <w:spacing w:lineRule="auto" w:line="307" w:before="0" w:after="24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Account Deposits and Delivery of Customer Payments</w:t>
      </w:r>
      <w:r>
        <w:rPr>
          <w:rFonts w:ascii="Times New Roman;serif" w:hAnsi="Times New Roman;serif"/>
          <w:b w:val="false"/>
          <w:color w:val="000000"/>
          <w:sz w:val="24"/>
        </w:rPr>
        <w:t>. All mechanisms for the transmission of Deposits to fund the Accounts will be as set forth in this Agreement or the applicable Program Authorization Letter, which may be updated from time to time by mutual written agreement of Client and Bank without need to formally amend the Agreement or Program Authorization Letter, including in connection with Deposit mechanisms to be utilized by Bank. No Deposit mechanism may be utilized unless approved by Bank in writing. To the extent Client receives any Deposits or other sums in connection with the Accounts, Client or Client’s agent shall hold such funds in trust for the benefit of Bank and immediately forward the same to Bank via wire, ACH transfer or as otherwise specified in the applicable Program Authorization Letter.</w:t>
      </w:r>
    </w:p>
    <w:p>
      <w:pPr>
        <w:pStyle w:val="TextBody"/>
        <w:bidi w:val="0"/>
        <w:spacing w:lineRule="auto" w:line="307" w:before="0" w:after="24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Program Modification</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and/or Bank reasonably determines that Applicable Law requires a modification to any Program contemplated by this Agreement, including, without limitation, a determination that Applicable Laws have been modified or passed in a jurisdiction that prohibit or place restrictions on the sale or distribution of Programs in the manner agreed, then the determining Party shall provide the other Party with written notice of such determination, and each Party shall cause itself and its agents, vendors, and/or third party service providers to take reasonable steps to avoid violating such Applicable Law, which the Parties acknowledge and agree may require suspending or terminating Programs in certain jurisdictions, and the actual out-of-pocket costs of taking such reasonable steps shall be borne solely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may suggest changes to a Program at any time, subject to the prior written approval of Bank and any approvals or non-objection letters required by a Regulatory Authority. Bank agrees to consider such suggested changes in good faith and shall provide Client with commercially reasonable cooperation and assistance with any Bank approved changes, and that it shall provide any approval or disapproval of such requested changes within sixty (60) days of such made request, unless a longer period is required by a Regulatory Authority. Unless otherwise agreed to in writing by the Parties, Client shall be responsible for all costs associated with any such changes suggested by Client and approved by Bank. The Parties shall work </w:t>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1970"/>
                <wp:effectExtent l="0" t="0" r="0" b="0"/>
                <wp:wrapNone/>
                <wp:docPr id="165" name="Frame16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together reasonably and in good faith, taking into account any legally-binding effective date with respect to any change in a Program and the legal, compliance and reputation risks to the Parties, to implement the modification and/or terminate the affected Program(s) (if applicable) in the manner and time period specified by Client and approved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1970"/>
                <wp:effectExtent l="0" t="0" r="0" b="0"/>
                <wp:wrapNone/>
                <wp:docPr id="166" name="Frame16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Implementation of Ongoing Due Diligence and Audit Recommendations; Limitations of</w:t>
      </w:r>
      <w:r>
        <w:rPr>
          <w:color w:val="000000"/>
        </w:rPr>
        <w:t xml:space="preserve"> </w:t>
      </w:r>
      <w:r>
        <w:rPr>
          <w:rFonts w:ascii="Times New Roman;serif" w:hAnsi="Times New Roman;serif"/>
          <w:b w:val="false"/>
          <w:color w:val="000000"/>
          <w:sz w:val="24"/>
          <w:u w:val="single"/>
        </w:rPr>
        <w:t>Bank Approval</w:t>
      </w:r>
      <w:r>
        <w:rPr>
          <w:rFonts w:ascii="Times New Roman;serif" w:hAnsi="Times New Roman;serif"/>
          <w:b w:val="false"/>
          <w:color w:val="000000"/>
          <w:sz w:val="24"/>
        </w:rPr>
        <w:t>. All approval rights of Bank set forth in this Agreement are ongoing and, accordingly, notwithstanding Bank’s initial approval of any activity, process, policy, procedure, Account Program, Account Agreement, Solicitation Material, function, third party, or subcontractor Bank may revoke such approval or condition the ongoing effectiveness of such approval to the extent Bank reasonably determines that such approval may violate Applicable Law or the Rules. Where Bank seeks to revoke or condition an approval, Bank shall provide Client with a minimum of sixty (60) days’ notice and provide a written explanation as to the reasons for such revocation or conditioning, unless a shorter period is required by Applicable Law, Regulatory Authority, or Bank’s safety and soundness standards. Client shall comply with any such revocations or conditions within a timeframe determined by mutual agreement of the Parties.</w:t>
      </w:r>
    </w:p>
    <w:p>
      <w:pPr>
        <w:pStyle w:val="TextBody"/>
        <w:bidi w:val="0"/>
        <w:spacing w:lineRule="auto" w:line="319" w:before="0" w:after="240"/>
        <w:jc w:val="both"/>
        <w:rPr/>
      </w:pPr>
      <w:r>
        <w:rPr>
          <w:rFonts w:ascii="Times New Roman;serif" w:hAnsi="Times New Roman;serif"/>
          <w:b w:val="false"/>
          <w:color w:val="000000"/>
          <w:sz w:val="24"/>
        </w:rPr>
        <w:t>2.10    </w:t>
      </w:r>
      <w:r>
        <w:rPr>
          <w:rFonts w:ascii="Times New Roman;serif" w:hAnsi="Times New Roman;serif"/>
          <w:b w:val="false"/>
          <w:color w:val="000000"/>
          <w:sz w:val="24"/>
          <w:u w:val="single"/>
        </w:rPr>
        <w:t>Asset Based Programs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Asset Based Program Thresholds. Subject to the terms and conditions in this Agreement, from and after the Program Start Date and during the Term of this Agreement, any Renewal Term, and any Wind-Down Period, if applicable, Bank agrees that it shall originate and hold Accounts originated under any Asset Based Program on its balance sheet, including on an aggregated basis all Client Affiliates’ Asset Based Programs, not to exceed on an aggregated basis $750 million dollars (the “</w:t>
      </w:r>
      <w:r>
        <w:rPr>
          <w:rFonts w:ascii="Times New Roman;serif" w:hAnsi="Times New Roman;serif"/>
          <w:b/>
          <w:color w:val="000000"/>
          <w:sz w:val="24"/>
        </w:rPr>
        <w:t>Asset Based Program Threshold Limit</w:t>
      </w:r>
      <w:r>
        <w:rPr>
          <w:color w:val="000000"/>
        </w:rPr>
        <w:t>”</w:t>
      </w:r>
      <w:r>
        <w:rPr>
          <w:rFonts w:ascii="Times New Roman;serif" w:hAnsi="Times New Roman;serif"/>
          <w:b w:val="false"/>
          <w:color w:val="000000"/>
          <w:sz w:val="24"/>
        </w:rPr>
        <w:t xml:space="preserve">). The Parties acknowledge </w:t>
      </w:r>
      <w:r>
        <w:rPr>
          <w:rFonts w:ascii="Times New Roman;serif" w:hAnsi="Times New Roman;serif"/>
          <w:b/>
          <w:color w:val="000000"/>
          <w:sz w:val="24"/>
        </w:rPr>
        <w:t>a</w:t>
      </w:r>
      <w:r>
        <w:rPr>
          <w:rFonts w:ascii="Times New Roman;serif" w:hAnsi="Times New Roman;serif"/>
          <w:b w:val="false"/>
          <w:color w:val="000000"/>
          <w:sz w:val="24"/>
        </w:rPr>
        <w:t xml:space="preserve">nd agree that, within [***] of execution of this Agreement, the Parties will work together in good faith to identify and develop a mutually agreed upon plan to build capital market outlets for loans and other non-credit liquidity products </w:t>
      </w:r>
      <w:r>
        <w:rPr>
          <w:rFonts w:ascii="Times New Roman;serif" w:hAnsi="Times New Roman;serif"/>
          <w:b/>
          <w:color w:val="000000"/>
          <w:sz w:val="24"/>
        </w:rPr>
        <w:t>o</w:t>
      </w:r>
      <w:r>
        <w:rPr>
          <w:rFonts w:ascii="Times New Roman;serif" w:hAnsi="Times New Roman;serif"/>
          <w:b w:val="false"/>
          <w:color w:val="000000"/>
          <w:sz w:val="24"/>
        </w:rPr>
        <w:t>riginated by Bank under an Asset Based Program, including but not limited to asset sales and asset-backed securitizations. For the avoidance of doubt, no Accounts originated under an Asset Based Program shall be sold, securitized, or otherwise transfer or change economic ownership except and until as may be provided under such agreement, and subject to any terms and conditions set forth therein.</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Asset Based Program Threshold Limits. At any time during the Term of this Agreement, if the aggregate principal balance of Accounts originated under an Asset Based Program and held by Bank </w:t>
      </w:r>
      <w:r>
        <w:rPr>
          <w:rFonts w:ascii="Times New Roman;serif" w:hAnsi="Times New Roman;serif"/>
          <w:b/>
          <w:color w:val="000000"/>
          <w:sz w:val="24"/>
        </w:rPr>
        <w:t>(</w:t>
      </w:r>
      <w:r>
        <w:rPr>
          <w:color w:val="000000"/>
        </w:rPr>
        <w:t>“</w:t>
      </w:r>
      <w:r>
        <w:rPr>
          <w:rFonts w:ascii="Times New Roman;serif" w:hAnsi="Times New Roman;serif"/>
          <w:b/>
          <w:color w:val="000000"/>
          <w:sz w:val="24"/>
        </w:rPr>
        <w:t>Aggregate Account Balance</w:t>
      </w:r>
      <w:r>
        <w:rPr>
          <w:color w:val="000000"/>
        </w:rPr>
        <w:t>”</w:t>
      </w:r>
      <w:r>
        <w:rPr>
          <w:rFonts w:ascii="Times New Roman;serif" w:hAnsi="Times New Roman;serif"/>
          <w:b w:val="false"/>
          <w:color w:val="000000"/>
          <w:sz w:val="24"/>
        </w:rPr>
        <w:t>) exceeds the then-current Asset Based Program Threshold Limit [***], Bank may, in its sole discretion, either (a) increase the Asset Based Program Threshold Limit; (b) implement other methods mutually agreed by the Parties in writing to continue the Program if/when the Aggregate Account Balance meets the Asset Based Program Threshold Limit; or (c) upon [***] prior written notice to Client, suspend originations of Accounts related to an Asset Based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Review of Program Threshold Limit. In the event that the Aggregate Account Balance is nearing the Asset Based Program Threshold Limit (and no later than the date at which the Aggregate Account Balance reaches [***] of the Asset Based Program Threshold Limit), the Parties shall mutually review the Asset Based Program Threshold Limit. Bank may, in its sole </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1970"/>
                <wp:effectExtent l="0" t="0" r="0" b="0"/>
                <wp:wrapNone/>
                <wp:docPr id="167" name="Frame16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discretion, elect to increase the Asset Based Program Threshold Limit following such review. If Bank does not elect to increase the Asset Based Program Threshold Limit following such review, the Parties shall mutually discuss methods to continue the Asset Based Program if/when the Aggregate Account Balance meets the Asset Based Program Threshold Limit (including, but not limited to, offering participations of any extensions of credit or liquidity that would cause the </w:t>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1970"/>
                <wp:effectExtent l="0" t="0" r="0" b="0"/>
                <wp:wrapNone/>
                <wp:docPr id="168" name="Frame16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Account Balance to exceed the Asset Based Program Threshold Limit; provided, however, that any such offering of participations shall be mutually agreed to by the parties in writing).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Termination Right. Client may terminate any Asset Based Program addendum (without payment of a termination fee or other penalty) upon one hundred twenty (120) days’ written notice to Bank, provided all of the following conditions are met: (i) Bank does not elect to increase the Asset Based Program Threshold Limit; (ii) the Parties are unable to agree on methods to continue the Asset Based Program once the Aggregate Account Balance meets the Asset Based Program Threshold Limit; and (iii) the Aggregate Account Balance exceeds the Asset Based Program Threshold Limit, and Bank suspends extensions of credit to Accounts.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DUTIES OF CLIENT</w:t>
      </w:r>
    </w:p>
    <w:p>
      <w:pPr>
        <w:pStyle w:val="TextBody"/>
        <w:bidi w:val="0"/>
        <w:spacing w:lineRule="auto" w:line="319" w:before="0" w:after="24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Program Development and Implementation</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will develop Account Programs, Solicitation Materials, and marketing efforts for the marketing of Accounts. Each Account Program, Solicitation Material, or marketing effort (other than Account Programs, Solicitation Materials or marketing efforts approved under the Prior Agreement) is subject to the review and approval of Bank and, at Bank’s discretion, Bank’s execution of a Program Authorization Letter, and such other documents as Bank may require. Bank agrees to review such proposals in accordance with </w:t>
      </w:r>
      <w:r>
        <w:rPr>
          <w:rFonts w:ascii="Times New Roman;serif" w:hAnsi="Times New Roman;serif"/>
          <w:b/>
          <w:color w:val="000000"/>
          <w:sz w:val="24"/>
        </w:rPr>
        <w:t>Exhibit B</w:t>
      </w:r>
      <w:r>
        <w:rPr>
          <w:rFonts w:ascii="Times New Roman;serif" w:hAnsi="Times New Roman;serif"/>
          <w:b w:val="false"/>
          <w:color w:val="000000"/>
          <w:sz w:val="24"/>
        </w:rPr>
        <w:t>. The Program Authorization Letter shall be generally in the form set forth in an exhibit to the applicable Addendum. Bank reserves the right, in its reasonable discretion, to refuse approval of any new Account Program or marketing proposal that, in its reasonable opinion presents unacceptable financial or reputation risk or is not consistent with the Rules or may be reasonably deemed to be in inconsistent with or violation of Applicable Law. Client acknowledges and agrees that Bank may condition its execution of any Program Authorization Letter for a new marketing effort on amendments to the fees set forth in an exhibit to the applicable Addendum, provided the Bank and Client agree to negotiate such fees in good faith. Client acknowledges that the features of the Accounts shall be generally consistent with the features outlined in an exhibit to the applicable Addendum, which Bank may modify upon reasonable notice to Chime if necessary to comply with Applicable Law, or to ensure the safety and soundness of Bank, and Client may not modify or amend without the Bank’s prior written consent, which shall not be unreasonably withheld, conditioned, or delayed.</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Collateral and Account Agreements</w:t>
      </w:r>
      <w:r>
        <w:rPr>
          <w:rFonts w:ascii="Times New Roman;serif" w:hAnsi="Times New Roman;serif"/>
          <w:b w:val="false"/>
          <w:color w:val="000000"/>
          <w:sz w:val="24"/>
        </w:rPr>
        <w:t>. Client shall market Programs to prospective Customers, subject to Applicable Law, and in accordance with this Agreement and any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including all expenses associated with, the manufacturing and printing of all Program Collateral and Account Agreements. All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1970"/>
                <wp:effectExtent l="0" t="0" r="0" b="0"/>
                <wp:wrapNone/>
                <wp:docPr id="169" name="Frame16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Program Collateral and Account Agreements shall comply with Applicable Law, all Rules, identify Bank as the issuer of the Account and shall include such other names and Marks as may be required to conform to Graphic Standards, Regulatory Authority and Rules. Any design for a co-branded Card associated with the Account shall also be subject to Bank’s prior review and approval.</w:t>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1970"/>
                <wp:effectExtent l="0" t="0" r="0" b="0"/>
                <wp:wrapNone/>
                <wp:docPr id="170" name="Frame16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market Accounts to prospective Customers, subject to Applicable Law, any Rules, and in accordance with this Agreement and any Program Authorization Letter.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(c)    During the term of this Agreement, in accordance with </w:t>
      </w:r>
      <w:r>
        <w:rPr>
          <w:rFonts w:ascii="Times New Roman;serif" w:hAnsi="Times New Roman;serif"/>
          <w:b/>
          <w:color w:val="000000"/>
          <w:sz w:val="24"/>
        </w:rPr>
        <w:t>Exhibit B</w:t>
      </w:r>
      <w:r>
        <w:rPr>
          <w:rFonts w:ascii="Times New Roman;serif" w:hAnsi="Times New Roman;serif"/>
          <w:b w:val="false"/>
          <w:color w:val="000000"/>
          <w:sz w:val="24"/>
        </w:rPr>
        <w:t xml:space="preserve">, Client shall propose all previously unapproved marketing plans to Bank for prior review, approval, or disapproval in advance of its release or use in the marketplace. Client’s submissions to Bank shall include, but not be limited to, all Program Collateral, Account Agreements, and Solicitation Materials, including the Program Websites, and mobile applications. Bank shall not intentionally delay or unreasonably withhold its review and approval of proposed Program Collateral, Account Agreements, and Solicitation Materials, such review to be completed within the time frame set forth in </w:t>
      </w:r>
      <w:r>
        <w:rPr>
          <w:rFonts w:ascii="Times New Roman;serif" w:hAnsi="Times New Roman;serif"/>
          <w:b/>
          <w:color w:val="000000"/>
          <w:sz w:val="24"/>
        </w:rPr>
        <w:t>Exhibit B</w:t>
      </w:r>
      <w:r>
        <w:rPr>
          <w:rFonts w:ascii="Times New Roman;serif" w:hAnsi="Times New Roman;serif"/>
          <w:b w:val="false"/>
          <w:color w:val="000000"/>
          <w:sz w:val="24"/>
        </w:rPr>
        <w:t>. Notwithstanding Bank’s initial approval of the form of any Account Agreement, Bank shall have the right, in its sole discretion, from time to time upon one-hundred and twenty (120) days’ prior written notice to Client (or such shorter notice period as Client may agree, or with thirty (30) days’ advance notice in the event of a change that is required in order to comply with Applicable Law), to change, alter or amend the Account Agreement. The cost of any changes to the Account Agreement for any reason, including any changes necessitated by Client’s actions or requests (other than discretionary changes imposed by Bank not otherwise required by Applicable Law) shall be borne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be responsible for the delivery and implementation of any necessary amendments to the Account Agreement under this Agreement and for ensuring that the amendment of the Account Agreement is accomplished in compliance with all Applicable Law.</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Distribution of Cards and Account Agreements. Client shall be responsible for the distribution of any Cards and Account Agreements as may be described in any Program Authorization Letter. Client shall ensure that any and all Cards are handled, shipped and distributed in accordance with Applicable Law and the Rules. Client agrees that it shall implement any and all inventory management controls required by the Rules for any and all Cards that are maintained in its possession or in the possession of any third party contracted by the Client. Client agrees that it will send inventory reports as may be requested by the Bank from time to time.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use commercially reasonable efforts to ensure Client obtains all Network approvals, as Bank or such Network may require. Client shall be responsible for costs related to such approval as outlined in the applicable Addendum, including, but not limited to, any costs relating to any Independent Sales Organization (“ISO”) registration required in connection with the Program. It is expressly understood that approval by a Network may be established by Bank as a condition precedent to the commencement of any Account Program and the issuance of a Program Authorization Letter.</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Bank grants to Client a nonexclusive, royalty free, nontransferable right and license to use certain Marks (owned by Bank or its licensors) in accordance with the Account Agreements, Solicitation Materials, and marketing methods approved in the Program </w:t>
      </w:r>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1970"/>
                <wp:effectExtent l="0" t="0" r="0" b="0"/>
                <wp:wrapNone/>
                <wp:docPr id="171" name="Frame16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Letter. The use of the Marks by Client without the prior written consent of the Bank is prohibited.</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Client shall be solely responsible for ensuring that the Account Agreement, the Solicitation Materials, the marketing methods, the Deposit mechanisms, all aspects of the Program Website, and all other aspects of the Program comply with Applicable Law, including, but not </w:t>
      </w:r>
    </w:p>
    <w:p>
      <w:pPr>
        <w:pStyle w:val="TextBody"/>
        <w:bidi w:val="0"/>
        <w:spacing w:before="0" w:after="0"/>
        <w:jc w:val="center"/>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1970"/>
                <wp:effectExtent l="0" t="0" r="0" b="0"/>
                <wp:wrapNone/>
                <wp:docPr id="172" name="Frame17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limited to, the Truth in Savings Act, Regulation DD, the Expedited Funds Availability Act, Regulation CC, the Electronic Funds Transfer Act, Regulation E, and the provisions of the Federal Deposit Insurance Act. It is expressly understood that Bank’s review and approval of any aspect of the Program or materials shall be for Bank’s independent purposes and shall not constitute an approval or certification to Client for purposes of Client’s independent obligation to ensure compliance with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Notwithstanding Bank’s initial approval of the form of any Customer Disclosures, Bank shall have the right, in its sole discretion, from time to time upon sixty (60) days’ prior written notice to Client (or such shorter notice period as Client may agree or as may be required by Applicable Law, Regulatory Authority, or Bank’s safety and soundness standards), to require a change, alteration or amendment to Customer Disclosures. The Parties shall meet in good faith to discuss such requests and shall use commercially reasonable efforts to mutually agree upon a change, alteration, or amendment to such Customer Disclosures. Notwithstanding the foregoing, such changes or alterations or amendments may be required with no advance notice in the event of a change that is required in order to comply with Applicable Law, Regulatory Authority, or Bank’s safety and soundness standards and the cost of any changes to the Customer Disclosures for any reason, including any changes necessitated by Client’s actions or requests (other than discretionary changes imposed by Bank not otherwise required by Applicable Law) shall be borne by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In the event that the Customer Disclosures are deemed to not be compliant with any Applicable Law at any time after delivery thereof to a Customer, Client shall immediately deliver to such Customers amended Customer Disclosures that comply with Applicable Law.</w:t>
      </w:r>
    </w:p>
    <w:p>
      <w:pPr>
        <w:pStyle w:val="TextBody"/>
        <w:bidi w:val="0"/>
        <w:spacing w:lineRule="auto" w:line="333"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Termination of Accounts</w:t>
      </w:r>
      <w:r>
        <w:rPr>
          <w:rFonts w:ascii="Times New Roman;serif" w:hAnsi="Times New Roman;serif"/>
          <w:b w:val="false"/>
          <w:color w:val="000000"/>
          <w:sz w:val="24"/>
        </w:rPr>
        <w:t>. Client acknowledges that the Accounts are issued and held by Bank and shall be subject to cancellation at any time by Bank, in accordance with this Agreement, the Account Agreement or as required or permitted by Applicable Law, or, on a case-by-case basis, where the Bank believes a Customer is using the Account and/or the associated Card for fraudulent or illegal purposes. Conversely, Bank acknowledges that Client maintains independent customer relationships with Customers, and Client may have independent reasons to suggest suspension or cancellation of an Account or Card by Bank. As such, where Client (i) reasonably believes in good faith that a Customer may be using the Account and/or Card for fraudulent or illegal purposes; or (ii) otherwise intends to suspend or terminate its independent customer relationship with a Customer due to actual or suspected fraud or illegal purposes, it shall notify Bank. Upon receipt of notice of termination of this Agreement for any reason, Client shall, at its sole expense, provide written certification of destruction of any unused Cards, under dual control, by a third party approved by the Bank all in keeping with the Rules as set forth by the applicable Network as it pertains to the shipping and destruction of Cards.</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1970"/>
                <wp:effectExtent l="0" t="0" r="0" b="0"/>
                <wp:wrapNone/>
                <wp:docPr id="173" name="Frame17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xml:space="preserve">. Client specifically acknowledges and agrees that all customer service provided to Customers in connection with any Program, whether provided by Client or through a Bank-approved Subcontractor, shall comply with Applicable Law. Client shall be responsible for all customer service obligations related to the Accounts. The customer service shall be provided in accordance with the requirements this section, any applicable Program Authorization Letter, </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1970"/>
                <wp:effectExtent l="0" t="0" r="0" b="0"/>
                <wp:wrapNone/>
                <wp:docPr id="174" name="Frame17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and in accordance with the specified service level standards as set forth in an Exhibit to the applicable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parties which is appropriate for the scope of services being provided, (iv) provide call center reporting in such frequency and format as may be reasonably required by Bank, (v) conduct annually, compliance training as approved by the Bank, including but not limited to: BSA/AML, Regulation E, Truth in Savings, Regulation DD, Regulation CC, Expedited Funds Availability Act, and Electronic Funds Transfer Act , and (vi) forward all oral dispute claims in accordance with Section 3.3(e), below.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third-party service provider to perform the customer service activities with Bank’s prior written approval. At a minimum, Client shall ensure that the third party: (i) is subject to the Bank’s initial and on-going due diligence standards, (ii) is subject to periodic audit and examination by the Bank, (iii) must adhere to the applicable minimum service level standards as set forth in an Exhibit to the applicable Addendum, (iv) must have a quality assurance and monitoring program appropriate for the scope of services being provided, (v) must conduct annual compliance training as approved by the Bank (in accordance with Section 3.11) (vi) must forward all oral dispute claims in accordance with Section 3.7 of the Agreement, (vii) must provide for remote call monitoring by the Client and/or the Bank, (viii) must provide [***] call center reporting, and (iv) is subject to termination without penalty for non-performance or breach of the agreement. Pursuant to Section 9.2(a)(i) hereof and subject to the cure period described therein, Bank may hold Client in breach of this Section 3.3(b) if (y) the third party service provider provides customer service and notifies Bank in writing that such third party service provider is terminating its agreement(s) with Client due to Client’s breach of its agreement(s) with such third party service provider, and (z) Client has not arranged for other provision of customer service satisfactory to Bank in its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acknowledges and agrees that its engagement of a third party to provide customer service shall not absolve Client of its obligations hereunder. Client specifically acknowledges and agrees that all customer service provided to Customers in connection with any Program, whether provided by Client or through an approved third-party service provider, shall comply with Applicable Law, including but not limited to Section 5 of the Federal Trade Commission Act and Regulation AA, Regulation DD, and Regulation E as may be applicable.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In the event that Client (or its Bank-approved subcontractor) receives a complaint in any form from a Customer or non-Customer in connection with the Program, and such complaint is addressed to Client, then Client shall resolve all such complaints pursuant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1970"/>
                <wp:effectExtent l="0" t="0" r="0" b="0"/>
                <wp:wrapNone/>
                <wp:docPr id="175" name="Frame17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Bank’s complaint policy as provided by Bank from time to time (“</w:t>
      </w:r>
      <w:r>
        <w:rPr>
          <w:rFonts w:ascii="Times New Roman;serif" w:hAnsi="Times New Roman;serif"/>
          <w:b/>
          <w:color w:val="000000"/>
          <w:sz w:val="24"/>
        </w:rPr>
        <w:t>Complaint Policy</w:t>
      </w:r>
      <w:r>
        <w:rPr>
          <w:color w:val="000000"/>
        </w:rPr>
        <w:t>”</w:t>
      </w:r>
      <w:r>
        <w:rPr>
          <w:rFonts w:ascii="Times New Roman;serif" w:hAnsi="Times New Roman;serif"/>
          <w:b w:val="false"/>
          <w:color w:val="000000"/>
          <w:sz w:val="24"/>
        </w:rPr>
        <w:t xml:space="preserve">). Client may propose specific exceptions from the Complaint Policy,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 Customer or non- </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1970"/>
                <wp:effectExtent l="0" t="0" r="0" b="0"/>
                <wp:wrapNone/>
                <wp:docPr id="176" name="Frame17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Customers and non-Customers.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Customer Error Resolution. Client agrees that in the event it or the Processor receives from a Customer an oral or written notice of “error” as defined in 12 CFR 1005.11(a) of Regulation E, Client will a) contract with a Bank-approved third-party (“Dispute Management Provider”), and/or b) upon written approval from Bank, use Client’s own internal team, to promptly respond to such inquiries in accordance with the terms of the Account Agreement and Regulation E, and the Rules established by the Bank. Client shall retain directly, or through the Dispute Management Provider, for the period required by Regulation E or any other Applicable Law with a longer record retention requirement all error-related information, all error-resolution communications, records, account notes and other supporting documentation related to a notice of “error”, and shall provide the same to Bank as it may reasonably request from time to time. To the extent Bank responds to any such errors. Client shall use reasonable efforts to cooperate with Bank in the reasonable resolution of any customer or Customer-reported error, all in accordance with Applicable Law. Unless Bank has provided its written approval for Client to provide dispute management services pursuant to this Section 3.3(e), and pursuant to Section 9.2(a)(i) hereof and subject to the cure period described therein, Bank may hold Client in breach of this Section 3.3 if (i) the Dispute Management Provider provides notice to Bank that Dispute Management Provider is terminating its agreement(s) with Client due to Client’s breach of such agreement(s) with the Dispute Management Provider, and (ii) Client has not contracted with an alternative Dispute Management Provider approved by the Bank and pursuant to the terms of this Section 3.3(e).</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Deposit Mechanism</w:t>
      </w:r>
      <w:r>
        <w:rPr>
          <w:rFonts w:ascii="Times New Roman;serif" w:hAnsi="Times New Roman;serif"/>
          <w:b w:val="false"/>
          <w:color w:val="000000"/>
          <w:sz w:val="24"/>
        </w:rPr>
        <w:t>. Only mechanisms to fund Deposits to the Accounts approved by Bank in writing in the Program Authorization Letter (or as may otherwise be approved by Bank in writing) may be utilized to collect and transfer Deposit Amounts from Customers to Bank. No Deposit mechanism, including Deposit acceptance locations, networks or other related features may be used in connection with any Account Program unless pre- approved by Bank. Client shall be solely responsible for ensuring that any Deposit mechanism, including the involvement of Client and any third parties in connection with the same, is in compliance with Applicable Law. Notwithstanding anything to the contrary in this Agreement, Bank acknowledges and agrees that Customers will have the option under the Program to move Deposits directly or through Client into accounts held at other financial institutions; provided, however, such Deposit movement shall be subject to the Rules and Bank’s safety and soundness.</w:t>
      </w: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1970"/>
                <wp:effectExtent l="0" t="0" r="0" b="0"/>
                <wp:wrapNone/>
                <wp:docPr id="177" name="Frame17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Liability for Funding Failures. Except to the extent directly caused by the actions of the Bank, Client shall be responsible for all Funding Failures. In the event of a Funding Failure in connection with any Account Program, Client shall, within [***] after receiving notice of such Funding Failure from Bank, fully fund any shortfall in any Program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1970"/>
                <wp:effectExtent l="0" t="0" r="0" b="0"/>
                <wp:wrapNone/>
                <wp:docPr id="178" name="Frame17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that the relevant Program Account or Accounts at Bank have balances at all times equal to or exceeding the total balances of the Accounts as noted on the records of the Processor.</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Processor Agreement</w:t>
      </w:r>
      <w:r>
        <w:rPr>
          <w:rFonts w:ascii="Times New Roman;serif" w:hAnsi="Times New Roman;serif"/>
          <w:b w:val="false"/>
          <w:color w:val="000000"/>
          <w:sz w:val="24"/>
        </w:rPr>
        <w:t>. Client shall and will at all times maintain a contract with a Processor approved in writing by Bank (“Processor Agreement”) for purposes of providing Processing Services; provided that, notwithstanding anything to the contrary in the Agreement, Client may directly perform any Processing Services (including, but not limited to, Client directly processing NACHA files related to inbound/outbound ACHs), subject to written approval by Bank that Client’s direct Processing Services comply with Bank’s standards for processors, with such approval not to be unreasonably withheld. For the avoidance of doubt, Galileo Financial Technologies, LLC is approved by Bank. Unless otherwise agreed or amended by the provisions of any Program Authorization Letter, a Processor Agreement shall provide for the Processing Services as described in an Exhibit to the applicable Addendum or Program Authorization Letter in connection with the Accounts. Such Processor Agreement shall also specifically provide that Bank, Client and Processor shall enter into a tri-party agreement whereby Bank shall be entitled to rely upon and enforce as a third-party beneficiary the provisions of the Processing Agreement in the event of a breach of this Agreement by Client. Client shall cause Processor to provide Bank all Customer data, those reports provided by Processor to Client, and any additional reports that the Bank may reasonably request either on a regular scheduled basis or as periodically requested by Bank. Client shall be solely responsible for all fees and costs incurred under the Processor Agreement, including, but not limited to, all fees and costs related to the reporting to be provided to Bank. In no event may Client terminate any contractual relationship with Processor without the consent of Bank. Unless Bank has provided its written approval for Client to provide Processing Services pursuant to this Section 3.6, and pursuant to Section 9.2(a)(i) hereof and subject to the cure period described therein, Bank may hold Client in breach of this Section 3.6 if (i) the Processor provides notice to Bank that Processor is terminating the Processing Agreement due to Client’s breach of the Processing Agreement, and (ii) Client has not contracted with an alternative Processor approved by the Bank and pursuant to the terms of this Section 3.6.</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Processor Service Interruptions</w:t>
      </w:r>
      <w:r>
        <w:rPr>
          <w:rFonts w:ascii="Times New Roman;serif" w:hAnsi="Times New Roman;serif"/>
          <w:b w:val="false"/>
          <w:color w:val="000000"/>
          <w:sz w:val="24"/>
        </w:rPr>
        <w:t xml:space="preserve">. In the event that Processor or any other Client subcontractor experiences any non-scheduled service interruption that impairs a Customer’s ability to access Account information or perform Transactions (“Service Interruption”), Client shall promptly inform Bank of such Service Interruption. Client shall make commercially reasonable efforts to resolve the Service Interruption as promptly as possible, in addition to taking all reasonable actions to remediate the root cause of the Service Interruption. Client shall perform a root cause analysis of the Service Interruption and promptly provide Bank a report </w:t>
      </w:r>
    </w:p>
    <w:p>
      <w:pPr>
        <w:pStyle w:val="TextBody"/>
        <w:bidi w:val="0"/>
        <w:spacing w:before="0" w:after="0"/>
        <w:jc w:val="center"/>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1970"/>
                <wp:effectExtent l="0" t="0" r="0" b="0"/>
                <wp:wrapNone/>
                <wp:docPr id="179" name="Frame17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detailing the root cause analysis and the actions taken by Client to resolve the Service Interruption and remediate the root cause of the Service Interruption. In the event of a Service Interruption, Bank may perform an audit of the Service Interruption, and Client’s resolution and remediation of the root causes of the Service Interruption. Such audit shall not be subject to the audit frequency limitations of Section 3.10(c)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1970"/>
                <wp:effectExtent l="0" t="0" r="0" b="0"/>
                <wp:wrapNone/>
                <wp:docPr id="180" name="Frame17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Complaints</w:t>
      </w:r>
      <w:r>
        <w:rPr>
          <w:rFonts w:ascii="Times New Roman;serif" w:hAnsi="Times New Roman;serif"/>
          <w:b w:val="false"/>
          <w:color w:val="000000"/>
          <w:sz w:val="24"/>
        </w:rPr>
        <w:t>. Client agrees that in the event it or any Subcontractor receives notice of a complaint or legal proceeding from a Regulatory Authority, or other regulatory or consumer advocacy agency relating to this Agreement or a Program, or to the extent that such complaint or legal proceeding may have a materially adverse impact on a Program, it will promptly forward such complaint to Bank.</w:t>
      </w:r>
    </w:p>
    <w:p>
      <w:pPr>
        <w:pStyle w:val="TextBody"/>
        <w:bidi w:val="0"/>
        <w:spacing w:lineRule="auto" w:line="307"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Service Level Agreements</w:t>
      </w:r>
      <w:r>
        <w:rPr>
          <w:rFonts w:ascii="Times New Roman;serif" w:hAnsi="Times New Roman;serif"/>
          <w:b w:val="false"/>
          <w:color w:val="000000"/>
          <w:sz w:val="24"/>
        </w:rPr>
        <w:t>. Any and all expected offerings and performance levels related to a Program as set forth in an Addendum (the “</w:t>
      </w:r>
      <w:r>
        <w:rPr>
          <w:rFonts w:ascii="Times New Roman;serif" w:hAnsi="Times New Roman;serif"/>
          <w:b/>
          <w:color w:val="000000"/>
          <w:sz w:val="24"/>
        </w:rPr>
        <w:t>Service Levels</w:t>
      </w:r>
      <w:r>
        <w:rPr>
          <w:color w:val="000000"/>
        </w:rPr>
        <w:t>”</w:t>
      </w:r>
      <w:r>
        <w:rPr>
          <w:rFonts w:ascii="Times New Roman;serif" w:hAnsi="Times New Roman;serif"/>
          <w:b w:val="false"/>
          <w:color w:val="000000"/>
          <w:sz w:val="24"/>
        </w:rPr>
        <w:t xml:space="preserve">) shall be provided in a professional manner in accordance with industry standards, allowing for appropriate monitoring, [***] reporting, and penalties for performance outside of parameters. Client shall ensure that the Services are provided in accordance with the minimum standards outlined in an Exhibit to the applicable Addendum, (a </w:t>
      </w:r>
      <w:r>
        <w:rPr>
          <w:color w:val="000000"/>
        </w:rPr>
        <w:t>“</w:t>
      </w:r>
      <w:r>
        <w:rPr>
          <w:rFonts w:ascii="Times New Roman;serif" w:hAnsi="Times New Roman;serif"/>
          <w:b w:val="false"/>
          <w:color w:val="000000"/>
          <w:sz w:val="24"/>
        </w:rPr>
        <w:t>Service Level Agreement”</w:t>
      </w:r>
      <w:r>
        <w:rPr>
          <w:rFonts w:ascii="Times New Roman;serif" w:hAnsi="Times New Roman;serif"/>
          <w:b/>
          <w:color w:val="000000"/>
          <w:sz w:val="24"/>
        </w:rPr>
        <w:t>)</w:t>
      </w:r>
      <w:r>
        <w:rPr>
          <w:rFonts w:ascii="Times New Roman;serif" w:hAnsi="Times New Roman;serif"/>
          <w:b w:val="false"/>
          <w:color w:val="000000"/>
          <w:sz w:val="24"/>
        </w:rPr>
        <w:t>.</w:t>
      </w:r>
    </w:p>
    <w:p>
      <w:pPr>
        <w:pStyle w:val="TextBody"/>
        <w:bidi w:val="0"/>
        <w:spacing w:lineRule="auto" w:line="307" w:before="0" w:after="24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direct or indirect losses or expenses of any kind incurred on or arising out of any Customer Account including, without limitation, negative balances, unauthorized Transactions, chargebacks, force posted Transactions, fraud, unauthorized withdrawals or funds transfers from any Account, identity theft, Deposit Failures, or Bank’s efforts at fraud or unauthorized Transaction recovery under Applicable Law, provided that Client shall not be responsible for or liable for any losses arising directly out of Bank’s violations of Applicable Law, gross negligence or willful misconduct. In the event that a Party wishes to attempt to locate and prosecute the perpetrator of any unauthorized activity or fraud, the other Party shall provide reasonable cooperation in such efforts. The Party initiating such efforts shall bear the costs thereof.</w:t>
      </w:r>
    </w:p>
    <w:p>
      <w:pPr>
        <w:pStyle w:val="TextBody"/>
        <w:bidi w:val="0"/>
        <w:spacing w:lineRule="auto" w:line="307" w:before="0" w:after="240"/>
        <w:jc w:val="both"/>
        <w:rPr/>
      </w:pPr>
      <w:r>
        <w:rPr>
          <w:rFonts w:ascii="Times New Roman;serif" w:hAnsi="Times New Roman;serif"/>
          <w:b w:val="false"/>
          <w:color w:val="000000"/>
          <w:sz w:val="24"/>
        </w:rPr>
        <w:t>3.10    </w:t>
      </w:r>
      <w:r>
        <w:rPr>
          <w:rFonts w:ascii="Times New Roman;serif" w:hAnsi="Times New Roman;serif"/>
          <w:b w:val="false"/>
          <w:color w:val="000000"/>
          <w:sz w:val="24"/>
          <w:u w:val="single"/>
        </w:rPr>
        <w:t>Recordkeeping; Reporting; and Audit Rights</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shall, within a reasonable time after Bank’s request, and to the extent it has or should have such information in its possession or under its control (directly or through a Subcontractor), provide Bank with the Required Reports as set forth in the applicable Addendum. Unless otherwise agreed, for each applicable Program and to the extent such reports are or should be maintained or in its possession, Client will keep complete records reflecting Required Reports and shall retain all Required Reports for the time period required by Applicable Law, and in any event, for no less than [***] after the termination of any Customer Agreement or Program, whichever is later.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(b)    Client agrees that at Bank’s sole discretion, Bank, its authorized representatives, or agents and any Regulatory Authority (collectively an </w:t>
      </w:r>
      <w:r>
        <w:rPr>
          <w:color w:val="000000"/>
        </w:rPr>
        <w:t>“</w:t>
      </w:r>
      <w:r>
        <w:rPr>
          <w:rFonts w:ascii="Times New Roman;serif" w:hAnsi="Times New Roman;serif"/>
          <w:b/>
          <w:color w:val="000000"/>
          <w:sz w:val="24"/>
        </w:rPr>
        <w:t>Auditing Party</w:t>
      </w:r>
      <w:r>
        <w:rPr>
          <w:color w:val="000000"/>
        </w:rPr>
        <w:t>”</w:t>
      </w:r>
      <w:r>
        <w:rPr>
          <w:rFonts w:ascii="Times New Roman;serif" w:hAnsi="Times New Roman;serif"/>
          <w:b w:val="false"/>
          <w:color w:val="000000"/>
          <w:sz w:val="24"/>
        </w:rPr>
        <w:t xml:space="preserve">), shall have the right to inspect, audit, and examine all of Client’s facilities, records and personnel relating to Program or this Agreement. The Auditing Party shall have the right to make abstracts from, inspect, copy, or audit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 Client shall additionally furnish </w:t>
      </w:r>
    </w:p>
    <w:p>
      <w:pPr>
        <w:pStyle w:val="TextBody"/>
        <w:bidi w:val="0"/>
        <w:spacing w:before="0" w:after="0"/>
        <w:jc w:val="center"/>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1970"/>
                <wp:effectExtent l="0" t="0" r="0" b="0"/>
                <wp:wrapNone/>
                <wp:docPr id="181" name="Frame17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Bank, at Client’s expense, with audited financial statements prepared by a certified public accountant and any such other information an Auditing Party may from time-</w:t>
      </w:r>
      <w:r>
        <w:rPr>
          <w:rFonts w:ascii="Times New Roman;serif" w:hAnsi="Times New Roman;serif"/>
          <w:b/>
          <w:color w:val="000000"/>
          <w:sz w:val="24"/>
        </w:rPr>
        <w:t>t</w:t>
      </w:r>
      <w:r>
        <w:rPr>
          <w:rFonts w:ascii="Times New Roman;serif" w:hAnsi="Times New Roman;serif"/>
          <w:b w:val="false"/>
          <w:color w:val="000000"/>
          <w:sz w:val="24"/>
        </w:rPr>
        <w:t>o-time reasonably request with respect to the financial condition of Client. Client shall also secure and contractually protect the right of an Auditing Party to audit the books and records of any Subcontractor.</w:t>
      </w:r>
    </w:p>
    <w:p>
      <w:pPr>
        <w:pStyle w:val="TextBody"/>
        <w:bidi w:val="0"/>
        <w:spacing w:before="0" w:after="0"/>
        <w:jc w:val="center"/>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1970"/>
                <wp:effectExtent l="0" t="0" r="0" b="0"/>
                <wp:wrapNone/>
                <wp:docPr id="182" name="Frame18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such audit will be conducted at mutually agreed upon times, upon reasonable prior written notice (no [***]), and in a manner designed to minimize any disruption of Client’s normal business activities; provided, however, that in agreeing to times for the audit, the Client shall be reasonable in scheduling, and shall not delay any audit for more than [***] from the date first proposed by Bank. The Parties agree that the audit rights hereunder will be exercised during normal business hours and no more than once in any [***] period.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to submit to any examination which may be required by any Regulatory Authority with audit and examination authority over Bank to the fullest extent requested by such Regulatory Authority. Client shall also provide to Bank any information requested by any Regulatory Authority in connection with their audit or review and shall reasonably cooperate with such Regulatory Authority in connection with any audit or review.</w:t>
      </w:r>
    </w:p>
    <w:p>
      <w:pPr>
        <w:pStyle w:val="TextBody"/>
        <w:bidi w:val="0"/>
        <w:spacing w:lineRule="auto" w:line="319" w:before="0" w:after="240"/>
        <w:ind w:left="0" w:right="0" w:firstLine="720"/>
        <w:jc w:val="both"/>
        <w:rPr/>
      </w:pPr>
      <w:r>
        <w:rPr>
          <w:rFonts w:ascii="Times New Roman;serif" w:hAnsi="Times New Roman;serif"/>
          <w:b w:val="false"/>
          <w:color w:val="000000"/>
          <w:sz w:val="24"/>
        </w:rPr>
        <w:t>(e)    Client will coordinate with Bank in performing periodic due diligence regarding any third party service providers contracted with Client in connection with the Program. Client shall periodically contact, and will, if necessary, meet personally with third party service providers t</w:t>
      </w:r>
      <w:r>
        <w:rPr>
          <w:rFonts w:ascii="Times New Roman;serif" w:hAnsi="Times New Roman;serif"/>
          <w:b/>
          <w:color w:val="000000"/>
          <w:sz w:val="24"/>
        </w:rPr>
        <w:t xml:space="preserve">o </w:t>
      </w:r>
      <w:r>
        <w:rPr>
          <w:rFonts w:ascii="Times New Roman;serif" w:hAnsi="Times New Roman;serif"/>
          <w:b w:val="false"/>
          <w:color w:val="000000"/>
          <w:sz w:val="24"/>
        </w:rPr>
        <w:t>discuss any performance and operations issues. Client will provide Bank with reports regarding its ongoing monitoring as Bank may reasonably request.</w:t>
      </w:r>
    </w:p>
    <w:p>
      <w:pPr>
        <w:pStyle w:val="TextBody"/>
        <w:bidi w:val="0"/>
        <w:spacing w:lineRule="auto" w:line="319" w:before="0" w:after="240"/>
        <w:jc w:val="both"/>
        <w:rPr/>
      </w:pPr>
      <w:r>
        <w:rPr>
          <w:rFonts w:ascii="Times New Roman;serif" w:hAnsi="Times New Roman;serif"/>
          <w:b w:val="false"/>
          <w:color w:val="000000"/>
          <w:sz w:val="24"/>
        </w:rPr>
        <w:t>3.11    </w:t>
      </w:r>
      <w:r>
        <w:rPr>
          <w:rFonts w:ascii="Times New Roman;serif" w:hAnsi="Times New Roman;serif"/>
          <w:b w:val="false"/>
          <w:color w:val="000000"/>
          <w:sz w:val="24"/>
          <w:u w:val="single"/>
        </w:rPr>
        <w:t>Compliance Program</w:t>
      </w:r>
      <w:r>
        <w:rPr>
          <w:rFonts w:ascii="Times New Roman;serif" w:hAnsi="Times New Roman;serif"/>
          <w:b w:val="false"/>
          <w:color w:val="000000"/>
          <w:sz w:val="24"/>
        </w:rPr>
        <w:t>. Client shall develop, and/or implement, as necessary, a sound, risk-based compliance management system, including a comprehensive written compliance program (the “</w:t>
      </w:r>
      <w:r>
        <w:rPr>
          <w:rFonts w:ascii="Times New Roman;serif" w:hAnsi="Times New Roman;serif"/>
          <w:b/>
          <w:color w:val="000000"/>
          <w:sz w:val="24"/>
        </w:rPr>
        <w:t>Compliance Program</w:t>
      </w:r>
      <w:r>
        <w:rPr>
          <w:color w:val="000000"/>
        </w:rPr>
        <w:t>”</w:t>
      </w:r>
      <w:r>
        <w:rPr>
          <w:rFonts w:ascii="Times New Roman;serif" w:hAnsi="Times New Roman;serif"/>
          <w:b w:val="false"/>
          <w:color w:val="000000"/>
          <w:sz w:val="24"/>
        </w:rPr>
        <w:t>) to ensure that all products and services offered by Client comply with Applicable Law, including but not limited to Consumer Protection Laws (as applicable to the Program). Without limiting the foregoing, Client shall develop and implement an OFAC compliance program (including, without limitation, monitoring and blocking IP addresses, Customers, and Transactions in regions and jurisdictions subject to sanctions) to ensure compliance with Applicable Law. In addition, Client’s Compliance Officer will provide an attestation of compliance at the request of Bank, at least annually.</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Client has or shall (upon execution of this Agreement) implement and maintain a Bank approved anti-money laundering (AML) and anti-terrorism financing (ATF) compliance program which is appropriate for the nature and scope of the Program, the activities of Client, and the obligations to be performed by Client or the Processor hereunder. Any such program shall be developed in accordance with Applicable Law, including appropriate policies and procedures. Client shall implement measures to verify the identity of all Customers and prospective Customers consistent with Applicable Law and the Rules,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before="0" w:after="0"/>
        <w:jc w:val="center"/>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1970"/>
                <wp:effectExtent l="0" t="0" r="0" b="0"/>
                <wp:wrapNone/>
                <wp:docPr id="183" name="Frame18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Compliance Officer</w:t>
      </w:r>
      <w:r>
        <w:rPr>
          <w:rFonts w:ascii="Times New Roman;serif" w:hAnsi="Times New Roman;serif"/>
          <w:b w:val="false"/>
          <w:color w:val="000000"/>
          <w:sz w:val="24"/>
        </w:rPr>
        <w:t>. Client shall appoint a qualified compliance officer (“</w:t>
      </w:r>
      <w:r>
        <w:rPr>
          <w:rFonts w:ascii="Times New Roman;serif" w:hAnsi="Times New Roman;serif"/>
          <w:b/>
          <w:color w:val="000000"/>
          <w:sz w:val="24"/>
        </w:rPr>
        <w:t>Compliance Officer</w:t>
      </w:r>
      <w:r>
        <w:rPr>
          <w:color w:val="000000"/>
        </w:rPr>
        <w:t>”</w:t>
      </w:r>
      <w:r>
        <w:rPr>
          <w:rFonts w:ascii="Times New Roman;serif" w:hAnsi="Times New Roman;serif"/>
          <w:b w:val="false"/>
          <w:color w:val="000000"/>
          <w:sz w:val="24"/>
        </w:rPr>
        <w:t xml:space="preserve">) who demonstrates the requisite knowledge and experience to administer and oversee the Compliance Program. The Compliance Officer’s duties and responsibilities shall be clearly defined in the Compliance Program, which at a minimum shall include the obligation that all new Program proposals, Program enhancements and Customer Disclosures be reviewed and approved by the Compliance Officer or a qualified member of the Compliance Officer’s staff </w:t>
      </w: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1970"/>
                <wp:effectExtent l="0" t="0" r="0" b="0"/>
                <wp:wrapNone/>
                <wp:docPr id="184" name="Frame18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submission to the Bank for Bank’s review and approval. The Compliance Program shall also grant the Compliance Officer sufficient authority and independence to cross departmental lines, have access to all areas of the company’s operations, and effect corrective action. The Compliance Officer shall be provided with ongoing training, as well as sufficient time and adequate resources to perform the job function. The Compliance Officer shall be responsible for providing periodic presentations to the Bank regarding the results of the internal Compliance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Program Training</w:t>
      </w:r>
      <w:r>
        <w:rPr>
          <w:rFonts w:ascii="Times New Roman;serif" w:hAnsi="Times New Roman;serif"/>
          <w:b w:val="false"/>
          <w:color w:val="000000"/>
          <w:sz w:val="24"/>
        </w:rPr>
        <w:t>. The Client shall ensure that Client’s Compliance Program provides for the establishment and implementation of an effective training program for appropriate personnel that includes regular, specific, comprehensive training on applicable Consumer Protection Laws for employees having responsibilities that relate to Consumer Protection Laws, including those individuals who are involved in the marketing, promotion, implementation of a Program, as well as all senior management. Client shall also be responsible for providing Program training to Subcontractors of Client who are involved in the marketing, promotion, implementation, or servicing Programs. In all cases, unless otherwise agreed, the costs of such training shall be borne by Client.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(d)    As between Bank and Client, Client will report as the payor of any promotional award amounts as interest or miscellaneous income (as determined by Chime in their reasonable discretion) to the payee in accordance with IRC §§ 6049 and 6041(“</w:t>
      </w:r>
      <w:r>
        <w:rPr>
          <w:rFonts w:ascii="Times New Roman;serif" w:hAnsi="Times New Roman;serif"/>
          <w:b/>
          <w:color w:val="000000"/>
          <w:sz w:val="24"/>
        </w:rPr>
        <w:t>Tax Reporting Requirements</w:t>
      </w:r>
      <w:r>
        <w:rPr>
          <w:color w:val="000000"/>
        </w:rPr>
        <w:t>”</w:t>
      </w:r>
      <w:r>
        <w:rPr>
          <w:rFonts w:ascii="Times New Roman;serif" w:hAnsi="Times New Roman;serif"/>
          <w:b w:val="false"/>
          <w:color w:val="000000"/>
          <w:sz w:val="24"/>
        </w:rPr>
        <w:t>). Bank agrees to work with Client to facilitate such Tax Reporting on behalf of, and as directed by Client, for tax year 2023 and any subsequent years as may be mutually agreed upon by the Parties. Notwithstanding the foregoing, the Parties understand and agree that in order for Client to comply with the Tax Reporting Requirements, the Parties must first agree on process and resourcing associated with such Tax Reporting Requirements, and that the Parties will work in good faith to come to an understanding regarding such process and resourcing. The Parties acknowledge and agree that a failure by the Parties to understand process and resourcing associated with such Tax Reporting Requirements for the tax year 2023 shall not be a breach of this Agreement which triggers a termination right for either Party, and that Bank shall continue to perform Tax Reporting obligations in accordance with the processes in place as of the Effective Date.</w:t>
      </w:r>
    </w:p>
    <w:p>
      <w:pPr>
        <w:pStyle w:val="TextBody"/>
        <w:bidi w:val="0"/>
        <w:spacing w:lineRule="auto" w:line="319" w:before="0" w:after="240"/>
        <w:jc w:val="both"/>
        <w:rPr/>
      </w:pPr>
      <w:r>
        <w:rPr>
          <w:rFonts w:ascii="Times New Roman;serif" w:hAnsi="Times New Roman;serif"/>
          <w:b w:val="false"/>
          <w:color w:val="000000"/>
          <w:sz w:val="24"/>
        </w:rPr>
        <w:t>3.12    </w:t>
      </w:r>
      <w:r>
        <w:rPr>
          <w:rFonts w:ascii="Times New Roman;serif" w:hAnsi="Times New Roman;serif"/>
          <w:b w:val="false"/>
          <w:color w:val="000000"/>
          <w:sz w:val="24"/>
          <w:u w:val="single"/>
        </w:rPr>
        <w:t>Data Security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shall be compliant with the Payment Card Industry Data Security Standards (“</w:t>
      </w:r>
      <w:r>
        <w:rPr>
          <w:rFonts w:ascii="Times New Roman;serif" w:hAnsi="Times New Roman;serif"/>
          <w:b/>
          <w:color w:val="000000"/>
          <w:sz w:val="24"/>
        </w:rPr>
        <w:t>PCI-DSS</w:t>
      </w:r>
      <w:r>
        <w:rPr>
          <w:color w:val="000000"/>
        </w:rPr>
        <w:t>”</w:t>
      </w:r>
      <w:r>
        <w:rPr>
          <w:rFonts w:ascii="Times New Roman;serif" w:hAnsi="Times New Roman;serif"/>
          <w:b w:val="false"/>
          <w:color w:val="000000"/>
          <w:sz w:val="24"/>
        </w:rPr>
        <w:t>), if applicable to Client and as interpreted and applied by Bank in its sole discretion, including the appropriate level within the PCI-DSS covering Client’s operations.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before="0" w:after="0"/>
        <w:jc w:val="center"/>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21970"/>
                <wp:effectExtent l="0" t="0" r="0" b="0"/>
                <wp:wrapNone/>
                <wp:docPr id="185" name="Frame18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shall employ appropriate measures designed to meet the objectives of the security and confidentiality guidelines of Data Security and Privacy Laws, including, but not limited to, the implementation of appropriate policies, procedures, and other measures designed to protect against unauthorized access to or use of Customer information maintained by Client that </w:t>
      </w: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21970"/>
                <wp:effectExtent l="0" t="0" r="0" b="0"/>
                <wp:wrapNone/>
                <wp:docPr id="186" name="Frame18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could result in substantial harm or inconvenience to any Customer and the proper disposal of Customer information. Client shall further develop and maintain a response program in accordance with Data Security and Privacy Laws that shall take appropriate actions to address incidents of unauthorized access to Customer or other information, including notification to Bank and Customers as soon as possible following any such incident. Client shall further ensure that any Subcontractor having access to Customer information shall maintain similar security measures and response programs.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Bank approves Client’s engagement of a Subcontractor to perform any of its Duties and such Subcontractor has access to or handles, transmits, possesses or stores Nonpublic Personal Information or data subject to PCI-DSS, then Client will (in addition to any other requirements set forth in this Agreement or mandated by Bank at a later date) have a written agreement with such Subcontractor that includes an acknowledgement by the Subcontractor that it is responsible for and will comply with all Applicable Law regarding the security of Nonpublic Personal Information and PCI-DSS information the Subcontractor possesses or otherwise stores, processes or transmits. Additionally, for PCI-DSS applicable Programs, Client will (i) contractually require that such Subcontractor is compliant with PCI-DSS at the appropriate level with PCI-DSS covering the Subcontractor’s operations and role, and (ii) contractually require that the Subcontractor will be assessed annually for compliance with PCI-DSS by an approved QSA and that a copy of the PCI-DSS report shall be provided to Bank upon completion of the assessment.</w:t>
      </w:r>
    </w:p>
    <w:p>
      <w:pPr>
        <w:pStyle w:val="TextBody"/>
        <w:bidi w:val="0"/>
        <w:spacing w:lineRule="auto" w:line="319" w:before="0" w:after="240"/>
        <w:jc w:val="both"/>
        <w:rPr/>
      </w:pPr>
      <w:r>
        <w:rPr>
          <w:rFonts w:ascii="Times New Roman;serif" w:hAnsi="Times New Roman;serif"/>
          <w:b w:val="false"/>
          <w:color w:val="000000"/>
          <w:sz w:val="24"/>
        </w:rPr>
        <w:t>3.13    </w:t>
      </w:r>
      <w:r>
        <w:rPr>
          <w:rFonts w:ascii="Times New Roman;serif" w:hAnsi="Times New Roman;serif"/>
          <w:b w:val="false"/>
          <w:color w:val="000000"/>
          <w:sz w:val="24"/>
          <w:u w:val="single"/>
        </w:rPr>
        <w:t>Digital Content Accessibility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and any Addendum shall be in conformance with the</w:t>
      </w:r>
      <w:r>
        <w:rPr>
          <w:color w:val="1D1D1D"/>
        </w:rPr>
        <w:t xml:space="preserve"> </w:t>
      </w:r>
      <w:r>
        <w:rPr>
          <w:rFonts w:ascii="Times New Roman;serif" w:hAnsi="Times New Roman;serif"/>
          <w:b w:val="false"/>
          <w:color w:val="1D1D1D"/>
          <w:sz w:val="24"/>
        </w:rPr>
        <w:t>World Wide Web Consortium’s (W3C)</w:t>
      </w:r>
      <w:r>
        <w:rPr>
          <w:color w:val="000000"/>
        </w:rPr>
        <w:t xml:space="preserve"> </w:t>
      </w:r>
      <w:r>
        <w:rPr>
          <w:rFonts w:ascii="Times New Roman;serif" w:hAnsi="Times New Roman;serif"/>
          <w:b w:val="false"/>
          <w:color w:val="000000"/>
          <w:sz w:val="24"/>
        </w:rPr>
        <w:t>Digital Content Accessibility Standards (“</w:t>
      </w:r>
      <w:r>
        <w:rPr>
          <w:rFonts w:ascii="Times New Roman;serif" w:hAnsi="Times New Roman;serif"/>
          <w:b/>
          <w:color w:val="000000"/>
          <w:sz w:val="24"/>
        </w:rPr>
        <w:t>WCAG</w:t>
      </w:r>
      <w:r>
        <w:rPr>
          <w:color w:val="000000"/>
        </w:rPr>
        <w:t>”</w:t>
      </w:r>
      <w:r>
        <w:rPr>
          <w:rFonts w:ascii="Times New Roman;serif" w:hAnsi="Times New Roman;serif"/>
          <w:b w:val="false"/>
          <w:color w:val="000000"/>
          <w:sz w:val="24"/>
        </w:rPr>
        <w:t>), as may be updated from time to time, if applicable to Client and as interpreted and applied by Bank in its sole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effective communication and access to electronic and information communication technology resources for individuals with disabilities including: (1) delivery of all applicable services and products in compliance with Web Content Accessibility Guidelines 2.0, Level AA or Section 508 Standards for Electronic and Information Technology as applicable); (2) upon request, provide Bank with its accessibility testing results and written documentation verifying accessibility; (3) promptly respond to and resolve accessibility complaints; and (4) indemnify and hold Bank harmless in the event of claims arising from inaccessibility.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implement appropriate policies, procedures, and other measures designed to ensure conformance with subsections (a) and (b), above.</w:t>
      </w:r>
    </w:p>
    <w:p>
      <w:pPr>
        <w:pStyle w:val="TextBody"/>
        <w:bidi w:val="0"/>
        <w:spacing w:lineRule="auto" w:line="319" w:before="0" w:after="240"/>
        <w:jc w:val="both"/>
        <w:rPr/>
      </w:pPr>
      <w:r>
        <w:rPr>
          <w:rFonts w:ascii="Times New Roman;serif" w:hAnsi="Times New Roman;serif"/>
          <w:b w:val="false"/>
          <w:color w:val="000000"/>
          <w:sz w:val="24"/>
        </w:rPr>
        <w:t>3.14    </w:t>
      </w:r>
      <w:r>
        <w:rPr>
          <w:rFonts w:ascii="Times New Roman;serif" w:hAnsi="Times New Roman;serif"/>
          <w:b w:val="false"/>
          <w:color w:val="000000"/>
          <w:sz w:val="24"/>
          <w:u w:val="single"/>
        </w:rPr>
        <w:t>Subcontractors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1970"/>
                <wp:effectExtent l="0" t="0" r="0" b="0"/>
                <wp:wrapNone/>
                <wp:docPr id="187" name="Frame18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will not, without Bank’s prior written consent, outsource or otherwise subcontract with Subcontractors for the provision of any of its duties under this Agreement. Bank shall have the right to conduct Due Diligence on all proposed Subcontractors at its sole discretion prior to granting such written approval. Bank’s review and approval shall not be unreasonably </w:t>
      </w:r>
    </w:p>
    <w:p>
      <w:pPr>
        <w:pStyle w:val="TextBody"/>
        <w:bidi w:val="0"/>
        <w:spacing w:before="0" w:after="0"/>
        <w:jc w:val="center"/>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1970"/>
                <wp:effectExtent l="0" t="0" r="0" b="0"/>
                <wp:wrapNone/>
                <wp:docPr id="188" name="Frame18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withheld or delayed. Any such consent to or approval of a Subcontractor shall not release Client of its obligations to Bank under this Agreement, and Client shall remain fully liable to Bank for any breach of this Agreement caused by a Subcontractor.</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coordinate with Bank in performing periodic Due Diligence regarding any Bank-approved Subcontractor contracted with Client. Client shall periodically contact, and will, if necessary, meet personally with Subcontractors to discuss any performance and operations issues. Client will provide Bank with reports regarding its ongoing monitoring as Bank may reasonably request.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comply with and perform its obligations under any ancillary agreement or agreements with Bank or any Subcontractor, including but not limited to any Processor, which is now or in the future will be executed in connection with any Program offered pursuant hereto.</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promptly deliver to Bank complete and correct copies of all of the items the Bank requires to perform its ongoing Due Diligence review of Subcontractors, and in any case within thirty (30) days of Bank’s request at any time during the Term of this Agreement. Client’s information furnished to Bank, subject to any limitation stated therein, will fairly represent the financial condition, operations and data security controls of the Subcontractor at the time the same are furnished,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ind w:left="0" w:right="0" w:firstLine="720"/>
        <w:jc w:val="both"/>
        <w:rPr/>
      </w:pPr>
      <w:r>
        <w:rPr>
          <w:rFonts w:ascii="Times New Roman;serif" w:hAnsi="Times New Roman;serif"/>
          <w:b w:val="false"/>
          <w:color w:val="000000"/>
          <w:sz w:val="24"/>
        </w:rPr>
        <w:t>(e)    Bank and Client agree to continue to work together in good faith to review and refine the Subcontractor and customer service provider onboarding process for such Subcontractors and customer service providers that require Bank review and approval. For the avoidance of doubt, and notwithstanding the foregoing, Client and Bank have developed mutually agreed upon timelines for Bank’s approval of certain Subcontractors or customer service providers as set forth in the Program Service Level Addendum (“</w:t>
      </w:r>
      <w:r>
        <w:rPr>
          <w:rFonts w:ascii="Times New Roman;serif" w:hAnsi="Times New Roman;serif"/>
          <w:b/>
          <w:color w:val="000000"/>
          <w:sz w:val="24"/>
        </w:rPr>
        <w:t>Program SLAs</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agreement between the Parties and documented by individuals authorized to make such modifications.</w:t>
      </w:r>
    </w:p>
    <w:p>
      <w:pPr>
        <w:pStyle w:val="TextBody"/>
        <w:bidi w:val="0"/>
        <w:spacing w:lineRule="auto" w:line="333" w:before="0" w:after="240"/>
        <w:jc w:val="both"/>
        <w:rPr/>
      </w:pPr>
      <w:r>
        <w:rPr>
          <w:rFonts w:ascii="Times New Roman;serif" w:hAnsi="Times New Roman;serif"/>
          <w:b w:val="false"/>
          <w:color w:val="000000"/>
          <w:sz w:val="24"/>
        </w:rPr>
        <w:t>3.15    </w:t>
      </w:r>
      <w:r>
        <w:rPr>
          <w:rFonts w:ascii="Times New Roman;serif" w:hAnsi="Times New Roman;serif"/>
          <w:b w:val="false"/>
          <w:color w:val="000000"/>
          <w:sz w:val="24"/>
          <w:u w:val="single"/>
        </w:rPr>
        <w:t>Model Risk Management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Where the Client utilizes a model as defined by OCC Bulletin 2011-12, “Sound Practices for Model Risk Management: Supervisory Guidance on Model Risk Management” to provide Bank sponsored Programs, the following apply: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Client shall maintain a documented Model Risk Management (“</w:t>
      </w:r>
      <w:r>
        <w:rPr>
          <w:rFonts w:ascii="Times New Roman;serif" w:hAnsi="Times New Roman;serif"/>
          <w:b/>
          <w:color w:val="000000"/>
          <w:sz w:val="24"/>
        </w:rPr>
        <w:t>MRM</w:t>
      </w:r>
      <w:r>
        <w:rPr>
          <w:color w:val="000000"/>
        </w:rPr>
        <w:t>”</w:t>
      </w:r>
      <w:r>
        <w:rPr>
          <w:rFonts w:ascii="Times New Roman;serif" w:hAnsi="Times New Roman;serif"/>
          <w:b w:val="false"/>
          <w:color w:val="000000"/>
          <w:sz w:val="24"/>
        </w:rPr>
        <w:t xml:space="preserve">) Policy and program that assists Bank in adhering to its obligations relating to the oversight and </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21970"/>
                <wp:effectExtent l="0" t="0" r="0" b="0"/>
                <wp:wrapNone/>
                <wp:docPr id="189" name="Frame18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management of risks related to the use of third-party models as outlined in the “Third Party Model and Data” section within the OCC Comptroller’s Handbook for Model Risk Management (Version 1.0, August 2021), as may be amended from time to time. Client will provide all current copies of the MRM Policy to the Bank.</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21970"/>
                <wp:effectExtent l="0" t="0" r="0" b="0"/>
                <wp:wrapNone/>
                <wp:docPr id="190" name="Frame18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Client must obtain Bank approval prior to utilizing or modifying a model to support any products which utilize any balance sheet activity provided by Bank as outlined in Schedule 6 of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or as may be directed by any Regulatory Authority (each, a “</w:t>
      </w:r>
      <w:r>
        <w:rPr>
          <w:rFonts w:ascii="Times New Roman;serif" w:hAnsi="Times New Roman;serif"/>
          <w:b/>
          <w:color w:val="000000"/>
          <w:sz w:val="24"/>
        </w:rPr>
        <w:t>Qualified MRM Product</w:t>
      </w:r>
      <w:r>
        <w:rPr>
          <w:color w:val="000000"/>
        </w:rPr>
        <w:t>”</w:t>
      </w:r>
      <w:r>
        <w:rPr>
          <w:rFonts w:ascii="Times New Roman;serif" w:hAnsi="Times New Roman;serif"/>
          <w:b w:val="false"/>
          <w:color w:val="000000"/>
          <w:sz w:val="24"/>
        </w:rPr>
        <w:t>). Such approval shall not be unduly withheld by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promptly deliver to Bank complete and correct copies of all of the items the Bank requires to perform its own initial and ongoing Due Diligence review of the model and respond to regulator inquiries.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that to the extent that Bank determines that a model validation is required as it relates to Qualified MRM Products, Bank shall select, and Client shall approve (approval not to be unreasonably withheld) an independent third party to complete the model validation. Bank shall retain final decision and authority regarding the scope of the model validation, as well as receive copies of all validation results and Client shall be responsible for all expenses associated with the independent validation of models.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lineRule="auto" w:line="319" w:before="0" w:after="240"/>
        <w:jc w:val="both"/>
        <w:rPr/>
      </w:pPr>
      <w:r>
        <w:rPr>
          <w:rFonts w:ascii="Times New Roman;serif" w:hAnsi="Times New Roman;serif"/>
          <w:b w:val="false"/>
          <w:color w:val="000000"/>
          <w:sz w:val="24"/>
        </w:rPr>
        <w:t>3.19    </w:t>
      </w:r>
      <w:r>
        <w:rPr>
          <w:rFonts w:ascii="Times New Roman;serif" w:hAnsi="Times New Roman;serif"/>
          <w:b w:val="false"/>
          <w:color w:val="000000"/>
          <w:sz w:val="24"/>
          <w:u w:val="single"/>
        </w:rPr>
        <w:t>Fair and Responsible Banking Services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Fair and Responsible Banking Services policy that address making Designated Products, 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 Fair Credit Reporting Act (FCRA), and the prohibition on Unfair, Deceptive, or Abusive Acts or Practices (UDAAP).</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Fair and Responsible Banking Services training for new employees as well as periodic training, at least annually, for all employees who have involvement in product creation, management and servicing of Designated Products.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Risk assessment and testing that evaluates risks and provides appropriate oversight throughout each stage of the product life cycle of Designated Products.</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21970"/>
                <wp:effectExtent l="0" t="0" r="0" b="0"/>
                <wp:wrapNone/>
                <wp:docPr id="191" name="Frame18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Bank shall select and Client shall approve (approval not to be unreasonably withheld), if Bank deems necessary, based on Client’s use of a model (as defined by OCC Bulletin 2011-12), traditional underwriting standards, and/ or a decision tree, whether or not defined as </w:t>
      </w:r>
    </w:p>
    <w:p>
      <w:pPr>
        <w:pStyle w:val="TextBody"/>
        <w:bidi w:val="0"/>
        <w:spacing w:before="0" w:after="0"/>
        <w:jc w:val="center"/>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21970"/>
                <wp:effectExtent l="0" t="0" r="0" b="0"/>
                <wp:wrapNone/>
                <wp:docPr id="192" name="Frame19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model; third-party consultant, assessor, or qualified individual (a “Consultant”), to complete a fair lending analysis that includes statistical analysis (including regression testing, if appropriate) or other industry appropriate analyses to evaluate potential disparate impact on a traditionally protected class. Client shall provide to Consultant any information reasonably requested to complete such review and Client shall be responsible for all expenses associated with the analysis described herein.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For purposes of this Agreement, the term “Designated Products” shall include, without limitation, Credit Builder, SpotMe, My Paycheck,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shall provide all current copies of the Fair and Responsible Banking Services risk management program to the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Bank shall share with Client the results of Consultant’s statistical analysis/regression testing for review, discussion and, if necessary, issue remediation.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Client must work with Bank to resolve identified deficiencies in a timeframe and manner collectively determined with the Bank or such shorter period as may be directed by a Regulatory Authority.</w:t>
      </w:r>
    </w:p>
    <w:p>
      <w:pPr>
        <w:pStyle w:val="TextBody"/>
        <w:bidi w:val="0"/>
        <w:spacing w:lineRule="auto" w:line="333" w:before="0" w:after="240"/>
        <w:jc w:val="both"/>
        <w:rPr/>
      </w:pPr>
      <w:r>
        <w:rPr>
          <w:rFonts w:ascii="Times New Roman;serif" w:hAnsi="Times New Roman;serif"/>
          <w:b w:val="false"/>
          <w:color w:val="000000"/>
          <w:sz w:val="24"/>
        </w:rPr>
        <w:t>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Effective Date, Client shall provide Bank, on a mutually agreed upon cadence, with a reasonable, good faith [***] forecast, of projected Program volumes for such following [***] period (a “Program Volume Forecast”), and Client shall use commercially reasonable efforts to market the Programs to achieve the Program Volume Forecast.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CLIENT REPRESENTATIONS, WARRANTIES, AND COVENANTS</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Client represents and warrants to Bank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Client in accordance with its terms, except as such enforceability may be limited by laws governing creditors’ rights and general principles of equity.</w:t>
      </w:r>
    </w:p>
    <w:p>
      <w:pPr>
        <w:pStyle w:val="TextBody"/>
        <w:bidi w:val="0"/>
        <w:spacing w:before="0" w:after="0"/>
        <w:jc w:val="center"/>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1970"/>
                <wp:effectExtent l="0" t="0" r="0" b="0"/>
                <wp:wrapNone/>
                <wp:docPr id="193" name="Frame19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Nationally-Chartered bank, is validly existing and in good standing,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21970"/>
                <wp:effectExtent l="0" t="0" r="0" b="0"/>
                <wp:wrapNone/>
                <wp:docPr id="194" name="Frame19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has the full power and authority to execute and deliver this Agreement and to perform all its obligations under this Agreement. The provisions of this Agreement and the performance by Client of its obligations under this Agreement are not in conflict with Client’s Articles of Incorporation, bylaws or any other agreement, contract, lease or obligation to which Client is a party or by which it is bound.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Neither Client nor any Principal of Client has been subject to the following:</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Criminal conviction (except minor traffic offenses and other petty offenses) in the United States of America or in any foreign country;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Federal or state tax lien, or any foreign tax lien;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Administrative or enforcement proceedings commenced by the Securities and Exchange Commission, any state securities regulatory authority, Federal Trade commission, federal or state bank regulator, or any other state or federal Regulatory Authority in the United States or in any other country; or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Restraining order, decree, injunction, or judgment in any proceeding or lawsuit, alleging fraud or deceptive practice on the part of Client or any Principal thereof.</w:t>
      </w:r>
    </w:p>
    <w:p>
      <w:pPr>
        <w:pStyle w:val="TextBody"/>
        <w:bidi w:val="0"/>
        <w:spacing w:lineRule="auto" w:line="333" w:before="0" w:after="240"/>
        <w:jc w:val="both"/>
        <w:rPr/>
      </w:pPr>
      <w:r>
        <w:rPr>
          <w:rFonts w:ascii="Times New Roman;serif" w:hAnsi="Times New Roman;serif"/>
          <w:b w:val="false"/>
          <w:color w:val="000000"/>
          <w:sz w:val="24"/>
        </w:rPr>
        <w:t>For this subsection (d), the word “</w:t>
      </w:r>
      <w:r>
        <w:rPr>
          <w:rFonts w:ascii="Times New Roman;serif" w:hAnsi="Times New Roman;serif"/>
          <w:b/>
          <w:color w:val="000000"/>
          <w:sz w:val="24"/>
        </w:rPr>
        <w:t>Principal</w:t>
      </w:r>
      <w:r>
        <w:rPr>
          <w:color w:val="000000"/>
        </w:rPr>
        <w:t xml:space="preserve">” </w:t>
      </w:r>
      <w:r>
        <w:rPr>
          <w:rFonts w:ascii="Times New Roman;serif" w:hAnsi="Times New Roman;serif"/>
          <w:b w:val="false"/>
          <w:color w:val="000000"/>
          <w:sz w:val="24"/>
        </w:rPr>
        <w:t>shall include any person directly or indirectly owning ten percent (10%) or more of Client, any officer or director of Client, or any person actively participating in the control of Client’s business.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There is not pending or threatened against Client any litigation or proceeding, the outcome of which might materially adversely affect the continuing operations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has delivered to Bank complete and correct copies of all of the items the Bank requires to perform its initial and ongoing Due Diligence review of Client. Client’s information, subject to any limitation stated therein, which have been or which hereafter will be furnished to Bank to induce it to enter into this Agreement do or will fairly represent the financial condition, operations and data security controls of the Client,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Covenants</w:t>
      </w:r>
      <w:r>
        <w:rPr>
          <w:rFonts w:ascii="Times New Roman;serif" w:hAnsi="Times New Roman;serif"/>
          <w:b w:val="false"/>
          <w:color w:val="000000"/>
          <w:sz w:val="24"/>
        </w:rPr>
        <w:t>. Client covenants and agrees with Bank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21970"/>
                <wp:effectExtent l="0" t="0" r="0" b="0"/>
                <wp:wrapNone/>
                <wp:docPr id="195" name="Frame19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is and will at all times continue to perform its obligations under this Agreement in compliance with all Applicable Laws, the Rules, and any rules, orders and regulations issued by any Regulatory Authority that apply to the matters and transactions contemplated by this Agreement (except to the extent Bank has expressly agreed to undertake compliance obligations under this Agreement). To the extent permitted by Applicable Law and any Regulatory Authority, Client will be responsible for all fines and penalties assessed by any </w:t>
      </w: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21970"/>
                <wp:effectExtent l="0" t="0" r="0" b="0"/>
                <wp:wrapNone/>
                <wp:docPr id="196" name="Frame19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Regulatory Authority due to Client’s actions, inactions or omissions, but only to the extent such fines or penalties were not the result of any action or inaction by Bank.</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has received an electronic copy of the applicable Network Rules, which may be amended by the Network from time to time and shall ensure that any employees, agents, third party sellers and vendors who may be involved in the distribution or management of the Debit Card aspects of the Program receive the same.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own or will obtain and at all times maintain appropriate licenses to, any and all intellectual property affecting any aspect of the Program contemplated by this Agreement, including all trademarks, copyrights, software and patents.</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ensure that any Solicitation Material, Account Agreement, marketing methods, or other aspects of the Program will not violate any intellectual property rights of any third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will promptly give written notice to Bank of any event which would reasonably be expected to have a materially adverse effect on the continuing operations of Client and any pending material litigation and other material proceedings before governmental bodies or officials directly involving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As soon as possible, and in any event within one hundred twenty (120) days after the end of Client’s fiscal year, commencing January 1, 2024, and within one hundred twenty (120) days of the end of each fiscal year thereafter, Client will provide Bank such information as Bank may reasonably request to perform an annual due diligence review to confirm Client’s compliance with the terms of this Agreement, in accordance with the guidelines established by the Bank’s management and Board of Directors. Additionally, Client agrees to provide Bank with such information on a more frequent and periodic basis as Bank may reasonably require.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Client will not, without Bank’s prior written consent, alter or amend any Account Agreement, Solicitation Material, marketing methods, or other terms of any Account Program, except as otherwise provided in this Agreement; provided, however, this Section 4.2(g) shall not apply to non-material grammatical, ministerial, or punctuation edits.</w:t>
      </w:r>
    </w:p>
    <w:p>
      <w:pPr>
        <w:pStyle w:val="TextBody"/>
        <w:bidi w:val="0"/>
        <w:spacing w:lineRule="auto" w:line="307" w:before="0" w:after="240"/>
        <w:ind w:left="0" w:right="0" w:firstLine="720"/>
        <w:jc w:val="both"/>
        <w:rPr/>
      </w:pPr>
      <w:r>
        <w:rPr>
          <w:rFonts w:ascii="Times New Roman;serif" w:hAnsi="Times New Roman;serif"/>
          <w:b w:val="false"/>
          <w:color w:val="000000"/>
          <w:sz w:val="24"/>
        </w:rPr>
        <w:t>(h)    To the extent that the Payment Card Industry Data Security- Standards (“PCI-DSS”) applies to Client, Client agrees that its operations relating to its obligations under this Agreement shall be compliant with the PCI-DSS. Beginning on the date that PCI-DSS becomes applicable to Client,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Client will not, without Bank’s prior written consent, outsource or otherwise subcontract with third parties for the provision of Client’s Duties under this Agreement. </w:t>
      </w:r>
    </w:p>
    <w:p>
      <w:pPr>
        <w:pStyle w:val="TextBody"/>
        <w:bidi w:val="0"/>
        <w:spacing w:before="0" w:after="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21970"/>
                <wp:effectExtent l="0" t="0" r="0" b="0"/>
                <wp:wrapNone/>
                <wp:docPr id="197" name="Frame19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color w:val="000000"/>
        </w:rPr>
      </w:pPr>
      <w:r>
        <w:rPr>
          <w:color w:val="000000"/>
        </w:rPr>
        <w:t>“</w:t>
      </w:r>
      <w:r>
        <w:rPr>
          <w:rFonts w:ascii="Times New Roman;serif" w:hAnsi="Times New Roman;serif"/>
          <w:b w:val="false"/>
          <w:color w:val="000000"/>
          <w:sz w:val="24"/>
        </w:rPr>
        <w:t xml:space="preserve">Duties” means those material obligations Client has agreed to undertake pursuant to the Agreement, the failure of which by Client or a third party to perform would reasonably be expected to result in Customer or non-Customer complaints, and shall include, but not be limited to, obligations related to customer service, dispute resolution and Processing Services. Bank shall have the right to </w:t>
      </w:r>
    </w:p>
    <w:p>
      <w:pPr>
        <w:pStyle w:val="TextBody"/>
        <w:bidi w:val="0"/>
        <w:spacing w:before="0" w:after="0"/>
        <w:jc w:val="center"/>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21970"/>
                <wp:effectExtent l="0" t="0" r="0" b="0"/>
                <wp:wrapNone/>
                <wp:docPr id="198" name="Frame19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conduct due diligence on all proposed subcontractors or other third-party service providers that Client selects to perform its Duties at Bank’s sole discretion prior to granting such written approval, with such approval not to be unreasonably withheld or delayed. However, any such consent of subcontracting of Duties shall not release Client of its obligations to Bank under this Agreement and Client shall remain fully liable to Bank for any breach of the Agreement caused by a subcontractor. If Bank approves Client’s engagement of a third party service provider to perform any of Client’s Duties and such third party has access to or handles, transmits, possesses or stores Customer data or information, then Client shall ensure (in addition to any other requirements set forth in the Agreement) that: (i) Client has a written agreement with such third party that acknowledges that the third party is responsible for the security of Customer data the third party possesses or otherwise stores, processes or transmits on behalf of Customers, (ii) contractually require such third party to be compliant with PCI-DSS at the appropriate level with PCI-DSS covering the third party ‘s operations and role to the extent that PCI-DSS is applicable to such third-party, (iii) contractually require that, to the extent that PCI-DSS is applicable to such third-party, the third party will be assessed annually for compliance with PCI-DSS by a qualified security assessor approved by the PCI Security Standards Council (a “QSA”) and that a copy of the PCI-DSS Report on Compliance shall be provided to Bank upon completion of the assessment. In the event that Client’s agreements with third parties are not in compliance with the PCI-DSS-related requirements of this Section 4.2(i), Client shall have [***] following the Effective Date to amend such agreements to comply with this Section 4.2(i). For the avoidance of doubt, Client shall not be deemed in breach for noncompliance with the PCI-DSS-related requirements of this Section 4.2(i) for a period of [***] from the Effective Date.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Client agrees that any government entity with regulatory or supervisory authority over Bank (collectively the “Auditing Party”), shall have the right to inspect, audit, and examine all of Client’s facilities, records and personnel relating to the Program at any time during normal business hours upon reasonable notice. If required pursuant to the supervisory authority over Bank of the Auditing Party, the Auditing Party shall have the right to make abstracts from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Client shall promptly deliver to Bank complete and correct copies of all of the items the Bank reasonably requires to perform its ongoing due diligence review, and in any case within thirty (30) days of Bank’s request at any time during the term of this Agreement; provided, however, that Bank shall make commercially reasonably efforts consistent with Applicable Law, rules and regulations, to limit the burden of such requests on Client. Client’s information furnished to Bank, subject to any limitation stated therein, will fairly represent the financial condition, operations and data security controls of the Client at the time the same are </w:t>
      </w:r>
    </w:p>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21970"/>
                <wp:effectExtent l="0" t="0" r="0" b="0"/>
                <wp:wrapNone/>
                <wp:docPr id="199" name="Frame19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furnished, and all other information, reports and other papers furnished Bank will be, at the time the same are furnished, accurate and complete in all material respects and complete insofar as completeness may be reasonably necessary to give Bank a true and accurate knowledge of the subject matter.</w:t>
      </w:r>
    </w:p>
    <w:p>
      <w:pPr>
        <w:pStyle w:val="TextBody"/>
        <w:bidi w:val="0"/>
        <w:spacing w:before="0" w:after="0"/>
        <w:jc w:val="center"/>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21970"/>
                <wp:effectExtent l="0" t="0" r="0" b="0"/>
                <wp:wrapNone/>
                <wp:docPr id="200" name="Frame19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Client agrees that it shall promptly respond to and remedy any deficiencies or incorporate any recommendations identified in any audit conducted in accordance with Section 3.10, Section 4.2(j) or ongoing due diligence conducted by Bank in accordance with Section 4.2(k).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Client shall employ appropriate measures designed to meet the objectives of the security and confidentiality guidelines of the federal banking agencies’ Interagency Guidelines Establishing Standards for Safeguarding Consumer Information and the Interagency Guidelines Establishing Information Security Standards including, but not limited to, the implementation of appropriate policies, procedures, and other measures designed to protect against unauthorized access to or use of customer information maintained by Client that could result in substantial harm or inconvenience to any Customer and the proper disposal of Customer information. Client shall further develop and maintain a response program consistent with accepted industry and Regulatory Authority standards to address data security incidents, and Client shall take appropriate actions to address incidents of unauthorized access to Customer or other information, including notification to Bank and Customers promptly following discovery and confirmation of any such incident. Client shall further ensure that any third party service provider having access to customer information relating to Customer shall maintain similar security measures and response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Client shall, while this Agreement is in effect, prepare and maintain disaster recovery, business resumption, and contingency plans appropriate for the nature and scope of the Program, the activities of Client, and the obligations to be performed by Client hereunder. The plans shall be sufficient to enable Client to promptly resume the performance of its obligations hereunder in the event of a natural disaster, destruction of Client s facilities or operations, utility or communication failures, or similar interruption in the operations of Client or the operations of a third party which in turn materially affect the operations of Client. Client shall make available to Bank copies of all such disaster recovery, business resumption, and contingency plans and shall make available to Bank copies of any changes thereto. Client shall periodically test such disaster recovery, business resumption, and contingency plans as may be appropriate and prudent in light of the nature and scope of the activities and operations of Client and its obligations hereunder and shall promptly provide Bank with results of any such tests.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Client shall develop and implement an Identity Theft Prevention Program (the “IDTP”) designed to detect, prevent, and mitigate identity theft in connection with the Program. The IDTP shall be designed to comply with the provisions of 12 CFR 334.90-334.91, as well as the Interagency Guidelines on Identity Theft Detection, Prevention, and Mitigation set forth at Appendix J to 12 CFR Part 334 and Appendix J to 12 CFR Part 571. Client shall submit the proposed IDTP to Bank for its prior review and approval, which shall not be unreasonably delayed or withheld. Bank reserves the right, in its sole discretion, to refuse approval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21970"/>
                <wp:effectExtent l="0" t="0" r="0" b="0"/>
                <wp:wrapNone/>
                <wp:docPr id="201" name="Frame19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proposed IDTP, but solely on the grounds that, in Bank’s written legal opinion, the proposed IDTP is not in keeping with the Rules or is in violation of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Client shall obtain Bank’s prior written review and approval of any financial product marketed to Customers if the new financial product utilizes Bank’s Marks.</w:t>
      </w:r>
    </w:p>
    <w:p>
      <w:pPr>
        <w:pStyle w:val="TextBody"/>
        <w:bidi w:val="0"/>
        <w:spacing w:before="0" w:after="0"/>
        <w:jc w:val="center"/>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21970"/>
                <wp:effectExtent l="0" t="0" r="0" b="0"/>
                <wp:wrapNone/>
                <wp:docPr id="202" name="Frame20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DUTIES OF BANK</w:t>
      </w:r>
    </w:p>
    <w:p>
      <w:pPr>
        <w:pStyle w:val="TextBody"/>
        <w:bidi w:val="0"/>
        <w:spacing w:lineRule="auto" w:line="319" w:before="0" w:after="240"/>
        <w:jc w:val="both"/>
        <w:rPr/>
      </w:pPr>
      <w:r>
        <w:rPr>
          <w:rFonts w:ascii="Times New Roman;serif" w:hAnsi="Times New Roman;serif"/>
          <w:b w:val="false"/>
          <w:color w:val="000000"/>
          <w:sz w:val="24"/>
        </w:rPr>
        <w:t>5.0    </w:t>
      </w:r>
      <w:r>
        <w:rPr>
          <w:rFonts w:ascii="Times New Roman;serif" w:hAnsi="Times New Roman;serif"/>
          <w:b w:val="false"/>
          <w:color w:val="000000"/>
          <w:sz w:val="24"/>
          <w:u w:val="single"/>
        </w:rPr>
        <w:t>Marketing Certification Program</w:t>
      </w:r>
      <w:r>
        <w:rPr>
          <w:rFonts w:ascii="Times New Roman;serif" w:hAnsi="Times New Roman;serif"/>
          <w:b w:val="false"/>
          <w:color w:val="000000"/>
          <w:sz w:val="24"/>
        </w:rPr>
        <w:t xml:space="preserve">. Bank has developed and maintains a marketing certification program to provide Bank clients to pursue a streamlined Bank review process for Solicitation Materials (“Certification Program”). Client shall be permitted to participate provided that Client meets the qualification criteria to participate in the Certification Program, Bank shall not unreasonably decline Client’s participation in the Certification Program. For the avoidance of doubt, and notwithstanding the foregoing, Client and Bank are developing mutually agreed upon timelines for Bank’s approval of certain Solicitation Materials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Concept, Program Modification and Enhancement Approval</w:t>
      </w:r>
      <w:r>
        <w:rPr>
          <w:rFonts w:ascii="Times New Roman;serif" w:hAnsi="Times New Roman;serif"/>
          <w:b w:val="false"/>
          <w:color w:val="000000"/>
          <w:sz w:val="24"/>
        </w:rPr>
        <w:t xml:space="preserve">. Client and Bank have developed mutually agreed upon timelines for Bank’s approval of certain Program concepts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Other Program Process Modifications and Enhancement Approval Guidelines</w:t>
      </w:r>
      <w:r>
        <w:rPr>
          <w:rFonts w:ascii="Times New Roman;serif" w:hAnsi="Times New Roman;serif"/>
          <w:b w:val="false"/>
          <w:color w:val="000000"/>
          <w:sz w:val="24"/>
        </w:rPr>
        <w:t>. Bank and Client agree within a commercially reasonable time following the Effective Date of the Agreement to establish mutually agreed upon guidelines and standards under which Client may be allowed to implement upon written notice to Bank, but without prior approval, certain Program and process modifications and enhancements including recurring promotions, third party marketing partners and limited employee testing. Bank and Client agree guidelines will be developed, documented and be mutually agreed upon prior to any implementation.</w:t>
      </w:r>
    </w:p>
    <w:p>
      <w:pPr>
        <w:pStyle w:val="TextBody"/>
        <w:bidi w:val="0"/>
        <w:spacing w:lineRule="auto" w:line="319"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Certification and Administrative Fees</w:t>
      </w:r>
      <w:r>
        <w:rPr>
          <w:rFonts w:ascii="Times New Roman;serif" w:hAnsi="Times New Roman;serif"/>
          <w:b w:val="false"/>
          <w:color w:val="000000"/>
          <w:sz w:val="24"/>
        </w:rPr>
        <w:t>. Bank shall be responsible for any annual fees relating to Bank Memberships.</w:t>
      </w:r>
    </w:p>
    <w:p>
      <w:pPr>
        <w:pStyle w:val="TextBody"/>
        <w:bidi w:val="0"/>
        <w:spacing w:lineRule="auto" w:line="319"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Memberships in Networks</w:t>
      </w:r>
      <w:r>
        <w:rPr>
          <w:rFonts w:ascii="Times New Roman;serif" w:hAnsi="Times New Roman;serif"/>
          <w:b w:val="false"/>
          <w:color w:val="000000"/>
          <w:sz w:val="24"/>
        </w:rPr>
        <w:t>. Bank shall use its best efforts to obtain and maintain at its sole expense the required license with each applicable Network, and shall timely pay all normal fees, dues, and assessments associated therewith; provided, however, Client shall be responsible for paying Network fees as described in an Exhibit to the applicable Addendum. Any fees, fines, or charges assessed by any Network as a result of the failure of any aspect of the Program to comply with the Rules shall be the responsibility of Client. Bank shall retain its Membership in Network in good standing and shall abide in all material respects by all of the Network Rules applicable to Bank.</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Account Issuance</w:t>
      </w:r>
      <w:r>
        <w:rPr>
          <w:rFonts w:ascii="Times New Roman;serif" w:hAnsi="Times New Roman;serif"/>
          <w:b w:val="false"/>
          <w:color w:val="000000"/>
          <w:sz w:val="24"/>
        </w:rPr>
        <w:t xml:space="preserve">. Bank shall establish Accounts in accordance with this Agreement and subject to Applicable Law and Network Rules, with the understanding that the Accounts are, and shall at all times remain, the property of Bank. Nothing herein shall be interpreted to require </w:t>
      </w:r>
    </w:p>
    <w:p>
      <w:pPr>
        <w:pStyle w:val="TextBody"/>
        <w:bidi w:val="0"/>
        <w:spacing w:before="0" w:after="0"/>
        <w:jc w:val="center"/>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21970"/>
                <wp:effectExtent l="0" t="0" r="0" b="0"/>
                <wp:wrapNone/>
                <wp:docPr id="203" name="Frame20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to establish a certain number of Accounts and Bank shall have the right to terminate marketing and origination of new Accounts pursuant to the Rules or Bank’s safety and soundness; provided, however, the Bank and Client shall engage in good faith negotiations to attempt to resolve Bank’s concerns prior to the termination right set forth in this Section 5.5 becoming effective.</w:t>
      </w:r>
    </w:p>
    <w:p>
      <w:pPr>
        <w:pStyle w:val="TextBody"/>
        <w:bidi w:val="0"/>
        <w:spacing w:before="0" w:after="0"/>
        <w:jc w:val="center"/>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21970"/>
                <wp:effectExtent l="0" t="0" r="0" b="0"/>
                <wp:wrapNone/>
                <wp:docPr id="204" name="Frame20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Program Development</w:t>
      </w:r>
      <w:r>
        <w:rPr>
          <w:rFonts w:ascii="Times New Roman;serif" w:hAnsi="Times New Roman;serif"/>
          <w:b w:val="false"/>
          <w:color w:val="000000"/>
          <w:sz w:val="24"/>
        </w:rPr>
        <w:t>. Bank shall review and approve or disapprove any of Client’s proposed: (i) changes to the Account Agreement; (ii) new Account Agreement; (iii) Solicitation Materials; and (iv) and all other Client proposals, within 10 (10) business days, and in keeping with any service level agreements outlined in this Agreement or in any other agreement.</w:t>
      </w:r>
    </w:p>
    <w:p>
      <w:pPr>
        <w:pStyle w:val="TextBody"/>
        <w:bidi w:val="0"/>
        <w:spacing w:lineRule="auto" w:line="333" w:before="0" w:after="240"/>
        <w:jc w:val="both"/>
        <w:rPr/>
      </w:pPr>
      <w:r>
        <w:rPr>
          <w:rFonts w:ascii="Times New Roman;serif" w:hAnsi="Times New Roman;serif"/>
          <w:b w:val="false"/>
          <w:color w:val="000000"/>
          <w:sz w:val="24"/>
        </w:rPr>
        <w:t>5.7    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Bank, and Client as may be necessary, shall establish and maintain various Program Accounts.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purpose of such Program Accounts shall include receiving Customer Deposits to the Accounts holding Program Revenues, and facilitating Settlement of Transactions in connection with any Account Program approved by Bank under this Agreement, the Bank shall maintain in a fiduciary manner in a trust or custodial account associated with the Account Program all Deposit Amounts that have been deposited by Customers, the name of such Program Account shall indicate that the funds are being held for such purpose. The identities of each of the Customers for whose benefit such funds are being held shall be readily identifiable by Bank, either directly or through the Processor.</w:t>
      </w:r>
    </w:p>
    <w:p>
      <w:pPr>
        <w:pStyle w:val="TextBody"/>
        <w:bidi w:val="0"/>
        <w:spacing w:lineRule="auto" w:line="333" w:before="0" w:after="240"/>
        <w:jc w:val="both"/>
        <w:rPr/>
      </w:pPr>
      <w:r>
        <w:rPr>
          <w:rFonts w:ascii="Times New Roman;serif" w:hAnsi="Times New Roman;serif"/>
          <w:b w:val="false"/>
          <w:color w:val="000000"/>
          <w:sz w:val="24"/>
        </w:rPr>
        <w:t>5.8    </w:t>
      </w:r>
      <w:r>
        <w:rPr>
          <w:rFonts w:ascii="Times New Roman;serif" w:hAnsi="Times New Roman;serif"/>
          <w:b w:val="false"/>
          <w:color w:val="000000"/>
          <w:sz w:val="24"/>
          <w:u w:val="single"/>
        </w:rPr>
        <w:t>Notices</w:t>
      </w:r>
      <w:r>
        <w:rPr>
          <w:rFonts w:ascii="Times New Roman;serif" w:hAnsi="Times New Roman;serif"/>
          <w:b w:val="false"/>
          <w:color w:val="000000"/>
          <w:sz w:val="24"/>
        </w:rPr>
        <w:t>. To the extent permitted by Applicable Law, Bank shall deliver to Client a copy of all material notices of violation that it receives from any Network, or any party relating to this Agreement.</w:t>
      </w:r>
    </w:p>
    <w:p>
      <w:pPr>
        <w:pStyle w:val="TextBody"/>
        <w:bidi w:val="0"/>
        <w:spacing w:lineRule="auto" w:line="333" w:before="0" w:after="240"/>
        <w:jc w:val="both"/>
        <w:rPr/>
      </w:pPr>
      <w:r>
        <w:rPr>
          <w:rFonts w:ascii="Times New Roman;serif" w:hAnsi="Times New Roman;serif"/>
          <w:b w:val="false"/>
          <w:color w:val="000000"/>
          <w:sz w:val="24"/>
        </w:rPr>
        <w:t>5.9    </w:t>
      </w:r>
      <w:r>
        <w:rPr>
          <w:rFonts w:ascii="Times New Roman;serif" w:hAnsi="Times New Roman;serif"/>
          <w:b w:val="false"/>
          <w:color w:val="000000"/>
          <w:sz w:val="24"/>
          <w:u w:val="single"/>
        </w:rPr>
        <w:t>Changes to Rules Adopted by Bank</w:t>
      </w:r>
      <w:r>
        <w:rPr>
          <w:rFonts w:ascii="Times New Roman;serif" w:hAnsi="Times New Roman;serif"/>
          <w:b w:val="false"/>
          <w:color w:val="000000"/>
          <w:sz w:val="24"/>
        </w:rPr>
        <w:t>. Bank may adopt new Rules relating to the published policies and procedures of Bank or change existing Rules relating to the policies and procedures of Bank from time to time by giving thirty (30) days’ prior written notice to Client, provided that Client shall have a commercially reasonable amount of time to comply with any new Rules or changes to existing Rules.</w:t>
      </w:r>
    </w:p>
    <w:p>
      <w:pPr>
        <w:pStyle w:val="TextBody"/>
        <w:bidi w:val="0"/>
        <w:spacing w:lineRule="auto" w:line="333"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Reporting</w:t>
      </w:r>
      <w:r>
        <w:rPr>
          <w:rFonts w:ascii="Times New Roman;serif" w:hAnsi="Times New Roman;serif"/>
          <w:b w:val="false"/>
          <w:color w:val="000000"/>
          <w:sz w:val="24"/>
        </w:rPr>
        <w:t>. To the extent that such information is not privileged, or disclosure is not otherwise prohibited by Applicable Law, or a Regulatory Authority, Bank shall provide Client with reports on a quarterly basis that shall include the following as they relate to Bank’s operation of the Program or ability to perform its obligations under this Agreement: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Key risk, compliance, and fraud metrics that Bank currently reports on including, if applicable, summaries thereof;</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results of any internal or external risk and compliance reviews and audits related to the Programs, or any such reviews that could impact the Programs, including but not limited to reviews related to regulatory sanctions, security, privacy, business continuity and disaster recovery planning, third party risk, operational resilience, and any other risk or regulatory reviews in connection with the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number and nature of Customer complaints, Customer service calls, and other communications from Customers received by Bank in connection with the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21970"/>
                <wp:effectExtent l="0" t="0" r="0" b="0"/>
                <wp:wrapNone/>
                <wp:docPr id="205" name="Frame20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On a quarterly basis throughout the Term or as may otherwise be agreed upon by the Parties, the Parties agree to meet, to review various Bank financial metrics related to the Bank’s </w:t>
      </w:r>
    </w:p>
    <w:p>
      <w:pPr>
        <w:pStyle w:val="TextBody"/>
        <w:bidi w:val="0"/>
        <w:spacing w:before="0" w:after="0"/>
        <w:jc w:val="center"/>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21970"/>
                <wp:effectExtent l="0" t="0" r="0" b="0"/>
                <wp:wrapNone/>
                <wp:docPr id="206" name="Frame20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liquidity, capital, and credit that may have a material impact on Bank’s ability to support its obligations under this Agreement and any related Addendum.</w:t>
      </w:r>
    </w:p>
    <w:p>
      <w:pPr>
        <w:pStyle w:val="TextBody"/>
        <w:bidi w:val="0"/>
        <w:spacing w:lineRule="auto" w:line="319"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Escheat</w:t>
      </w:r>
      <w:r>
        <w:rPr>
          <w:rFonts w:ascii="Times New Roman;serif" w:hAnsi="Times New Roman;serif"/>
          <w:b w:val="false"/>
          <w:color w:val="000000"/>
          <w:sz w:val="24"/>
        </w:rPr>
        <w:t>. Bank shall facilitate escheatment reporting to the states as required by Applicable Law in connection with the Accounts. Bank shall be responsible for compliance with state unclaimed property laws as they relate to the Accounts.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5.11    </w:t>
      </w:r>
      <w:r>
        <w:rPr>
          <w:rFonts w:ascii="Times New Roman;serif" w:hAnsi="Times New Roman;serif"/>
          <w:b w:val="false"/>
          <w:color w:val="000000"/>
          <w:sz w:val="24"/>
          <w:u w:val="single"/>
        </w:rPr>
        <w:t>License</w:t>
      </w:r>
      <w:r>
        <w:rPr>
          <w:rFonts w:ascii="Times New Roman;serif" w:hAnsi="Times New Roman;serif"/>
          <w:b w:val="false"/>
          <w:color w:val="000000"/>
          <w:sz w:val="24"/>
        </w:rPr>
        <w:t>. Bank grants to Client a nonexclusive, royalty free, nontransferable right and license to use certain Marks (owned by Bank or its licensors) in the geographic locations permitted furtherance of a Program pursuant to a Program Authorization Letter. The use of the Marks by Client without the prior written consent of the Bank is prohibited.</w:t>
      </w:r>
    </w:p>
    <w:p>
      <w:pPr>
        <w:pStyle w:val="TextBody"/>
        <w:bidi w:val="0"/>
        <w:spacing w:lineRule="auto" w:line="319" w:before="0" w:after="240"/>
        <w:jc w:val="both"/>
        <w:rPr/>
      </w:pPr>
      <w:r>
        <w:rPr>
          <w:rFonts w:ascii="Times New Roman;serif" w:hAnsi="Times New Roman;serif"/>
          <w:b w:val="false"/>
          <w:color w:val="000000"/>
          <w:sz w:val="24"/>
        </w:rPr>
        <w:t>5.12    </w:t>
      </w:r>
      <w:r>
        <w:rPr>
          <w:rFonts w:ascii="Times New Roman;serif" w:hAnsi="Times New Roman;serif"/>
          <w:b w:val="false"/>
          <w:color w:val="000000"/>
          <w:sz w:val="24"/>
          <w:u w:val="single"/>
        </w:rPr>
        <w:t>Use of Client Marks</w:t>
      </w:r>
      <w:r>
        <w:rPr>
          <w:rFonts w:ascii="Times New Roman;serif" w:hAnsi="Times New Roman;serif"/>
          <w:b w:val="false"/>
          <w:color w:val="000000"/>
          <w:sz w:val="24"/>
        </w:rPr>
        <w:t>. Except as expressly set forth herein, Bank may not use Client Marks without Client’s express written consent in each proposed instance of use.</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BANK REPRESENTATIONS AND WARRANTIES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represents and warrants to Client as follows: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Bank in accordance with its terms, except as such enforceability may be limited by laws governing creditors’ rights and general principles of equity.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corporation duly incorporated, validly existing and in good standing under the laws of the State of Delaware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has the full power and authority to execute and deliver this Agreement and to perform all its obligations under this Agreement. The provisions of this Agreement and the performance by Bank of its obligations under this Agreement are not in conflict with Bank’s charter, bylaws or any other agreement, contract, lease or obligation to which Bank is a party or by which it is bound.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is not pending or threatened against Bank any litigation or proceeding, the outcome of which might materially adversely affect the continuing operations of Bank.</w:t>
      </w:r>
    </w:p>
    <w:p>
      <w:pPr>
        <w:pStyle w:val="TextBody"/>
        <w:bidi w:val="0"/>
        <w:spacing w:before="0" w:after="0"/>
        <w:jc w:val="center"/>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21970"/>
                <wp:effectExtent l="0" t="0" r="0" b="0"/>
                <wp:wrapNone/>
                <wp:docPr id="207" name="Frame20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has the legal right to use and permit Client to use, to the extent set forth herein, the Bank Marks.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    COVENANTS OF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Covenants. Bank covenants and agrees with Client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21970"/>
                <wp:effectExtent l="0" t="0" r="0" b="0"/>
                <wp:wrapNone/>
                <wp:docPr id="208" name="Frame20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and will at all times continue to perform its obligations under this Agreement, and is in compliance with all Applicable Laws, the Rules, and any rules, orders and regulations issued by the Regulatory Authorities that relate to the matters and transactions contemplated by this Agreement (except to the extent Client has expressly agreed to undertake compliance obligations under this Agreement). Bank will be responsible for all fines and penalties assessed by any Regulatory Authority due to Bank’s actions, inactions or omissions provided that such fine or penalty is not caused by or a result of any acts or omissions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litigation or court proceedings filed against Bank and, to the extent permissible, any summary of communications with Regulatory Authorities, relating to an Account or its use, or otherwise relating to the Program, will be immediately reported to Client. Such report shall include a copy of the court papers or proceedings;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Bank shall remain (i) a federally-insured financial institution, and (ii) in good standing with (x) each Regulatory Authority with jurisdiction over it, and (y) each Network or other electronic payment network which it may be a member of or registered with from time to time;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shall make best efforts to ensure that (i) each separate Account established for each Customer shall qualify for deposit insurance and (ii) all deposits shall remain insured by the Federal Deposit Insurance Corporation (“FDIC”) in accordance with Applicable Law; provided, however, Client acknowledges that any decision regarding deposit insurance applicability rests solely with the FDIC;</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maintain the minimum capital ratios required to be a well-capitalized institution, as defined under the prompt corrective actions provisions of the Federal Deposit Insurance Act; and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Bank shall comply with its privacy policy and Applicable Law in connection with the Program. Bank’s privacy policy or other applicable policies shall include a response program whereby Bank shall take appropriate actions to address incidents of unauthorized access to Customer Information, including notification to Client and affected Customers (to the extent that such communication with affected Customers is required by Applicable Law) as soon as possible following any such incident. Bank will notify Client promptly upon Bank’s receipt of information regarding an actual or suspected data security breach impacting Customer Information, whether the same is experienced directly by Bank or by Bank’s third party service providers, and Bank will contractually require its third party service providers with access to Customer Information to do the same.</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    PROGRAM FEES AND COMPENSATION</w:t>
      </w:r>
    </w:p>
    <w:p>
      <w:pPr>
        <w:pStyle w:val="TextBody"/>
        <w:bidi w:val="0"/>
        <w:spacing w:before="0" w:after="0"/>
        <w:jc w:val="center"/>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21970"/>
                <wp:effectExtent l="0" t="0" r="0" b="0"/>
                <wp:wrapNone/>
                <wp:docPr id="209" name="Frame20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8.0    </w:t>
      </w:r>
      <w:r>
        <w:rPr>
          <w:rFonts w:ascii="Times New Roman;serif" w:hAnsi="Times New Roman;serif"/>
          <w:b w:val="false"/>
          <w:color w:val="000000"/>
          <w:sz w:val="24"/>
          <w:u w:val="single"/>
        </w:rPr>
        <w:t>Program Fees</w:t>
      </w:r>
      <w:r>
        <w:rPr>
          <w:rFonts w:ascii="Times New Roman;serif" w:hAnsi="Times New Roman;serif"/>
          <w:b w:val="false"/>
          <w:color w:val="000000"/>
          <w:sz w:val="24"/>
        </w:rPr>
        <w:t xml:space="preserve">. All Program Revenues shall accrue to the benefit of the Bank. In consideration of Client’s Program Management services under this Agreement, Bank shall pay Client a Program Management Fee for the provision of its services as set forth in an </w:t>
      </w:r>
      <w:r>
        <w:rPr>
          <w:rFonts w:ascii="Times New Roman;serif" w:hAnsi="Times New Roman;serif"/>
          <w:b/>
          <w:color w:val="000000"/>
          <w:sz w:val="24"/>
        </w:rPr>
        <w:t xml:space="preserve">Exhibit A </w:t>
      </w:r>
      <w:r>
        <w:rPr>
          <w:rFonts w:ascii="Times New Roman;serif" w:hAnsi="Times New Roman;serif"/>
          <w:b w:val="false"/>
          <w:color w:val="000000"/>
          <w:sz w:val="24"/>
        </w:rPr>
        <w:t>or any mutually agreed upon Program or services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21970"/>
                <wp:effectExtent l="0" t="0" r="0" b="0"/>
                <wp:wrapNone/>
                <wp:docPr id="210" name="Frame20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    TERM AND TERMINATION</w:t>
      </w:r>
    </w:p>
    <w:p>
      <w:pPr>
        <w:pStyle w:val="TextBody"/>
        <w:bidi w:val="0"/>
        <w:spacing w:lineRule="auto" w:line="319" w:before="0" w:after="240"/>
        <w:jc w:val="both"/>
        <w:rPr/>
      </w:pPr>
      <w:r>
        <w:rPr>
          <w:rFonts w:ascii="Times New Roman;serif" w:hAnsi="Times New Roman;serif"/>
          <w:b w:val="false"/>
          <w:color w:val="000000"/>
          <w:sz w:val="24"/>
        </w:rPr>
        <w:t>9.1    </w:t>
      </w:r>
      <w:r>
        <w:rPr>
          <w:rFonts w:ascii="Times New Roman;serif" w:hAnsi="Times New Roman;serif"/>
          <w:b w:val="false"/>
          <w:color w:val="000000"/>
          <w:sz w:val="24"/>
          <w:u w:val="single"/>
        </w:rPr>
        <w:t>Termination of Agreement Without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The Term of this Agreement shall commence from the Effective Date as stated therein and shall continue for five (5) years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unless terminated earlier as provided below. After the Initial Term, this Agreement shall automatically extend for additional one-year periods (each a “</w:t>
      </w:r>
      <w:r>
        <w:rPr>
          <w:rFonts w:ascii="Times New Roman;serif" w:hAnsi="Times New Roman;serif"/>
          <w:b/>
          <w:color w:val="000000"/>
          <w:sz w:val="24"/>
        </w:rPr>
        <w:t xml:space="preserve">Renewal Term”) </w:t>
      </w:r>
      <w:r>
        <w:rPr>
          <w:rFonts w:ascii="Times New Roman;serif" w:hAnsi="Times New Roman;serif"/>
          <w:b w:val="false"/>
          <w:color w:val="000000"/>
          <w:sz w:val="24"/>
        </w:rPr>
        <w:t>unless a Party provides the other Party with a notice of non-renewal three hundred and sixty-five (365) days prior to the expiration of the then current Term. Such Initial Term together with any Renewal Term shall collectively be referred to as the “</w:t>
      </w:r>
      <w:r>
        <w:rPr>
          <w:rFonts w:ascii="Times New Roman;serif" w:hAnsi="Times New Roman;serif"/>
          <w:b/>
          <w:color w:val="000000"/>
          <w:sz w:val="24"/>
        </w:rPr>
        <w:t>Term</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(b)    Subject to Section 9.3, below, and no earlier than the thirteenth (13</w:t>
      </w:r>
      <w:r>
        <w:rPr>
          <w:rFonts w:ascii="Times New Roman;serif" w:hAnsi="Times New Roman;serif"/>
          <w:b/>
          <w:color w:val="000000"/>
          <w:sz w:val="16"/>
        </w:rPr>
        <w:t>th</w:t>
      </w:r>
      <w:r>
        <w:rPr>
          <w:rFonts w:ascii="Times New Roman;serif" w:hAnsi="Times New Roman;serif"/>
          <w:b w:val="false"/>
          <w:color w:val="000000"/>
          <w:sz w:val="24"/>
        </w:rPr>
        <w:t>) month following commencement of the Initial Term, Client shall have the right to provide Bank with notice of its intent to terminate this Agreement without cause, which termination shall not be effective until at least three hundred and sixty-five (365) days following Bank’s receipt thereof.</w:t>
      </w:r>
    </w:p>
    <w:p>
      <w:pPr>
        <w:pStyle w:val="TextBody"/>
        <w:bidi w:val="0"/>
        <w:spacing w:lineRule="auto" w:line="319" w:before="0" w:after="240"/>
        <w:jc w:val="both"/>
        <w:rPr/>
      </w:pPr>
      <w:r>
        <w:rPr>
          <w:rFonts w:ascii="Times New Roman;serif" w:hAnsi="Times New Roman;serif"/>
          <w:b w:val="false"/>
          <w:color w:val="000000"/>
          <w:sz w:val="24"/>
        </w:rPr>
        <w:t>9.2    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Either Party shall have the right to terminate this Agreement for cause: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 material breach of any duty or obligation under this Agreement (so long as such breach is not due to the actions or inaction of the terminating Party), but only if the breach continues for a period of [***] after the breaching Party receives written notice from the non-breaching Party specifying the breach. In the event such breach is not cured during the period, then this Agreement may be terminated.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Either Party may immediately terminate this Agreement for cause upon written notice to the other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Discovery that any financial statement, representation, warranty, statement or certificate furnished to it by the other Party in connection with or arising out of this Agreement is materially adverse to the terminating Party and intentionally untrue as of the date made or delivered.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commencement by the other Party of any proceeding or filing of any petition seeking relief under Title 11 of the United States Code or any other Federal, state or foreign bankruptcy, insolvency, liquidation or similar law, application for or consenting to the appointment of a receiver, trustee, custodian, sequestrator or similar official for such Party or for a substantial part of its property or assets; a general assignment for the benefit of creditors, or taking corporate action for the purpose of effecting any of the foregoing.</w:t>
      </w:r>
    </w:p>
    <w:p>
      <w:pPr>
        <w:pStyle w:val="TextBody"/>
        <w:bidi w:val="0"/>
        <w:spacing w:before="0" w:after="0"/>
        <w:jc w:val="center"/>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21970"/>
                <wp:effectExtent l="0" t="0" r="0" b="0"/>
                <wp:wrapNone/>
                <wp:docPr id="211" name="Frame20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commencement by any person against the other Party of an involuntary proceeding or the other Party is the subject of an involuntary petition in a court of competent jurisdiction seeking: relief in respect of the other Party, or of a substantial part of its property or assets under Title 11 of the United States Code or any other Federal, state or foreign bankruptcy, insolvency, receivership or similar law; the appointment of a </w:t>
      </w:r>
    </w:p>
    <w:p>
      <w:pPr>
        <w:pStyle w:val="TextBody"/>
        <w:bidi w:val="0"/>
        <w:spacing w:before="0" w:after="0"/>
        <w:jc w:val="center"/>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21970"/>
                <wp:effectExtent l="0" t="0" r="0" b="0"/>
                <wp:wrapNone/>
                <wp:docPr id="212" name="Frame21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receiver, trustee, custodian, sequestrator or similar office for the other Party or for a substantial part of its property or assets; or the winding up or liquidation, of the other Party, if such proceeding or petition shall continue un-dismissed for [***] or an order or decree approving or ordering any of the foregoing shall continue unstayed and in effect for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Upon any change to or enactment of any Applicable Law or Rules which would render any portion of the Program illegal, or otherwise have a material adverse effect upon the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 material violation by the other Party of any Rules or Applicable Law in connection with the performance of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Upon direction to the terminating Party from any Regulatory Authority or Network for such Party to cease to materially limit performance of such Party’s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may immediately terminate this Agreement for cause upon written notice to Client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Bank’s management or board of directors reasonably determines that the continued performance by the Bank of its obligations under this Agreement is materially not consistent with safe and sound banking practices; provided, however, upon such determination, Bank shall provide notice, to the extent permitted by Applicable Law, to Client of such determination and a reasonably detailed basis therefor, and shall work in good-faith with Client to resolve Bank’s concerns prior to terminating the Agreement to the extent consistent with the Bank’s safety and soundness.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Bank receives direction from any Regulatory Authority to cease or materially limit performance of the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may terminate this Agreement for cause upon written notice to Bank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Change of Control of Bank as defined herein. For purposes of this Agreement, a “Change of Control” shall mean, with respect to the other Party, any transaction or series of transactions (as a result of a tender offer, merger, consolidation, reorganization, recapitalization, stock acquisition or otherwise) that results in: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any Person or “group” (within the meaning of Section 13(d)(3) of the Securities Exchange Act of 1934, as amended, and the rules and regulations promulgated thereunder acquiring, directly or indirectly, a majority of the combined voting power of the outstanding securities of such other Party (or its </w:t>
      </w:r>
    </w:p>
    <w:p>
      <w:pPr>
        <w:pStyle w:val="TextBody"/>
        <w:bidi w:val="0"/>
        <w:spacing w:before="0" w:after="0"/>
        <w:jc w:val="center"/>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21970"/>
                <wp:effectExtent l="0" t="0" r="0" b="0"/>
                <wp:wrapNone/>
                <wp:docPr id="213" name="Frame21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 xml:space="preserve">Controlling Parent (as defined below), if there is one) entitled to vote generally in the election of directors (or any equivalent governing body);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any merger or consolidation of Bank with and into any of Client’s direct or indirect subsidiaries or parent companies or direct or indirect subsidiaries of such parent company, shall not constitute a “Change of Control” hereunder if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21970"/>
                <wp:effectExtent l="0" t="0" r="0" b="0"/>
                <wp:wrapNone/>
                <wp:docPr id="214" name="Frame21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Controlling Parent prior to such merger or consolidation shall, after giving effect to such merger or consolidation, own and control, directly or indirectly and beneficially and of record, not less than a majority of the combined voting power of the outstanding securities of the surviving entity from such merger or consolidation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sale, lease, license, exchange, conveyance, transfer or other disposition of all or substantially all of the assets of Bank (or its Controlling Parent, if there is one), or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Controlling Parent (if there is one) ceases to own, directly or indirectly and beneficially and of record, a majority of the combined voting power of the outstanding securities of Bank entitled to vote generally in the election of directors (or any equivalent governing body). “Controlling Parent” means, with respect to Bank, the ultimate Person (if any) that owns and controls as of the Effective Date, directly or indirectly, and beneficially and of record, a majority of the combined voting power of the outstanding securities of Bank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following the issuance of any order involving Bank that materially and adversely impacts the Program or Client, provided that such action, proceeding, investigation or inquiry in not the direct result of an act or inaction of Client, including but not limited to any formal cease and desist order, consent order, censure or other action of a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the event that Client reasonably determines that Bank’s financial condition materially and adversely impacts the Bank’s ability to support Client’s Programs, and such financial condition is not improved within [***] following receipt of written notice to Bank of Client’s determination thereof, Client may terminate this Agreement upon one hundred eighty (180) days’ prior written notice to Bank.</w:t>
      </w:r>
    </w:p>
    <w:p>
      <w:pPr>
        <w:pStyle w:val="TextBody"/>
        <w:bidi w:val="0"/>
        <w:spacing w:lineRule="auto" w:line="319" w:before="0" w:after="240"/>
        <w:jc w:val="both"/>
        <w:rPr/>
      </w:pPr>
      <w:r>
        <w:rPr>
          <w:rFonts w:ascii="Times New Roman;serif" w:hAnsi="Times New Roman;serif"/>
          <w:b w:val="false"/>
          <w:color w:val="000000"/>
          <w:sz w:val="24"/>
        </w:rPr>
        <w:t>9.3    </w:t>
      </w:r>
      <w:r>
        <w:rPr>
          <w:rFonts w:ascii="Times New Roman;serif" w:hAnsi="Times New Roman;serif"/>
          <w:b w:val="false"/>
          <w:color w:val="000000"/>
          <w:sz w:val="24"/>
          <w:u w:val="single"/>
        </w:rPr>
        <w:t xml:space="preserve">Payments Upon Termination </w:t>
      </w:r>
      <w:r>
        <w:rPr>
          <w:rFonts w:ascii="Times New Roman;serif" w:hAnsi="Times New Roman;serif"/>
          <w:b w:val="false"/>
          <w:color w:val="000000"/>
          <w:sz w:val="24"/>
        </w:rPr>
        <w:t xml:space="preserve">The Parties agree that, in the event Client terminates this Agreement without cause during the [***] in accordance with Section 9.1(b), or in the event Bank terminates this Agreement under Section 9.2(a) or Sections 9.2(b)(i), 9.2(b)(iii) or 9.2(b)(v)-(vi), during the [***] Client shall pay Bank, [***]. The Parties further agree that, in the event Client terminates this Agreement without cause during [***], Client shall pay [***]. Client further agrees that in the event Client terminates this Agreement pursuant to Section 9.2(d)(i) during [***], Client shall pay [***] Bank acknowledges and agrees that if it terminates this Agreement pursuant to Section 9.2(a) or Sections 9.2(b)(i), 9.2(b)(iii) or 9.2(b)(v)-(vi): (i) its exclusive remedy for any breach related to such termination is as set forth in this Section 9.3, and (ii) it waives any claims or causes of action against Client relating to such termination or breach </w:t>
      </w:r>
    </w:p>
    <w:p>
      <w:pPr>
        <w:pStyle w:val="TextBody"/>
        <w:bidi w:val="0"/>
        <w:spacing w:before="0" w:after="0"/>
        <w:jc w:val="center"/>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21970"/>
                <wp:effectExtent l="0" t="0" r="0" b="0"/>
                <wp:wrapNone/>
                <wp:docPr id="215" name="Frame21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 this Agreement. Each Party recognizes and acknowledges that the fees set forth in this Section 9.3 are not intended as a forfeiture or penalty but are intended to constitute liquidated damages to the Bank.</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9.4    Notwithstanding anything to the contrary in this Agreement, any monthly fees paid by Client to Bank for the continued receipt of recurring ACH credits, forwarding deposits to a </w:t>
      </w:r>
    </w:p>
    <w:p>
      <w:pPr>
        <w:pStyle w:val="TextBody"/>
        <w:bidi w:val="0"/>
        <w:spacing w:before="0" w:after="0"/>
        <w:jc w:val="center"/>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21970"/>
                <wp:effectExtent l="0" t="0" r="0" b="0"/>
                <wp:wrapNone/>
                <wp:docPr id="216" name="Frame21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 Bank, and provision of instructions for Notification of Change, as may be set forth in an Addendum to this Agreement, shall be credited towards the monthly fees paid by Client under Section 9.3. In the event of any Termination for Cause by Client, except for any termination by Client pursuant to Section 9.2(d) Client shall be liable only to pay Bank [***].</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10.    ACCOUNT TRANSFER OPTION AND WIND DOWN PERIOD</w:t>
      </w:r>
    </w:p>
    <w:p>
      <w:pPr>
        <w:pStyle w:val="TextBody"/>
        <w:bidi w:val="0"/>
        <w:spacing w:lineRule="auto" w:line="333" w:before="0" w:after="240"/>
        <w:jc w:val="both"/>
        <w:rPr/>
      </w:pPr>
      <w:r>
        <w:rPr>
          <w:rFonts w:ascii="Times New Roman;serif" w:hAnsi="Times New Roman;serif"/>
          <w:b w:val="false"/>
          <w:color w:val="000000"/>
          <w:sz w:val="24"/>
        </w:rPr>
        <w:t>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“Successor Bank”) (the “Account Transfer Option”).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“Wind Down Period”)</w:t>
      </w:r>
    </w:p>
    <w:p>
      <w:pPr>
        <w:pStyle w:val="TextBody"/>
        <w:bidi w:val="0"/>
        <w:spacing w:lineRule="auto" w:line="333" w:before="0" w:after="240"/>
        <w:jc w:val="both"/>
        <w:rPr/>
      </w:pPr>
      <w:r>
        <w:rPr>
          <w:rFonts w:ascii="Times New Roman;serif" w:hAnsi="Times New Roman;serif"/>
          <w:b w:val="false"/>
          <w:color w:val="000000"/>
          <w:sz w:val="24"/>
        </w:rPr>
        <w:t>10.2    </w:t>
      </w:r>
      <w:r>
        <w:rPr>
          <w:rFonts w:ascii="Times New Roman;serif" w:hAnsi="Times New Roman;serif"/>
          <w:b w:val="false"/>
          <w:color w:val="000000"/>
          <w:sz w:val="24"/>
          <w:u w:val="single"/>
        </w:rPr>
        <w:t>Wind Down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Upon termination or expiration of this Agreement, or in the event that the Parties agree upon a Wind Down Period pursuant to Section 10.1 and the applicable Addendum, and provided that the Parties have obtained all required Regulatory Authority and Network approvals, as applicable, then the Parties shall use commercially reasonable efforts to negotiate in good faith and mutually agree upon a wind down plan (the “Wind-Down Plan”) that is: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is structured to minimize Customer disruption, avoid Customer attrition, and prevent any interruption of the Program services or degradation in the quality of Program services during the Wind Down Period, which shall be as long as necessary to protect and transfer all of Confidential Information including all Customer information;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specifies which employees, subcontractors, agents and personnel of Client and Bank and other resources shall perform the Wind Down Plan services and all tasks and resources necessary to effect such disengagement as efficiently as possible and in a manner consistent with any election by Client to transfer the Accounts to a Successor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specifies a timetable and process for effecting such disengagement in: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a safe, sound and efficient manner,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 manner reasonably intended to minimize Account attrition and provide a seamless Customer experiences, including conversion of tranches of Accounts on a staggered basis, and</w:t>
      </w:r>
    </w:p>
    <w:p>
      <w:pPr>
        <w:pStyle w:val="TextBody"/>
        <w:bidi w:val="0"/>
        <w:spacing w:before="0" w:after="0"/>
        <w:jc w:val="center"/>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21970"/>
                <wp:effectExtent l="0" t="0" r="0" b="0"/>
                <wp:wrapNone/>
                <wp:docPr id="217" name="Frame21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compliance with Applicable Law, including the process and timing for providing and/or obtaining all necessary regulatory notices and approval; and</w:t>
      </w:r>
    </w:p>
    <w:p>
      <w:pPr>
        <w:pStyle w:val="TextBody"/>
        <w:bidi w:val="0"/>
        <w:spacing w:before="0" w:after="0"/>
        <w:jc w:val="center"/>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1970"/>
                <wp:effectExtent l="0" t="0" r="0" b="0"/>
                <wp:wrapNone/>
                <wp:docPr id="218" name="Frame21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sets forth a communication plan for communicating with Customers regarding the disengagement matters contemplated by the Wind-Down Plan, and neither Party shall communicate with Customers regarding such matters other than as contemplated by the Wind-Down Plan, except that neither Party shall be permitted to prohibit the other Party from sending a communication that is required pursuant to Applicable Law; provided that the communicating Party shall provide the other Party with as much advance notice as reasonably possible prior to issuance of any such legally required communication or notice promptly following such action if advance notice is not permitted by Applicable Law.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the Wind-Down Plan arises from Bank terminating for cause under the Agreement, then in addition to items (a) – (d) above, the Wind-Down plan shall also include all necessary steps to effect the transfer to Bank of control of the applicable Program. Without in any way limiting the foregoing, upon expiration or any termination of this Agreement, in whole or in part, Bank will, at Client’s request, continue to allow Client to access and use the Program after the date of such termination or expiration to effectuate an orderly transition from the Program services. During such period, the then-existing fees will continue to be in effect and the terms of this Agreement shall survive and continue to govern the Parties’ rights and obligations with respect to the Program.</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10.3    Following termination or expiration of this Agreement and expiration of the Wind Down Period, each Party shall (i) return, or destroy in the event it is not commercially practicable to return, all property belonging to the other Parties (including Confidential Information not reasonably necessary to operate any Program) which is in its possession or control at the time of termination, and (ii) discontinue the use of and return, or destroy in the event it is not commercially practicable to return, to the other Parties, or at the request of the other Parties destroy, all written and printed Program Materials bearing the other Parties’ name and logo. Nothing herein will require Bank to return anything arising from or relating to the Programs, other than property that is defined hereunder as Client Confidential Information, or other than property that relates exclusively to a Program that is being transferred to a Successor Bank. Without limiting the aforesaid, the Parties agree that Bank shall be entitled to retain all information required by Applicable Law, Regulatory Authority, and/or Bank’s safety and soundness standards.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11.    CONFIDENTIALITY</w:t>
      </w:r>
    </w:p>
    <w:p>
      <w:pPr>
        <w:pStyle w:val="TextBody"/>
        <w:bidi w:val="0"/>
        <w:spacing w:lineRule="auto" w:line="319" w:before="0" w:after="240"/>
        <w:jc w:val="both"/>
        <w:rPr/>
      </w:pPr>
      <w:r>
        <w:rPr>
          <w:rFonts w:ascii="Times New Roman;serif" w:hAnsi="Times New Roman;serif"/>
          <w:b w:val="false"/>
          <w:color w:val="000000"/>
          <w:sz w:val="24"/>
        </w:rPr>
        <w:t>11.1    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The term “Confidential Information” shall mean this Agreement and all proprietary information, data, trade secrets, business information and other information of any kind whatsoever which (a) a Party (“Discloser”) discloses, in writing, orally or visually, to the other Party (“Recipient”) or to which Recipient obtains access in connection with the negotiation and performance of this Agreement, and which (b) relates to (i) the Discloser, (ii) in the case of Client, Bank and its customers and or associates, or (iii) Customers who have made Sensitive Customer Information available to Bank and/or Client. “Sensitive </w:t>
      </w:r>
    </w:p>
    <w:p>
      <w:pPr>
        <w:pStyle w:val="TextBody"/>
        <w:bidi w:val="0"/>
        <w:spacing w:before="0" w:after="0"/>
        <w:jc w:val="center"/>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21970"/>
                <wp:effectExtent l="0" t="0" r="0" b="0"/>
                <wp:wrapNone/>
                <wp:docPr id="219" name="Frame21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Customer Information” shall include “non-public personal information” as defined in the Gramm-Leach-Bliley Act and implementing regulations; including, without limitation, a Customer’s name, address, or telephone number in conjunction with the Customer’s social security number, driver’s license number, account number, credit or debit card number, or a personal identification number or password that would permit access to the Customer’s account, or any combination of components of Customer </w:t>
      </w:r>
    </w:p>
    <w:p>
      <w:pPr>
        <w:pStyle w:val="TextBody"/>
        <w:bidi w:val="0"/>
        <w:spacing w:before="0" w:after="0"/>
        <w:jc w:val="center"/>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21970"/>
                <wp:effectExtent l="0" t="0" r="0" b="0"/>
                <wp:wrapNone/>
                <wp:docPr id="220" name="Frame21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that would allow someone to log onto or access a Customer’s account, such as a username and password, password and account number, Transaction information regarding the Account, or any other information provided to Bank or Client by a Customer in connection with the Program.</w:t>
      </w:r>
    </w:p>
    <w:p>
      <w:pPr>
        <w:pStyle w:val="TextBody"/>
        <w:bidi w:val="0"/>
        <w:spacing w:lineRule="auto" w:line="319" w:before="0" w:after="240"/>
        <w:jc w:val="both"/>
        <w:rPr/>
      </w:pPr>
      <w:r>
        <w:rPr>
          <w:rFonts w:ascii="Times New Roman;serif" w:hAnsi="Times New Roman;serif"/>
          <w:b w:val="false"/>
          <w:color w:val="000000"/>
          <w:sz w:val="24"/>
        </w:rPr>
        <w:t>11.2    </w:t>
      </w:r>
      <w:r>
        <w:rPr>
          <w:rFonts w:ascii="Times New Roman;serif" w:hAnsi="Times New Roman;serif"/>
          <w:b w:val="false"/>
          <w:color w:val="000000"/>
          <w:sz w:val="24"/>
          <w:u w:val="single"/>
        </w:rPr>
        <w:t>Sensitive Customer Information</w:t>
      </w:r>
      <w:r>
        <w:rPr>
          <w:rFonts w:ascii="Times New Roman;serif" w:hAnsi="Times New Roman;serif"/>
          <w:b w:val="false"/>
          <w:color w:val="000000"/>
          <w:sz w:val="24"/>
        </w:rPr>
        <w:t>. Client acknowledges that Bank has a legal responsibility to its customers to keep Sensitive Customer Information strictly confidential in accordance with Applicable Law. Bank acknowledges that Client has a responsibility to do likewise. In addition to the other requirements set forth in this section regarding Confidential Information, Sensitive Customer Information shall also be subject to the additional restrictions set forth in this subsection. The Recipient shall not disclose or use Sensitive Customer Information other than to carry out the purposes for which the Discloser or one of its affiliates disclosed such Sensitive Customer Information to Recipient. Recipient shall not disclose to a third-party or otherwise use any Sensitive Customer Information unless the Customer’s permission has been secured, to the Discloser’s reasonable satisfaction, through a means that complies with 15 U.S.C. §§ 6801-09 and applicable regulations, or the disclosure is otherwise permitted by Applicable Law. In the absence of the permission of the Customer, Recipient shall not disclose any Sensitive Customer Information other than on a “need to know basis and then only to: (a) affiliates of Discloser; (b)its employees or officers; (c) affiliates of Recipient provided that such affiliates shall be restricted in use and re-disclosure of the Sensitive Customer Information to the same extent as Recipient; (d) to carefully selected subcontractors provided that such subcontractors shall have entered into a confidentiality agreement no less restrictive than the terms hereof; (e) to independent contractors, agents, and consultants hired or engaged by Recipient, provided that all such persons are subject to a confidentiality agreement which shall be no less restrictive than the provisions of this section; or (f) pursuant to the exceptions set forth in 15 U.S.C. 68021 and accompanying regulations which disclosures are made in the ordinary course of business. The restrictions set forth herein shall apply during the term and after the termination of this Agreement. For the purposes of this section, Customers shall be customers of Bank.</w:t>
      </w:r>
    </w:p>
    <w:p>
      <w:pPr>
        <w:pStyle w:val="TextBody"/>
        <w:bidi w:val="0"/>
        <w:spacing w:lineRule="auto" w:line="319" w:before="0" w:after="240"/>
        <w:jc w:val="both"/>
        <w:rPr/>
      </w:pPr>
      <w:r>
        <w:rPr>
          <w:rFonts w:ascii="Times New Roman;serif" w:hAnsi="Times New Roman;serif"/>
          <w:b w:val="false"/>
          <w:color w:val="000000"/>
          <w:sz w:val="24"/>
        </w:rPr>
        <w:t>11.3    </w:t>
      </w:r>
      <w:r>
        <w:rPr>
          <w:rFonts w:ascii="Times New Roman;serif" w:hAnsi="Times New Roman;serif"/>
          <w:b w:val="false"/>
          <w:color w:val="000000"/>
          <w:sz w:val="24"/>
          <w:u w:val="single"/>
        </w:rPr>
        <w:t>Compliance with Privacy Laws</w:t>
      </w:r>
      <w:r>
        <w:rPr>
          <w:rFonts w:ascii="Times New Roman;serif" w:hAnsi="Times New Roman;serif"/>
          <w:b w:val="false"/>
          <w:color w:val="000000"/>
          <w:sz w:val="24"/>
        </w:rPr>
        <w:t>. Each Party shall comply with Applicable Law with regard to privacy of Sensitive Customer Information.</w:t>
      </w:r>
    </w:p>
    <w:p>
      <w:pPr>
        <w:pStyle w:val="TextBody"/>
        <w:bidi w:val="0"/>
        <w:spacing w:lineRule="auto" w:line="319" w:before="0" w:after="240"/>
        <w:jc w:val="both"/>
        <w:rPr/>
      </w:pPr>
      <w:r>
        <w:rPr>
          <w:rFonts w:ascii="Times New Roman;serif" w:hAnsi="Times New Roman;serif"/>
          <w:b w:val="false"/>
          <w:color w:val="000000"/>
          <w:sz w:val="24"/>
        </w:rPr>
        <w:t>11.4    </w:t>
      </w:r>
      <w:r>
        <w:rPr>
          <w:rFonts w:ascii="Times New Roman;serif" w:hAnsi="Times New Roman;serif"/>
          <w:b w:val="false"/>
          <w:color w:val="000000"/>
          <w:sz w:val="24"/>
          <w:u w:val="single"/>
        </w:rPr>
        <w:t>Use of Confidential Information</w:t>
      </w:r>
      <w:r>
        <w:rPr>
          <w:rFonts w:ascii="Times New Roman;serif" w:hAnsi="Times New Roman;serif"/>
          <w:b w:val="false"/>
          <w:color w:val="000000"/>
          <w:sz w:val="24"/>
        </w:rPr>
        <w:t>. Neither Party shall use the Confidential Information of the other Party, except as specifically permitted in this Agreement.</w:t>
      </w:r>
    </w:p>
    <w:p>
      <w:pPr>
        <w:pStyle w:val="TextBody"/>
        <w:bidi w:val="0"/>
        <w:spacing w:lineRule="auto" w:line="319" w:before="0" w:after="240"/>
        <w:jc w:val="both"/>
        <w:rPr/>
      </w:pPr>
      <w:r>
        <w:rPr>
          <w:rFonts w:ascii="Times New Roman;serif" w:hAnsi="Times New Roman;serif"/>
          <w:b w:val="false"/>
          <w:color w:val="000000"/>
          <w:sz w:val="24"/>
        </w:rPr>
        <w:t>11.5    </w:t>
      </w:r>
      <w:r>
        <w:rPr>
          <w:rFonts w:ascii="Times New Roman;serif" w:hAnsi="Times New Roman;serif"/>
          <w:b w:val="false"/>
          <w:color w:val="000000"/>
          <w:sz w:val="24"/>
          <w:u w:val="single"/>
        </w:rPr>
        <w:t>Disclosure to Employees and Agents</w:t>
      </w:r>
      <w:r>
        <w:rPr>
          <w:rFonts w:ascii="Times New Roman;serif" w:hAnsi="Times New Roman;serif"/>
          <w:b w:val="false"/>
          <w:color w:val="000000"/>
          <w:sz w:val="24"/>
        </w:rPr>
        <w:t xml:space="preserve">. Client, as Recipient, hereby agrees on behalf of itself and its employees, officers, affiliates and subcontractors that Confidential Information will not be disclosed or made available to any person for any reason whatsoever, other than other than on a “need to know basis” and then only to: (a) its employees and officers; (b) subcontractors and other third-Parties specifically permitted under this Agreement, provided that all such persons are subject to a confidentiality agreement which shall be no less restrictive than the provisions of this </w:t>
      </w:r>
    </w:p>
    <w:p>
      <w:pPr>
        <w:pStyle w:val="TextBody"/>
        <w:bidi w:val="0"/>
        <w:spacing w:before="0" w:after="0"/>
        <w:jc w:val="center"/>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21970"/>
                <wp:effectExtent l="0" t="0" r="0" b="0"/>
                <wp:wrapNone/>
                <wp:docPr id="221" name="Frame21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section; (c) independent contractors, agents, and consultants hired or engaged by Bank, provided that all such persons are subject to a confidentiality agreement which shall be no less restrictive than the provisions of this section; and (d) as required by law or as otherwise permitted by this Agreement, either during the term of this Agreement or after the termination of this Agreement. Bank, as Recipient, hereby agrees on behalf of itself and its employees, officers, affiliates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21970"/>
                <wp:effectExtent l="0" t="0" r="0" b="0"/>
                <wp:wrapNone/>
                <wp:docPr id="222" name="Frame22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subcontractors that Confidential Information will not be disclosed or made available to any person for any reason whatsoever, other than on a “need to know basis” and then only to: (a) individuals that have been approved by Client; or (b) as required by law or as otherwise permitted by this Agreement, either during the term of this Agreement or after the termination of this Agreement. Prior to any disclosure of Confidential Information as required by law, the Recipient shall (i) notify the Discloser of any, actual or threatened legal compulsion of disclosure, and any actual legal obligation of disclosure immediately upon becoming so obligated, and (ii) cooperate with the Discloser’s reasonable, lawful efforts to resist, limit or delay disclosure. Nothing in this section shall require any notice or other action by Bank in connection with request or demands for Confidential Information with request by any Regulatory Authority.</w:t>
      </w:r>
    </w:p>
    <w:p>
      <w:pPr>
        <w:pStyle w:val="TextBody"/>
        <w:bidi w:val="0"/>
        <w:spacing w:lineRule="auto" w:line="307" w:before="0" w:after="240"/>
        <w:jc w:val="both"/>
        <w:rPr/>
      </w:pPr>
      <w:r>
        <w:rPr>
          <w:rFonts w:ascii="Times New Roman;serif" w:hAnsi="Times New Roman;serif"/>
          <w:b w:val="false"/>
          <w:color w:val="000000"/>
          <w:sz w:val="24"/>
        </w:rPr>
        <w:t>11.6    </w:t>
      </w:r>
      <w:r>
        <w:rPr>
          <w:rFonts w:ascii="Times New Roman;serif" w:hAnsi="Times New Roman;serif"/>
          <w:b w:val="false"/>
          <w:color w:val="000000"/>
          <w:sz w:val="24"/>
          <w:u w:val="single"/>
        </w:rPr>
        <w:t>Information Security</w:t>
      </w:r>
      <w:r>
        <w:rPr>
          <w:rFonts w:ascii="Times New Roman;serif" w:hAnsi="Times New Roman;serif"/>
          <w:b w:val="false"/>
          <w:color w:val="000000"/>
          <w:sz w:val="24"/>
        </w:rPr>
        <w:t>. Each Party warrants that it has established an information security program which contains appropriate measures designed to (i) ensure the security and confidentiality of Sensitive Customer Information; (ii) protect against any unanticipated threats or hazards to the security or integrity of such information; and (iii) protect against the unauthorized access to or use of such information that could result in substantial harm or inconvenience to any customer. In the event a Party discovers any unauthorized access to any Sensitive Customer Information, such Party shall take appropriate actions to address such unauthorized access, including but not limited to promptly notifying the other Party of any such incident.</w:t>
      </w:r>
    </w:p>
    <w:p>
      <w:pPr>
        <w:pStyle w:val="TextBody"/>
        <w:bidi w:val="0"/>
        <w:spacing w:lineRule="auto" w:line="307" w:before="0" w:after="240"/>
        <w:jc w:val="both"/>
        <w:rPr/>
      </w:pPr>
      <w:r>
        <w:rPr>
          <w:rFonts w:ascii="Times New Roman;serif" w:hAnsi="Times New Roman;serif"/>
          <w:b w:val="false"/>
          <w:color w:val="000000"/>
          <w:sz w:val="24"/>
        </w:rPr>
        <w:t>11.7    </w:t>
      </w:r>
      <w:r>
        <w:rPr>
          <w:rFonts w:ascii="Times New Roman;serif" w:hAnsi="Times New Roman;serif"/>
          <w:b w:val="false"/>
          <w:color w:val="000000"/>
          <w:sz w:val="24"/>
          <w:u w:val="single"/>
        </w:rPr>
        <w:t>Return/Destruction of Materials</w:t>
      </w:r>
      <w:r>
        <w:rPr>
          <w:rFonts w:ascii="Times New Roman;serif" w:hAnsi="Times New Roman;serif"/>
          <w:b w:val="false"/>
          <w:color w:val="000000"/>
          <w:sz w:val="24"/>
        </w:rPr>
        <w:t>. Upon the termination of this Agreement, or at any time upon the request of a Party, the other Party shall return or at the requesting Party’s election, destroy, all Confidential Information, including Customer Information, in the possession of such Party or in the possession of any third party over which such Party has or may exercise control.</w:t>
      </w:r>
    </w:p>
    <w:p>
      <w:pPr>
        <w:pStyle w:val="TextBody"/>
        <w:bidi w:val="0"/>
        <w:spacing w:lineRule="auto" w:line="307" w:before="0" w:after="240"/>
        <w:jc w:val="both"/>
        <w:rPr/>
      </w:pPr>
      <w:r>
        <w:rPr>
          <w:rFonts w:ascii="Times New Roman;serif" w:hAnsi="Times New Roman;serif"/>
          <w:b w:val="false"/>
          <w:color w:val="000000"/>
          <w:sz w:val="24"/>
        </w:rPr>
        <w:t>11.8    </w:t>
      </w:r>
      <w:r>
        <w:rPr>
          <w:rFonts w:ascii="Times New Roman;serif" w:hAnsi="Times New Roman;serif"/>
          <w:b w:val="false"/>
          <w:color w:val="000000"/>
          <w:sz w:val="24"/>
          <w:u w:val="single"/>
        </w:rPr>
        <w:t>Exceptions</w:t>
      </w:r>
      <w:r>
        <w:rPr>
          <w:rFonts w:ascii="Times New Roman;serif" w:hAnsi="Times New Roman;serif"/>
          <w:b w:val="false"/>
          <w:color w:val="000000"/>
          <w:sz w:val="24"/>
        </w:rPr>
        <w:t>. With the exception of the obligations related to Customer Information, the obligations of confidentiality in this section shall not apply to any information which a Party rightfully has in its possession when disclosed to it by the other Party, information which a Party independently develops, information which is or becomes known to the public other than by breach of this section or information rightfully received by a Party from a third party without the obligation of confidentiality.</w:t>
      </w:r>
    </w:p>
    <w:p>
      <w:pPr>
        <w:pStyle w:val="TextBody"/>
        <w:bidi w:val="0"/>
        <w:spacing w:lineRule="auto" w:line="307" w:before="0" w:after="240"/>
        <w:jc w:val="both"/>
        <w:rPr/>
      </w:pPr>
      <w:r>
        <w:rPr>
          <w:rFonts w:ascii="Times New Roman;serif" w:hAnsi="Times New Roman;serif"/>
          <w:b w:val="false"/>
          <w:color w:val="000000"/>
          <w:sz w:val="24"/>
        </w:rPr>
        <w:t>11.9    </w:t>
      </w:r>
      <w:r>
        <w:rPr>
          <w:rFonts w:ascii="Times New Roman;serif" w:hAnsi="Times New Roman;serif"/>
          <w:b w:val="false"/>
          <w:color w:val="000000"/>
          <w:sz w:val="24"/>
          <w:u w:val="single"/>
        </w:rPr>
        <w:t>Media Releases</w:t>
      </w:r>
      <w:r>
        <w:rPr>
          <w:rFonts w:ascii="Times New Roman;serif" w:hAnsi="Times New Roman;serif"/>
          <w:b w:val="false"/>
          <w:color w:val="000000"/>
          <w:sz w:val="24"/>
        </w:rPr>
        <w:t>. All media releases, public announcements and public disclosures by either Party, or their representatives, employees or agents, relating to this Agreement or the name or logo of Client, Bank, any Bank affiliate or supplier, including, without limitation, promotional or marketing material, but not including any disclosure required by legal, accounting or regulatory requirements beyond the reasonable control of the releasing Party, shall be coordinated with and approved by the other Party in writing prior to the release thereof.</w:t>
      </w:r>
    </w:p>
    <w:p>
      <w:pPr>
        <w:pStyle w:val="TextBody"/>
        <w:bidi w:val="0"/>
        <w:spacing w:lineRule="auto" w:line="307" w:before="0" w:after="240"/>
        <w:jc w:val="both"/>
        <w:rPr/>
      </w:pPr>
      <w:r>
        <w:rPr>
          <w:rFonts w:ascii="Times New Roman;serif" w:hAnsi="Times New Roman;serif"/>
          <w:b w:val="false"/>
          <w:color w:val="000000"/>
          <w:sz w:val="24"/>
        </w:rPr>
        <w:t>11.10    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Each Party covenants and agrees that it, or their representatives, employees or agents will not directly or indirectly, verbally or in writing, make statements to any third party which detract from or reflect adversely on the other Party’s reputation or its business, </w:t>
      </w:r>
    </w:p>
    <w:p>
      <w:pPr>
        <w:pStyle w:val="TextBody"/>
        <w:bidi w:val="0"/>
        <w:spacing w:before="0" w:after="0"/>
        <w:jc w:val="center"/>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21970"/>
                <wp:effectExtent l="0" t="0" r="0" b="0"/>
                <wp:wrapNone/>
                <wp:docPr id="223" name="Frame22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services, or products, or defame or make disparaging statements regarding the other Party’s business, service or products, or its directors, officers, employees or agents. Disparaging statements shall be defined as any statement, whether expressed as fact or opinion, that a reasonable person would consider impugning or call into question in a negative manner the business or personal ethics, reputation, character or integrity of the other Party or its directors, </w:t>
      </w: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21970"/>
                <wp:effectExtent l="0" t="0" r="0" b="0"/>
                <wp:wrapNone/>
                <wp:docPr id="224" name="Frame22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officers, employees, or agents, or impugn or call into question in a negative manner the quality of the other Party’s products, services or practices. This Agreement does not preclude the Parties from making statements that may be required by legal process, Applicable Law, or any Regulatory Authority with jurisdiction over the parties.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12.    DATA OWNERSHIP</w:t>
      </w:r>
    </w:p>
    <w:p>
      <w:pPr>
        <w:pStyle w:val="TextBody"/>
        <w:bidi w:val="0"/>
        <w:spacing w:lineRule="auto" w:line="319" w:before="0" w:after="240"/>
        <w:jc w:val="both"/>
        <w:rPr/>
      </w:pPr>
      <w:r>
        <w:rPr>
          <w:rFonts w:ascii="Times New Roman;serif" w:hAnsi="Times New Roman;serif"/>
          <w:b w:val="false"/>
          <w:color w:val="000000"/>
          <w:sz w:val="24"/>
        </w:rPr>
        <w:t>12.1    </w:t>
      </w:r>
      <w:r>
        <w:rPr>
          <w:rFonts w:ascii="Times New Roman;serif" w:hAnsi="Times New Roman;serif"/>
          <w:b w:val="false"/>
          <w:color w:val="000000"/>
          <w:sz w:val="24"/>
          <w:u w:val="single"/>
        </w:rPr>
        <w:t>Pre-Application</w:t>
      </w:r>
      <w:r>
        <w:rPr>
          <w:color w:val="000000"/>
        </w:rPr>
        <w:t xml:space="preserve"> </w:t>
      </w:r>
      <w:r>
        <w:rPr>
          <w:rFonts w:ascii="Times New Roman;serif" w:hAnsi="Times New Roman;serif"/>
          <w:b w:val="false"/>
          <w:color w:val="000000"/>
          <w:sz w:val="24"/>
        </w:rPr>
        <w:t>Information. The Parties acknowledge and agree that prior to a Customer submitting an application to Bank for an Account, all information collected by Client from such Customer, including nonpublic personal information as defined under the Gramm-Leach-Bliley Act (“Customer Personal Information), is information of Client, subject to Client’s privacy policy and procedures.</w:t>
      </w:r>
    </w:p>
    <w:p>
      <w:pPr>
        <w:pStyle w:val="TextBody"/>
        <w:bidi w:val="0"/>
        <w:spacing w:lineRule="auto" w:line="319" w:before="0" w:after="240"/>
        <w:jc w:val="both"/>
        <w:rPr/>
      </w:pPr>
      <w:r>
        <w:rPr>
          <w:rFonts w:ascii="Times New Roman;serif" w:hAnsi="Times New Roman;serif"/>
          <w:b w:val="false"/>
          <w:color w:val="000000"/>
          <w:sz w:val="24"/>
        </w:rPr>
        <w:t>12.2    </w:t>
      </w:r>
      <w:r>
        <w:rPr>
          <w:rFonts w:ascii="Times New Roman;serif" w:hAnsi="Times New Roman;serif"/>
          <w:b w:val="false"/>
          <w:color w:val="000000"/>
          <w:sz w:val="24"/>
          <w:u w:val="single"/>
        </w:rPr>
        <w:t>Account Application Information</w:t>
      </w:r>
      <w:r>
        <w:rPr>
          <w:rFonts w:ascii="Times New Roman;serif" w:hAnsi="Times New Roman;serif"/>
          <w:b w:val="false"/>
          <w:color w:val="000000"/>
          <w:sz w:val="24"/>
        </w:rPr>
        <w:t>. Once a Customer submits an application for an Account to Bank, all Customer Personal Information submitted on such application is jointly owned by Bank and Client, and may be used for each Party’s own separate purposes pursuant to such Party’s individual privacy policy and consistent with the limitations on such use set forth in this Agreement, so long as the Customer is provided a disclosure to such effect prior to any Customer Personal Information being provided by Customer on an Account application. In the event that Customer Personal Information is collected without providing such disclosure, such Customer Personal Information shall be the sole property of Bank, and Client shall only use such Customer Personal Information in connection with performing its obligations under the Agreement and as otherwise directed or permitted by Bank in writing. Bank shall consider in good-faith any request by Client for Bank to share Customer Personal Information with Client for Client’s purposes unrelated to this Agreement in accordance with Applicable Law.</w:t>
      </w:r>
    </w:p>
    <w:p>
      <w:pPr>
        <w:pStyle w:val="TextBody"/>
        <w:bidi w:val="0"/>
        <w:spacing w:lineRule="auto" w:line="319" w:before="0" w:after="240"/>
        <w:jc w:val="both"/>
        <w:rPr/>
      </w:pPr>
      <w:r>
        <w:rPr>
          <w:rFonts w:ascii="Times New Roman;serif" w:hAnsi="Times New Roman;serif"/>
          <w:b w:val="false"/>
          <w:color w:val="000000"/>
          <w:sz w:val="24"/>
        </w:rPr>
        <w:t>12.3    </w:t>
      </w:r>
      <w:r>
        <w:rPr>
          <w:rFonts w:ascii="Times New Roman;serif" w:hAnsi="Times New Roman;serif"/>
          <w:b w:val="false"/>
          <w:color w:val="000000"/>
          <w:sz w:val="24"/>
          <w:u w:val="single"/>
        </w:rPr>
        <w:t>Account Transaction Information</w:t>
      </w:r>
      <w:r>
        <w:rPr>
          <w:rFonts w:ascii="Times New Roman;serif" w:hAnsi="Times New Roman;serif"/>
          <w:b w:val="false"/>
          <w:color w:val="000000"/>
          <w:sz w:val="24"/>
        </w:rPr>
        <w:t>. Except as otherwise provided herein, Bank shall solely own any information derived from a Customer’s use of an Account, including, but not limited to, any Account transaction information and Account balance information (“Account Information”). For the avoidance of doubt, Account Information shall not include other information that constitutes Customer Personal Information. Client shall only use Account Information for the purposes of performing its obligations under the Agreement and as otherwise directed or permitted by Bank in writing. Notwithstanding the foregoing, Bank acknowledges and agrees that each Customer is also a customer on Client’s platform, and Client may request a Customer to provide the Customer’s affirmative authorization to allow Client to use such Customer’s Account Information for Client’s specified purpose(s) unrelated to the Agreement. If the Customer so affirmatively authorizes such use of the Customer’s Account Information, Client may use such Customer’s Account Information for Client’s own purposes unrelated to the Agreement. Notwithstanding anything to the contrary herein, the Parties acknowledge that Customer Personal Information or Account Information shall not be deemed to include publicly available information or such other non-personally identifiable information a party has otherwise obtained outside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1970"/>
                <wp:effectExtent l="0" t="0" r="0" b="0"/>
                <wp:wrapNone/>
                <wp:docPr id="225" name="Frame22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12.4    </w:t>
      </w:r>
      <w:r>
        <w:rPr>
          <w:rFonts w:ascii="Times New Roman;serif" w:hAnsi="Times New Roman;serif"/>
          <w:b w:val="false"/>
          <w:color w:val="000000"/>
          <w:sz w:val="24"/>
          <w:u w:val="single"/>
        </w:rPr>
        <w:t>Bank Use of Customer Personal Information</w:t>
      </w:r>
      <w:r>
        <w:rPr>
          <w:rFonts w:ascii="Times New Roman;serif" w:hAnsi="Times New Roman;serif"/>
          <w:b w:val="false"/>
          <w:color w:val="000000"/>
          <w:sz w:val="24"/>
        </w:rPr>
        <w:t xml:space="preserve">. Bank acknowledges and agrees that Bank may not use or share Customer Personal Information for any purpose other than in connection with the Agreement and Bank’s responsibilities and obligations related to the Program and Accounts. Following Bank’s sale of an Account or after termination or expiration of the Agreement,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1970"/>
                <wp:effectExtent l="0" t="0" r="0" b="0"/>
                <wp:wrapNone/>
                <wp:docPr id="226" name="Frame22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sell, distribute or otherwise directly or indirectly use or store Customer Personal Information (except as may be required by Applicable Law or Regulatory Authority). For the avoidance of doubt and without limiting the generality of the foregoing, Bank acknowledges Bank may not use or share Customer Personal Information for the purposes of soliciting Customers for any non-Program; provided, however, nothing in this Section 12.4 shall prevent Bank from soliciting consumers for Bank-issued products using information obtained independently of the Agreement.</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13.    INSURANCE</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13.1    At all times during the term of this Agreement, Client shall secure and maintain at its sole cost and expense the following minimum insurance coverage with financially sound and nationally reputable insurers with a minimum of A.M. Best Financial Strength Rating of A and Financial Size Rating of X. The requirements for such insurance coverage are as follows:</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shall ensure that Bank and the Bancorp, Inc., the parent company of Bank, are at all times named as additional insured’s on a primary basis under the Client’s Cyber Liability, Professional Liability and Commercial General Liability insurance with no Insured versus Insured exclusion relating to claims brought by The Bancorp, Inc. and/or Bank against Client. Client shall ensure that The Bancorp, Inc. and Bank are at all times named as loss payees under the Crime insurance. If any insurance is written on a Claims-Made form, the retroactive date shall be prior to the Effective Date and shall remain in force for a minimum of [***] after the expiration or termination of this Agreement. Coverage territory shall include claims brought in the United States and worldwide, if applicable. Each policy shall include a provision providing 30 days advance written notice to Bank of any material change or cancellation in coverage or limits. Client agrees to provide Bank with a Certificate of Insurance evidencing such required insurance upon Bank’s request. Upon Bank’s request, Client agrees to provide copies of the required insurance policies. Client agrees to maintain other types of insurance and/or additional amounts as is reasonable within the industry providing comparable coverages. Client shall require permitted subcontractors and clients of Client to maintain similar insurance as Client is required to maintain hereunder. Except for workers’ compensation, Client agrees to waive, and will require its insurers to waive, </w:t>
      </w:r>
      <w:r>
        <w:rPr>
          <w:rFonts w:ascii="Times New Roman;serif" w:hAnsi="Times New Roman;serif"/>
          <w:b/>
          <w:color w:val="000000"/>
          <w:sz w:val="24"/>
        </w:rPr>
        <w:t>a</w:t>
      </w:r>
      <w:r>
        <w:rPr>
          <w:rFonts w:ascii="Times New Roman;serif" w:hAnsi="Times New Roman;serif"/>
          <w:b w:val="false"/>
          <w:color w:val="000000"/>
          <w:sz w:val="24"/>
        </w:rPr>
        <w:t>ll rights of subrogation against Bank. Client agrees that its deductible or retention under each insurance policy or policies shall not exceed a total of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secure and maintain the following minimum insurance coverages: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Professional Liability (Error and Omissions) [***] per occurrence/ [***] aggregate)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Commercial General Liability ([***] per occurrence/ [***] aggregate)</w:t>
      </w:r>
    </w:p>
    <w:p>
      <w:pPr>
        <w:pStyle w:val="TextBody"/>
        <w:bidi w:val="0"/>
        <w:spacing w:before="0" w:after="0"/>
        <w:jc w:val="center"/>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21970"/>
                <wp:effectExtent l="0" t="0" r="0" b="0"/>
                <wp:wrapNone/>
                <wp:docPr id="227" name="Frame22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Workers’ Compensation as required by Applicable Law</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(c)    Cyber Liability ([***] per </w:t>
      </w:r>
      <w:r>
        <w:rPr>
          <w:rFonts w:ascii="Times New Roman;serif" w:hAnsi="Times New Roman;serif"/>
          <w:b/>
          <w:color w:val="000000"/>
          <w:sz w:val="24"/>
        </w:rPr>
        <w:t>o</w:t>
      </w:r>
      <w:r>
        <w:rPr>
          <w:rFonts w:ascii="Times New Roman;serif" w:hAnsi="Times New Roman;serif"/>
          <w:b w:val="false"/>
          <w:color w:val="000000"/>
          <w:sz w:val="24"/>
        </w:rPr>
        <w:t>ccurrence/[***] aggregate) which shall include: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Security and Privacy Breach Coverage,</w:t>
      </w:r>
    </w:p>
    <w:p>
      <w:pPr>
        <w:pStyle w:val="TextBody"/>
        <w:bidi w:val="0"/>
        <w:spacing w:before="0" w:after="0"/>
        <w:jc w:val="center"/>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21970"/>
                <wp:effectExtent l="0" t="0" r="0" b="0"/>
                <wp:wrapNone/>
                <wp:docPr id="228" name="Frame22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Media Coverage;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Network Interruption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    Extra Expenses that would not have been incurred by for a cyber security breach;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    Business income losses resulting from a cyber breach (e.g. denial of service).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Crisis Management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    Forensic Costs;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    Public Relations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3.    Privacy Notification Expenses;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4.    Credit Monitoring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5.    Regulatory Proceedings Coverage;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6.    PCI Fines &amp; Penalties Coverage.</w:t>
      </w:r>
    </w:p>
    <w:p>
      <w:pPr>
        <w:pStyle w:val="TextBody"/>
        <w:bidi w:val="0"/>
        <w:spacing w:lineRule="auto" w:line="333" w:before="0" w:after="240"/>
        <w:jc w:val="both"/>
        <w:rPr/>
      </w:pPr>
      <w:r>
        <w:rPr>
          <w:rFonts w:ascii="Times New Roman;serif" w:hAnsi="Times New Roman;serif"/>
          <w:b w:val="false"/>
          <w:color w:val="000000"/>
          <w:sz w:val="24"/>
        </w:rPr>
        <w:t>13.2    </w:t>
      </w:r>
      <w:r>
        <w:rPr>
          <w:rFonts w:ascii="Times New Roman;serif" w:hAnsi="Times New Roman;serif"/>
          <w:b w:val="false"/>
          <w:color w:val="000000"/>
          <w:sz w:val="24"/>
          <w:u w:val="single"/>
        </w:rPr>
        <w:t>Subcontractors</w:t>
      </w:r>
      <w:r>
        <w:rPr>
          <w:rFonts w:ascii="Times New Roman;serif" w:hAnsi="Times New Roman;serif"/>
          <w:b/>
          <w:color w:val="000000"/>
          <w:sz w:val="24"/>
        </w:rPr>
        <w:t xml:space="preserve">. </w:t>
      </w:r>
      <w:r>
        <w:rPr>
          <w:rFonts w:ascii="Times New Roman;serif" w:hAnsi="Times New Roman;serif"/>
          <w:b w:val="false"/>
          <w:color w:val="000000"/>
          <w:sz w:val="24"/>
        </w:rPr>
        <w:t>Client shall cause its third parties approved by Bank to maintain appropriate insurance coverages based on the scope and nature of the services provided by such third parties.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14.    LIMITATION OF LIABILITY</w:t>
      </w:r>
    </w:p>
    <w:p>
      <w:pPr>
        <w:pStyle w:val="TextBody"/>
        <w:bidi w:val="0"/>
        <w:spacing w:lineRule="auto" w:line="333" w:before="0" w:after="240"/>
        <w:jc w:val="both"/>
        <w:rPr/>
      </w:pPr>
      <w:r>
        <w:rPr>
          <w:rFonts w:ascii="Times New Roman;serif" w:hAnsi="Times New Roman;serif"/>
          <w:b w:val="false"/>
          <w:color w:val="000000"/>
          <w:sz w:val="24"/>
        </w:rPr>
        <w:t>14.1    </w:t>
      </w:r>
      <w:r>
        <w:rPr>
          <w:rFonts w:ascii="Times New Roman;serif" w:hAnsi="Times New Roman;serif"/>
          <w:b w:val="false"/>
          <w:color w:val="000000"/>
          <w:sz w:val="24"/>
          <w:u w:val="single"/>
        </w:rPr>
        <w:t>No Special Damages</w:t>
      </w:r>
      <w:r>
        <w:rPr>
          <w:rFonts w:ascii="Times New Roman;serif" w:hAnsi="Times New Roman;serif"/>
          <w:b w:val="false"/>
          <w:color w:val="000000"/>
          <w:sz w:val="24"/>
        </w:rPr>
        <w:t>. 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AGREEMENT PROVIDED, HOWEVER, THAT THE LIMITATIONS SET FORTH IN THIS SECTION SHALL NOT APPLY TO OR IN ANY WAY LIMIT THE INDEMNITY OBLIGATIONS UNDER THIS AGREEMENT.</w:t>
      </w:r>
    </w:p>
    <w:p>
      <w:pPr>
        <w:pStyle w:val="TextBody"/>
        <w:bidi w:val="0"/>
        <w:spacing w:lineRule="auto" w:line="333" w:before="0" w:after="240"/>
        <w:jc w:val="both"/>
        <w:rPr/>
      </w:pPr>
      <w:r>
        <w:rPr>
          <w:rFonts w:ascii="Times New Roman;serif" w:hAnsi="Times New Roman;serif"/>
          <w:b w:val="false"/>
          <w:color w:val="000000"/>
          <w:sz w:val="24"/>
        </w:rPr>
        <w:t>14.2    </w:t>
      </w:r>
      <w:r>
        <w:rPr>
          <w:rFonts w:ascii="Times New Roman;serif" w:hAnsi="Times New Roman;serif"/>
          <w:b w:val="false"/>
          <w:color w:val="000000"/>
          <w:sz w:val="24"/>
          <w:u w:val="single"/>
        </w:rPr>
        <w:t>Disclaimers of Warranties</w:t>
      </w:r>
      <w:r>
        <w:rPr>
          <w:rFonts w:ascii="Times New Roman;serif" w:hAnsi="Times New Roman;serif"/>
          <w:b w:val="false"/>
          <w:color w:val="000000"/>
          <w:sz w:val="24"/>
        </w:rPr>
        <w:t xml:space="preserve">. EACH OF BANK AND CLIENT SPECIFICALLY DISCLAIMS ALL WARRANTIES OF ANY KIND, EXPRESS OR IMPLIED, ARISING OUT OF OR RELATED TO THIS AGREEMENT, INCLUDING WITHOUT LIMITATION, ANY </w:t>
      </w:r>
    </w:p>
    <w:p>
      <w:pPr>
        <w:pStyle w:val="TextBody"/>
        <w:bidi w:val="0"/>
        <w:spacing w:before="0" w:after="0"/>
        <w:jc w:val="center"/>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21970"/>
                <wp:effectExtent l="0" t="0" r="0" b="0"/>
                <wp:wrapNone/>
                <wp:docPr id="229" name="Frame22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WARRANTY OF MARKETABILITY, FITNESS FOR A PARTICULAR PURPOSE OR NON-INFRINGEMENT, AND IMPLIED WARRANTIES ARISING FROM COURSE OF DEALING OR COURSE OF PERFORMANCE, EACH OF WHICH IS HEREBY EXCLUDED BY AGREEMENT OF THE PARTIES.</w:t>
      </w:r>
    </w:p>
    <w:p>
      <w:pPr>
        <w:pStyle w:val="TextBody"/>
        <w:bidi w:val="0"/>
        <w:spacing w:before="0" w:after="0"/>
        <w:jc w:val="center"/>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21970"/>
                <wp:effectExtent l="0" t="0" r="0" b="0"/>
                <wp:wrapNone/>
                <wp:docPr id="230" name="Frame22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15.    DISPUTES</w:t>
      </w:r>
    </w:p>
    <w:p>
      <w:pPr>
        <w:pStyle w:val="TextBody"/>
        <w:bidi w:val="0"/>
        <w:spacing w:lineRule="auto" w:line="319" w:before="0" w:after="240"/>
        <w:jc w:val="both"/>
        <w:rPr/>
      </w:pPr>
      <w:r>
        <w:rPr>
          <w:rFonts w:ascii="Times New Roman;serif" w:hAnsi="Times New Roman;serif"/>
          <w:b w:val="false"/>
          <w:color w:val="000000"/>
          <w:sz w:val="24"/>
        </w:rPr>
        <w:t>15.1    </w:t>
      </w:r>
      <w:r>
        <w:rPr>
          <w:rFonts w:ascii="Times New Roman;serif" w:hAnsi="Times New Roman;serif"/>
          <w:b w:val="false"/>
          <w:color w:val="000000"/>
          <w:sz w:val="24"/>
          <w:u w:val="single"/>
        </w:rPr>
        <w:t>Duty to Notify</w:t>
      </w:r>
      <w:r>
        <w:rPr>
          <w:rFonts w:ascii="Times New Roman;serif" w:hAnsi="Times New Roman;serif"/>
          <w:b w:val="false"/>
          <w:color w:val="000000"/>
          <w:sz w:val="24"/>
        </w:rPr>
        <w:t>. In the event of any dispute, controversy, or claim between the Parties arising out of or relating to this Agreement or the construction, interpretation, performance, breach, termination, enforceability or validity thereof (hereinafter, a “Dispute”), the Party raising such Dispute shall notify the other promptly and no later than [***] from the date of its discovery of the Dispute. In the case of a Dispute relating to amounts paid under an Addendum or similar matter, the failure of a Party to notify the other Party of such Dispute within [***] from the date of its receipt shall result in such matter being deemed undisputed and accepted by the Party attempting to raise such Dispute.</w:t>
      </w:r>
    </w:p>
    <w:p>
      <w:pPr>
        <w:pStyle w:val="TextBody"/>
        <w:bidi w:val="0"/>
        <w:spacing w:lineRule="auto" w:line="319" w:before="0" w:after="240"/>
        <w:jc w:val="both"/>
        <w:rPr/>
      </w:pPr>
      <w:r>
        <w:rPr>
          <w:rFonts w:ascii="Times New Roman;serif" w:hAnsi="Times New Roman;serif"/>
          <w:b w:val="false"/>
          <w:color w:val="000000"/>
          <w:sz w:val="24"/>
        </w:rPr>
        <w:t>15.2    </w:t>
      </w:r>
      <w:r>
        <w:rPr>
          <w:rFonts w:ascii="Times New Roman;serif" w:hAnsi="Times New Roman;serif"/>
          <w:b w:val="false"/>
          <w:color w:val="000000"/>
          <w:sz w:val="24"/>
          <w:u w:val="single"/>
        </w:rPr>
        <w:t>Cooperation to Resolve Disputes</w:t>
      </w:r>
      <w:r>
        <w:rPr>
          <w:rFonts w:ascii="Times New Roman;serif" w:hAnsi="Times New Roman;serif"/>
          <w:b w:val="false"/>
          <w:color w:val="000000"/>
          <w:sz w:val="24"/>
        </w:rPr>
        <w:t>.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Agreement that are the subject of the Dispute.</w:t>
      </w:r>
    </w:p>
    <w:p>
      <w:pPr>
        <w:pStyle w:val="TextBody"/>
        <w:bidi w:val="0"/>
        <w:spacing w:lineRule="auto" w:line="319" w:before="0" w:after="240"/>
        <w:jc w:val="both"/>
        <w:rPr/>
      </w:pPr>
      <w:r>
        <w:rPr>
          <w:rFonts w:ascii="Times New Roman;serif" w:hAnsi="Times New Roman;serif"/>
          <w:b w:val="false"/>
          <w:color w:val="000000"/>
          <w:sz w:val="24"/>
        </w:rPr>
        <w:t>15.3    </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Dispute which cannot otherwise be resolved as provided in paragraph Sections 15.1 or 15.2 above shall be resolved by arbitration conducted in accordance with the commercial arbitration rules of the American Arbitration Association, and judgment upon the award rendered by the arbitral tribunal may be entered in any court having jurisdiction thereof. The arbitration tribunal shall consist of a single arbitrator mutually agreed upon by the Parties, or in the absence of such agreement within [***] from the first referral of the dispute to the American Arbitration Association, designated by the American Arbitration Asso</w:t>
      </w:r>
      <w:r>
        <w:rPr>
          <w:rFonts w:ascii="Times New Roman;serif" w:hAnsi="Times New Roman;serif"/>
          <w:b/>
          <w:color w:val="000000"/>
          <w:sz w:val="24"/>
        </w:rPr>
        <w:t>c</w:t>
      </w:r>
      <w:r>
        <w:rPr>
          <w:rFonts w:ascii="Times New Roman;serif" w:hAnsi="Times New Roman;serif"/>
          <w:b w:val="false"/>
          <w:color w:val="000000"/>
          <w:sz w:val="24"/>
        </w:rPr>
        <w:t>iation. The place of arbitration shall be Wilmington, Delaware, unless the Parties shall have agreed to another location within [***] from the first referral of the dispute to the American Arbitration Association. The arbitral award shall be final and binding, the Parties waive any right to appeal the arbitral award; to the extent a right to appeal may be lawfully waived. Each Party retains the right to seek judicial assistance: (i) to compel arbitration, (ii) to obtain interim measures of protection prior to or pending arbitration, (iii) to seek injunctive relief in the courts of any jurisdiction as may be necessary and appropriate to protect the unauthorized disclosure of its proprietary or confidential information, and (iv) to enforce any decision of the arbitrator, including the final award. In no event shall either Party be entitled to punitive, exemplary or similar damages.</w:t>
      </w:r>
    </w:p>
    <w:p>
      <w:pPr>
        <w:pStyle w:val="TextBody"/>
        <w:bidi w:val="0"/>
        <w:spacing w:lineRule="auto" w:line="319" w:before="0" w:after="240"/>
        <w:jc w:val="both"/>
        <w:rPr/>
      </w:pPr>
      <w:r>
        <w:rPr>
          <w:rFonts w:ascii="Times New Roman;serif" w:hAnsi="Times New Roman;serif"/>
          <w:b w:val="false"/>
          <w:color w:val="000000"/>
          <w:sz w:val="24"/>
        </w:rPr>
        <w:t>15.4    </w:t>
      </w:r>
      <w:r>
        <w:rPr>
          <w:rFonts w:ascii="Times New Roman;serif" w:hAnsi="Times New Roman;serif"/>
          <w:b w:val="false"/>
          <w:color w:val="000000"/>
          <w:sz w:val="24"/>
          <w:u w:val="single"/>
        </w:rPr>
        <w:t>Confidentiality of Proceedings</w:t>
      </w:r>
      <w:r>
        <w:rPr>
          <w:rFonts w:ascii="Times New Roman;serif" w:hAnsi="Times New Roman;serif"/>
          <w:b w:val="false"/>
          <w:color w:val="000000"/>
          <w:sz w:val="24"/>
        </w:rPr>
        <w:t xml:space="preserve">. The arbitration proceedings contemplated by this section shall be as confidential and private as permitted by law, provided however that Bank is permitted to disclose the proceedings to accountants, legal counsel and professional advisors. To that end, the Parties shall not disclose the existence, content or results of any proceedings conducted in accordance with this section, and materials submitted in connection with such proceedings shall not be admissible in any other proceeding, provided, however, that this confidentiality provision </w:t>
      </w:r>
    </w:p>
    <w:p>
      <w:pPr>
        <w:pStyle w:val="TextBody"/>
        <w:bidi w:val="0"/>
        <w:spacing w:before="0" w:after="0"/>
        <w:jc w:val="center"/>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21970"/>
                <wp:effectExtent l="0" t="0" r="0" b="0"/>
                <wp:wrapNone/>
                <wp:docPr id="231" name="Frame22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prevent a petition to vacate or enforce an arbitral award, and shall not bar disclosures required by any laws or regulations.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16.    INDEMNIFICATION</w:t>
      </w:r>
    </w:p>
    <w:p>
      <w:pPr>
        <w:pStyle w:val="TextBody"/>
        <w:bidi w:val="0"/>
        <w:spacing w:lineRule="auto" w:line="319" w:before="0" w:after="240"/>
        <w:jc w:val="both"/>
        <w:rPr/>
      </w:pPr>
      <w:r>
        <w:rPr>
          <w:rFonts w:ascii="Times New Roman;serif" w:hAnsi="Times New Roman;serif"/>
          <w:b w:val="false"/>
          <w:color w:val="000000"/>
          <w:sz w:val="24"/>
        </w:rPr>
        <w:t>16.1    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1970"/>
                <wp:effectExtent l="0" t="0" r="0" b="0"/>
                <wp:wrapNone/>
                <wp:docPr id="232" name="Frame23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covenants and agrees to indemnify and hold harmless Bank, its parent, subsidiaries or affiliates, and their respective officers, directors, employees and permitted assigns, as such, against any direct losses or expenses arising from any legal action, claim, demand or proceedings brought against any of them as a result of any misrepresentation, breach of warranty, Customer claim, or failure to fulfill a covenant of this Agreement on the part of Client, any act or omission of Client or its providers which violates any by-laws, Rules, or Applicable Law, any claim relating to obligations owed to or by Client or any third party retained by it, or any claim by a Customer or prospective Customer relating to the Program; provided, that this provision shall not apply if such claim arises out of (i) an act of fraud, embezzlement or criminal activity by Bank or its representatives, (ii) gross negligence, willful misconduct or bad faith by Bank or its representatives, or (iii) the failure of Bank or its representatives to comply with, or to perform its obligations under, this Agreement.</w: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covenants and agrees to indemnify and hold harmless Client and its parent, subsidiaries or affiliates, and their respective officers, directors, employees, and permitted assigns, as such, against any direct, losses or expenses arising from any third party legal action, claim, demand, or proceedings brought against any of them as a result of any misrepresentation, breach of warranty, or failure to fulfill a covenant of this Agreement on the part of Bank (including any Customer claim arising therefrom), any act or omission of Bank or its providers which violates any law, by-laws or Applicable Law, or any claim relating to obligations owed to or by Bank or any third party retained by it (except to the extent that Client has agreed to fulfill such obligation under this Agreement), provided, that this provision shall not apply if such claim arises out of (i) an act of fraud, embezzlement or criminal activity by Client or its representatives, (ii) gross negligence, willful misconduct or bad faith by Client or its representatives, or (iii) the failure of Client or its representatives to comply with, or to perform its obligations under, this Agreement.</w: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any claim or demand is asserted against any Party or Parties (individually or collectively, the “Indemnified Party”) by any person who is not a Party to this Agreement in respect of which the Indemnified Party may be entitled to indemnification under the provisions of subsections (a) or (b) above, written notice of such claim or demand shall promptly be given to any Party or Parties (individually or collectively, the “Indemnifying Party”) from whom indemnification may be sought. The Indemnifying Party shall have the right, by notifying the Indemnified Party within [***] of its receipt of the notice of the claim or demand, to assume the entire control (subject to the right of the Indemnified Party to Participate at the Indemnified Party’s expense and with counsel of the Indemnified Party’s choice) of the defense, compromise or settlement of the matter, including, at the Indemnifying Party’s expense, employment of counsel of the Indemnifying Party’s choice. Any counsel retained by the Indemnifying Party for such purposes shall be reasonably acceptable to the Indemnified Party. The Indemnifying Party shall institute and maintain any such defense diligently and reasonably and shall keep the Indemnified Party fully advised as to the status thereof. If the Indemnifying Party gives notice to any Indemnified Party that the Indemnifying Party will assume control of the defense, </w:t>
      </w:r>
    </w:p>
    <w:p>
      <w:pPr>
        <w:pStyle w:val="TextBody"/>
        <w:bidi w:val="0"/>
        <w:spacing w:before="0" w:after="0"/>
        <w:jc w:val="center"/>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21970"/>
                <wp:effectExtent l="0" t="0" r="0" b="0"/>
                <wp:wrapNone/>
                <wp:docPr id="233" name="Frame23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compromise or settlement of the matter the Indemnifying Party will be deemed to have waived all defenses to the claims for indemnification by the Indemnified Party with respect to that matter. The Indemnified Party shall have the right to employ its own counsel if the Indemnified Party so elects to assume such defense, but the fees and expense of such counsel shall be at the Indemnified Party’s expense, unless (i) the employment of such counsel shall have been authorized in writing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21970"/>
                <wp:effectExtent l="0" t="0" r="0" b="0"/>
                <wp:wrapNone/>
                <wp:docPr id="234" name="Frame23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Indemnifying Party; (ii) such Indemnified Party shall have reasonably concluded that the interests of such parties are conflicting such that it would be inappropriate for the same counsel to represent both parties or shall have reasonably concluded that the ability of the parties to prevail in the defense of any claim are improved if separate counsel represents the Indemnified Party (in which case the Indemnifying Party shall not have the right to direct the defense of such action on behalf of the Indemnified Party), and in either of such events such reasonable fees and expenses shall be borne by the Indemnifying Party; and (iii) the Indemnifying Party shall have reasonably concluded that it is necessary to institute separate litigation, whether in the same or another court, in order to defend the claims asserted against it; or (iv) the Indemnifying Party shall have not employed counsel reasonably acceptable to the Indemnified Party to take charge of the defense or such action after electing to assume the defense thereof. Any damages to the assets or business of the Indemnified Party caused by a failure of the Indemnifying Party to defend, compromise or settle a claim or demand in a reasonable and expeditious manner, after the indemnifying Party has given notice that it will assume control of the defense, compromise or settlement of the matter, shall be included in the damages for which the Indemnifying Party shall be obligated to indemnify the Indemnified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provisions of this Section 16.1 shall survive termination or expiration of this Agreement.</w:t>
      </w:r>
    </w:p>
    <w:p>
      <w:pPr>
        <w:pStyle w:val="TextBody"/>
        <w:bidi w:val="0"/>
        <w:spacing w:lineRule="auto" w:line="307" w:before="0" w:after="240"/>
        <w:jc w:val="both"/>
        <w:rPr/>
      </w:pPr>
      <w:r>
        <w:rPr>
          <w:rFonts w:ascii="Times New Roman;serif" w:hAnsi="Times New Roman;serif"/>
          <w:b w:val="false"/>
          <w:color w:val="000000"/>
          <w:sz w:val="24"/>
        </w:rPr>
        <w:t>16.2    </w:t>
      </w:r>
      <w:r>
        <w:rPr>
          <w:rFonts w:ascii="Times New Roman;serif" w:hAnsi="Times New Roman;serif"/>
          <w:b w:val="false"/>
          <w:color w:val="000000"/>
          <w:sz w:val="24"/>
          <w:u w:val="single"/>
        </w:rPr>
        <w:t>Disclosure</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Party shall promptly notify the other of any action, suit, proceeding, facts and circumstances, and the threat of reasonable prospect of same, which might give rise to any indemnification hereunder or which might materially and adversely affect either Party’s ability to perform this Agreement.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Party represents and warrants to the other that it has no knowledge of any pending or threatened suit, action, arbitration or other proceedings of a legal, administrative or regulatory nature, or any governmental investigation, against it or any of its affiliates or any officer, director, or employee which has not been previously disclosed in writing and which would materially and adversely affect its financial condition, or its ability to perform this Agreement. The provisions of this Section 16.2 shall survive termination or expiration of this Agreement.</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17.    SET-OFF AND OTHER BANK REMEDIES</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any failure by Client to perform any of its obligations hereunder or under any Addendum hereto, Bank shall have all rights and remedies available to it at law or in equity except as otherwise provided herein. Without limiting the generality of the foregoing, Client acknowledges that Bank shall have a contractual and statutory right of set-off against, any and all Program Accounts or other accounts, Program Revenues, funds, monies, and other properties of Client at Bank or which come into possession of Bank including, without limitation, any fees payable by Bank to Client pursuant to this Agreement, for the purpose of satisfying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21970"/>
                <wp:effectExtent l="0" t="0" r="0" b="0"/>
                <wp:wrapNone/>
                <wp:docPr id="235" name="Frame23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obligations of Client hereunder. Client agrees that none of Client’s deposits at Bank shall be considered “special” deposits unavailable for set-off by Bank unless Bank has specifically so agreed in a separate writing. Client further agrees that the rights and remedies of Bank described herein are in addition to all other rights which Bank may have at law or equity. The Parties acknowledge and </w:t>
      </w:r>
    </w:p>
    <w:p>
      <w:pPr>
        <w:pStyle w:val="TextBody"/>
        <w:bidi w:val="0"/>
        <w:spacing w:before="0" w:after="0"/>
        <w:jc w:val="center"/>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21970"/>
                <wp:effectExtent l="0" t="0" r="0" b="0"/>
                <wp:wrapNone/>
                <wp:docPr id="236" name="Frame23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agree that all Customer Funds shall be held in trust for the benefit of the Customers, and that neither Bank nor Client shall have an equitable interest in Customer Funds and such Customer Funds will not be used for any other purpose, including set-off.</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18.    GENERAL PROVISIONS</w:t>
      </w:r>
    </w:p>
    <w:p>
      <w:pPr>
        <w:pStyle w:val="TextBody"/>
        <w:bidi w:val="0"/>
        <w:spacing w:lineRule="auto" w:line="307" w:before="0" w:after="240"/>
        <w:jc w:val="both"/>
        <w:rPr/>
      </w:pPr>
      <w:r>
        <w:rPr>
          <w:rFonts w:ascii="Times New Roman;serif" w:hAnsi="Times New Roman;serif"/>
          <w:b w:val="false"/>
          <w:color w:val="000000"/>
          <w:sz w:val="24"/>
        </w:rPr>
        <w:t>18.1    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acknowledges and agrees that any copyright, patent, trademark and other proprietary right, title and interest in and to any product, service or business process relating thereto that is provided by Client (collectively, “Client IP”) are and will remain the exclusive property of Client. Bank acknowledges that it does not acquire any ownership rights in and to Client IP, and nothing contained in this Agreement shall be construed as granting, by implication, estoppel or otherwise, any assignment, transfer or license to Bank of such right, title and interest.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acknowledges and agrees that any copyright, patent, trademark and other proprietary right, title and interest in and to the Program and any product, service or business process relating thereto that is provided by Bank (collectively, “Bank IP”) are and will remain the exclusive property of Bank. Client acknowledges that it does not acquire any ownership rights in and to Bank IP, and nothing contained in this Agreement shall be construed as granting, by implication, estoppel or otherwise, any assignment, transfer or license to Client of such right, title and interest.</w:t>
      </w:r>
    </w:p>
    <w:p>
      <w:pPr>
        <w:pStyle w:val="TextBody"/>
        <w:bidi w:val="0"/>
        <w:spacing w:lineRule="auto" w:line="307" w:before="0" w:after="240"/>
        <w:jc w:val="both"/>
        <w:rPr/>
      </w:pPr>
      <w:r>
        <w:rPr>
          <w:rFonts w:ascii="Times New Roman;serif" w:hAnsi="Times New Roman;serif"/>
          <w:b w:val="false"/>
          <w:color w:val="000000"/>
          <w:sz w:val="24"/>
        </w:rPr>
        <w:t>18.2    </w:t>
      </w:r>
      <w:r>
        <w:rPr>
          <w:rFonts w:ascii="Times New Roman;serif" w:hAnsi="Times New Roman;serif"/>
          <w:b w:val="false"/>
          <w:color w:val="000000"/>
          <w:sz w:val="24"/>
          <w:u w:val="single"/>
        </w:rPr>
        <w:t>Legal Compliance</w:t>
      </w:r>
      <w:r>
        <w:rPr>
          <w:rFonts w:ascii="Times New Roman;serif" w:hAnsi="Times New Roman;serif"/>
          <w:b w:val="false"/>
          <w:color w:val="000000"/>
          <w:sz w:val="24"/>
        </w:rPr>
        <w:t>. Each Party represents and warrants to the other that it is familiar with the requirements of all Applicable Law, including consumer protection laws applicable to it which relate to the Program and its obligations hereunder, and agrees that it will comply, in all material respects, with all such laws and regulations and all other Applicable Laws and regulations relating to its activities under this Agreement, now and in the future. The provisions of this Section 18.2 shall not, however, alter the responsibilities of the Parties to ensure compliance with respect to various aspects of the Program as detailed in separate sections of this Agreement and in accordance with Applicable Law.</w:t>
      </w:r>
    </w:p>
    <w:p>
      <w:pPr>
        <w:pStyle w:val="TextBody"/>
        <w:bidi w:val="0"/>
        <w:spacing w:lineRule="auto" w:line="307" w:before="0" w:after="240"/>
        <w:jc w:val="both"/>
        <w:rPr/>
      </w:pPr>
      <w:r>
        <w:rPr>
          <w:rFonts w:ascii="Times New Roman;serif" w:hAnsi="Times New Roman;serif"/>
          <w:b w:val="false"/>
          <w:color w:val="000000"/>
          <w:sz w:val="24"/>
        </w:rPr>
        <w:t>18.3    </w:t>
      </w:r>
      <w:r>
        <w:rPr>
          <w:rFonts w:ascii="Times New Roman;serif" w:hAnsi="Times New Roman;serif"/>
          <w:b w:val="false"/>
          <w:color w:val="000000"/>
          <w:sz w:val="24"/>
          <w:u w:val="single"/>
        </w:rPr>
        <w:t>Relationship of Parties</w:t>
      </w:r>
      <w:r>
        <w:rPr>
          <w:rFonts w:ascii="Times New Roman;serif" w:hAnsi="Times New Roman;serif"/>
          <w:b w:val="false"/>
          <w:color w:val="000000"/>
          <w:sz w:val="24"/>
        </w:rPr>
        <w:t>. Bank and Client agree they are independent contractors to each other in performing their respective obligations hereunder. Nothing in this Agreement or in the working relationship being established and developed hereunder shall be deemed, nor shall it cause, Bank and Client to be treated as partners, joint ventures, or otherwise as joint associates for profit.</w:t>
      </w:r>
    </w:p>
    <w:p>
      <w:pPr>
        <w:pStyle w:val="TextBody"/>
        <w:bidi w:val="0"/>
        <w:spacing w:lineRule="auto" w:line="307" w:before="0" w:after="240"/>
        <w:jc w:val="both"/>
        <w:rPr/>
      </w:pPr>
      <w:r>
        <w:rPr>
          <w:rFonts w:ascii="Times New Roman;serif" w:hAnsi="Times New Roman;serif"/>
          <w:b w:val="false"/>
          <w:color w:val="000000"/>
          <w:sz w:val="24"/>
        </w:rPr>
        <w:t>18.4    </w:t>
      </w:r>
      <w:r>
        <w:rPr>
          <w:rFonts w:ascii="Times New Roman;serif" w:hAnsi="Times New Roman;serif"/>
          <w:b w:val="false"/>
          <w:color w:val="000000"/>
          <w:sz w:val="24"/>
          <w:u w:val="single"/>
        </w:rPr>
        <w:t>No Exclusivity</w:t>
      </w:r>
      <w:r>
        <w:rPr>
          <w:rFonts w:ascii="Times New Roman;serif" w:hAnsi="Times New Roman;serif"/>
          <w:b w:val="false"/>
          <w:color w:val="000000"/>
          <w:sz w:val="24"/>
        </w:rPr>
        <w:t>. Nothing in this Agreement shall prohibit Bank or Client from operating any other programs in addition to the Programs governed by the terms of this Agreement.</w:t>
      </w:r>
    </w:p>
    <w:p>
      <w:pPr>
        <w:pStyle w:val="TextBody"/>
        <w:bidi w:val="0"/>
        <w:spacing w:lineRule="auto" w:line="307" w:before="0" w:after="240"/>
        <w:jc w:val="both"/>
        <w:rPr/>
      </w:pPr>
      <w:r>
        <w:rPr>
          <w:rFonts w:ascii="Times New Roman;serif" w:hAnsi="Times New Roman;serif"/>
          <w:b w:val="false"/>
          <w:color w:val="000000"/>
          <w:sz w:val="24"/>
        </w:rPr>
        <w:t>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xml:space="preserve">. Client agrees to submit to any examination which may be required by any Regulatory Authority with audit and examination </w:t>
      </w:r>
    </w:p>
    <w:p>
      <w:pPr>
        <w:pStyle w:val="TextBody"/>
        <w:bidi w:val="0"/>
        <w:spacing w:before="0" w:after="0"/>
        <w:jc w:val="center"/>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21970"/>
                <wp:effectExtent l="0" t="0" r="0" b="0"/>
                <wp:wrapNone/>
                <wp:docPr id="237" name="Frame23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1970"/>
                <wp:effectExtent l="0" t="0" r="0" b="0"/>
                <wp:wrapNone/>
                <wp:docPr id="238" name="Frame23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of Bank and any Regulatory Authority to audit the books and records of any Processor or other third party service provider involved in the Program. Client shall furnish Bank, at Client’s expense and upon Bank’s written request, quarterly financial statements in the form required by Client’s Board of Directors and Applicable Law. In the event that Client has audited financial statements, Client shall provide Bank such audited financial statements on an annual basis. Client shall also provide such other information as Regulatory Authorities, or the Network may from time-t</w:t>
      </w:r>
      <w:r>
        <w:rPr>
          <w:rFonts w:ascii="Times New Roman;serif" w:hAnsi="Times New Roman;serif"/>
          <w:b/>
          <w:color w:val="000000"/>
          <w:sz w:val="24"/>
        </w:rPr>
        <w:t>o</w:t>
      </w:r>
      <w:r>
        <w:rPr>
          <w:rFonts w:ascii="Times New Roman;serif" w:hAnsi="Times New Roman;serif"/>
          <w:b w:val="false"/>
          <w:color w:val="000000"/>
          <w:sz w:val="24"/>
        </w:rPr>
        <w:t>-time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19" w:before="0" w:after="240"/>
        <w:jc w:val="both"/>
        <w:rPr/>
      </w:pPr>
      <w:r>
        <w:rPr>
          <w:rFonts w:ascii="Times New Roman;serif" w:hAnsi="Times New Roman;serif"/>
          <w:b w:val="false"/>
          <w:color w:val="000000"/>
          <w:sz w:val="24"/>
        </w:rPr>
        <w:t>18.6    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internal laws, and not by the laws regarding conflicts of laws, of the State of Delaware. Any dispute between the Parties regarding this Agreement shall be venued in the state or federal district courts located in Delaware. Each Party hereby submits to the jurisdiction of the courts of such state, and waives any objection to venue with respect to actions brought in such courts.</w:t>
      </w:r>
    </w:p>
    <w:p>
      <w:pPr>
        <w:pStyle w:val="TextBody"/>
        <w:bidi w:val="0"/>
        <w:spacing w:lineRule="auto" w:line="319" w:before="0" w:after="240"/>
        <w:jc w:val="both"/>
        <w:rPr/>
      </w:pPr>
      <w:r>
        <w:rPr>
          <w:rFonts w:ascii="Times New Roman;serif" w:hAnsi="Times New Roman;serif"/>
          <w:b w:val="false"/>
          <w:color w:val="000000"/>
          <w:sz w:val="24"/>
        </w:rPr>
        <w:t>18.7    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part of this Agreement is deemed by a court, Regulatory Authority,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pStyle w:val="TextBody"/>
        <w:bidi w:val="0"/>
        <w:spacing w:lineRule="auto" w:line="319" w:before="0" w:after="240"/>
        <w:jc w:val="both"/>
        <w:rPr/>
      </w:pPr>
      <w:r>
        <w:rPr>
          <w:rFonts w:ascii="Times New Roman;serif" w:hAnsi="Times New Roman;serif"/>
          <w:b w:val="false"/>
          <w:color w:val="000000"/>
          <w:sz w:val="24"/>
        </w:rPr>
        <w:t>18.8    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representations and warranties herein, as well as the provisions of Section </w:t>
      </w:r>
      <w:r>
        <w:rPr>
          <w:rFonts w:ascii="Times New Roman;serif" w:hAnsi="Times New Roman;serif"/>
          <w:b/>
          <w:color w:val="000000"/>
          <w:sz w:val="24"/>
        </w:rPr>
        <w:t>1</w:t>
      </w:r>
      <w:r>
        <w:rPr>
          <w:rFonts w:ascii="Times New Roman;serif" w:hAnsi="Times New Roman;serif"/>
          <w:b w:val="false"/>
          <w:color w:val="000000"/>
          <w:sz w:val="24"/>
        </w:rPr>
        <w:t>1 (Confidentiality), Section 10 (Wind Down Period), Section 14 (Limitation of Liability), Section 16 (Indemnification), Section 17 (Set-off and Other Bank Remedies), and this Section 18 (General Provisions), and any other provisions which by their nature may reasonably be expected to survive any termination or expiration of this Agreement, shall survive termination or expiration of this Agreement.</w:t>
      </w:r>
    </w:p>
    <w:p>
      <w:pPr>
        <w:pStyle w:val="TextBody"/>
        <w:bidi w:val="0"/>
        <w:spacing w:lineRule="auto" w:line="319" w:before="0" w:after="240"/>
        <w:jc w:val="both"/>
        <w:rPr/>
      </w:pPr>
      <w:r>
        <w:rPr>
          <w:rFonts w:ascii="Times New Roman;serif" w:hAnsi="Times New Roman;serif"/>
          <w:b w:val="false"/>
          <w:color w:val="000000"/>
          <w:sz w:val="24"/>
        </w:rPr>
        <w:t>18.9    </w:t>
      </w:r>
      <w:r>
        <w:rPr>
          <w:rFonts w:ascii="Times New Roman;serif" w:hAnsi="Times New Roman;serif"/>
          <w:b w:val="false"/>
          <w:color w:val="000000"/>
          <w:sz w:val="24"/>
          <w:u w:val="single"/>
        </w:rPr>
        <w:t>Successors and Third Parties</w:t>
      </w:r>
      <w:r>
        <w:rPr>
          <w:rFonts w:ascii="Times New Roman;serif" w:hAnsi="Times New Roman;serif"/>
          <w:b w:val="false"/>
          <w:color w:val="000000"/>
          <w:sz w:val="24"/>
        </w:rPr>
        <w:t>. Except as limited by Section 18.10, this Agreement and the rights and obligations hereunder shall bind, and inure to the benefit of the Parties and their successors and permitted assigns.</w:t>
      </w:r>
    </w:p>
    <w:p>
      <w:pPr>
        <w:pStyle w:val="TextBody"/>
        <w:bidi w:val="0"/>
        <w:spacing w:lineRule="auto" w:line="319" w:before="0" w:after="240"/>
        <w:jc w:val="both"/>
        <w:rPr/>
      </w:pPr>
      <w:r>
        <w:rPr>
          <w:rFonts w:ascii="Times New Roman;serif" w:hAnsi="Times New Roman;serif"/>
          <w:b w:val="false"/>
          <w:color w:val="000000"/>
          <w:sz w:val="24"/>
        </w:rPr>
        <w:t>18.10    </w:t>
      </w:r>
      <w:r>
        <w:rPr>
          <w:rFonts w:ascii="Times New Roman;serif" w:hAnsi="Times New Roman;serif"/>
          <w:b w:val="false"/>
          <w:color w:val="000000"/>
          <w:sz w:val="24"/>
          <w:u w:val="single"/>
        </w:rPr>
        <w:t>Assignments</w:t>
      </w:r>
      <w:r>
        <w:rPr>
          <w:rFonts w:ascii="Times New Roman;serif" w:hAnsi="Times New Roman;serif"/>
          <w:b w:val="false"/>
          <w:color w:val="000000"/>
          <w:sz w:val="24"/>
        </w:rPr>
        <w:t>. The rights and obligations of each Party under this Agreement are personal and may not be assigned either voluntarily or by operation of law, without prior written consent from the other Party; provided, however, that such rights and obligations may be assigned to a wholly owned subsidiary of a Party upon 30 days’ notice to the other Party and, upon the other Party’s election, the assignor enters into an agreement where the assignor guarantees to the other Party the assignee’s obligations under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21970"/>
                <wp:effectExtent l="0" t="0" r="0" b="0"/>
                <wp:wrapNone/>
                <wp:docPr id="239" name="Frame23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18.11    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and approvals required by this Agreement shall be in writing addressed/directed to the other Party at the address and facsimile set forth below, or at such other address of which the notifying Party hereafter receives notice in conformity with this section. All such notices, requests, and approvals shall be deemed given upon the earlier of receipt of facsimile transmission during the normal business day or actual receipt thereof. All such notices, requests and approvals shall be addressed to the attention of:</w:t>
      </w:r>
    </w:p>
    <w:p>
      <w:pPr>
        <w:pStyle w:val="TextBody"/>
        <w:bidi w:val="0"/>
        <w:spacing w:before="0" w:after="0"/>
        <w:jc w:val="center"/>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21970"/>
                <wp:effectExtent l="0" t="0" r="0" b="0"/>
                <wp:wrapNone/>
                <wp:docPr id="240" name="Frame23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5230" w:type="dxa"/>
        <w:jc w:val="left"/>
        <w:tblInd w:w="0" w:type="dxa"/>
        <w:tblLayout w:type="fixed"/>
        <w:tblCellMar>
          <w:top w:w="28" w:type="dxa"/>
          <w:left w:w="28" w:type="dxa"/>
          <w:bottom w:w="28" w:type="dxa"/>
          <w:right w:w="28" w:type="dxa"/>
        </w:tblCellMar>
      </w:tblPr>
      <w:tblGrid>
        <w:gridCol w:w="569"/>
        <w:gridCol w:w="501"/>
        <w:gridCol w:w="504"/>
        <w:gridCol w:w="109"/>
        <w:gridCol w:w="109"/>
        <w:gridCol w:w="109"/>
        <w:gridCol w:w="974"/>
        <w:gridCol w:w="974"/>
        <w:gridCol w:w="1381"/>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Contract Administrator</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6100 S. Old Village Place</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Sioux Falls, SD 57108</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Facsimile Number: [***]</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123 North Third Street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Suite 603</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Minneapolis, MN 55401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Client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Chris Britt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 (which shall not constitute notice):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bl>
    <w:p>
      <w:pPr>
        <w:pStyle w:val="TextBody"/>
        <w:bidi w:val="0"/>
        <w:spacing w:lineRule="auto" w:line="333" w:before="480" w:after="240"/>
        <w:jc w:val="both"/>
        <w:rPr/>
      </w:pPr>
      <w:r>
        <w:rPr>
          <w:rFonts w:ascii="Times New Roman;serif" w:hAnsi="Times New Roman;serif"/>
          <w:b w:val="false"/>
          <w:color w:val="000000"/>
          <w:sz w:val="24"/>
        </w:rPr>
        <w:t>18.12    </w:t>
      </w:r>
      <w:r>
        <w:rPr>
          <w:rFonts w:ascii="Times New Roman;serif" w:hAnsi="Times New Roman;serif"/>
          <w:b w:val="false"/>
          <w:color w:val="000000"/>
          <w:sz w:val="24"/>
          <w:u w:val="single"/>
        </w:rPr>
        <w:t>Waivers</w:t>
      </w:r>
      <w:r>
        <w:rPr>
          <w:rFonts w:ascii="Times New Roman;serif" w:hAnsi="Times New Roman;serif"/>
          <w:b w:val="false"/>
          <w:color w:val="000000"/>
          <w:sz w:val="24"/>
        </w:rPr>
        <w:t>. Neither Party shall be deemed to have waived any of its rights, power, or remedies hereunder except in writing signed by an authorized agent or representative of the Party to be charged. Either Party may, by an instrument in writing, waive compliance by the other Party with any term or provision of this Agreement on the part of the other Party to be performed or complied with. The waiver by either Party of a breach of any term or provision of this Agreement shall not be construed as a waiver of any subsequent breach.</w:t>
      </w:r>
    </w:p>
    <w:p>
      <w:pPr>
        <w:pStyle w:val="TextBody"/>
        <w:bidi w:val="0"/>
        <w:spacing w:lineRule="auto" w:line="333" w:before="0" w:after="240"/>
        <w:jc w:val="both"/>
        <w:rPr/>
      </w:pPr>
      <w:r>
        <w:rPr>
          <w:rFonts w:ascii="Times New Roman;serif" w:hAnsi="Times New Roman;serif"/>
          <w:b w:val="false"/>
          <w:color w:val="000000"/>
          <w:sz w:val="24"/>
        </w:rPr>
        <w:t>18.13    </w:t>
      </w:r>
      <w:r>
        <w:rPr>
          <w:rFonts w:ascii="Times New Roman;serif" w:hAnsi="Times New Roman;serif"/>
          <w:b w:val="false"/>
          <w:color w:val="000000"/>
          <w:sz w:val="24"/>
          <w:u w:val="single"/>
        </w:rPr>
        <w:t>Entire Agreement; Amendments</w:t>
      </w:r>
      <w:r>
        <w:rPr>
          <w:rFonts w:ascii="Times New Roman;serif" w:hAnsi="Times New Roman;serif"/>
          <w:b w:val="false"/>
          <w:color w:val="000000"/>
          <w:sz w:val="24"/>
        </w:rPr>
        <w:t>. This Agreement constitutes the entire Agreement between the Parties and supersedes all prior agreements, understandings, and arrangements, oral or written, between the Parties with respect to the subject matter hereof. This Agreement may not be modified or amended except by an instrument or instruments in writing signed by the Party against whom enforcement of any such modification or amendment is sought.</w:t>
      </w:r>
    </w:p>
    <w:p>
      <w:pPr>
        <w:pStyle w:val="TextBody"/>
        <w:bidi w:val="0"/>
        <w:spacing w:lineRule="auto" w:line="333" w:before="0" w:after="240"/>
        <w:jc w:val="both"/>
        <w:rPr/>
      </w:pPr>
      <w:r>
        <w:rPr>
          <w:rFonts w:ascii="Times New Roman;serif" w:hAnsi="Times New Roman;serif"/>
          <w:b w:val="false"/>
          <w:color w:val="000000"/>
          <w:sz w:val="24"/>
        </w:rPr>
        <w:t>18.14    </w:t>
      </w:r>
      <w:r>
        <w:rPr>
          <w:rFonts w:ascii="Times New Roman;serif" w:hAnsi="Times New Roman;serif"/>
          <w:b w:val="false"/>
          <w:color w:val="000000"/>
          <w:sz w:val="24"/>
          <w:u w:val="single"/>
        </w:rPr>
        <w:t>Counterpar</w:t>
      </w:r>
      <w:r>
        <w:rPr>
          <w:rFonts w:ascii="Times New Roman;serif" w:hAnsi="Times New Roman;serif"/>
          <w:b/>
          <w:color w:val="000000"/>
          <w:sz w:val="24"/>
          <w:u w:val="single"/>
        </w:rPr>
        <w:t>t</w:t>
      </w:r>
      <w:r>
        <w:rPr>
          <w:rFonts w:ascii="Times New Roman;serif" w:hAnsi="Times New Roman;serif"/>
          <w:b w:val="false"/>
          <w:color w:val="000000"/>
          <w:sz w:val="24"/>
          <w:u w:val="single"/>
        </w:rPr>
        <w:t>s</w:t>
      </w:r>
      <w:r>
        <w:rPr>
          <w:rFonts w:ascii="Times New Roman;serif" w:hAnsi="Times New Roman;serif"/>
          <w:b w:val="false"/>
          <w:color w:val="000000"/>
          <w:sz w:val="24"/>
        </w:rPr>
        <w:t>. This Agreement may be executed and delivered by the Parties in counterpart, each of which shall be deemed an original and both of which together shall constitute one and the same instrument.</w:t>
      </w:r>
    </w:p>
    <w:p>
      <w:pPr>
        <w:pStyle w:val="TextBody"/>
        <w:bidi w:val="0"/>
        <w:spacing w:before="0" w:after="0"/>
        <w:jc w:val="center"/>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21970"/>
                <wp:effectExtent l="0" t="0" r="0" b="0"/>
                <wp:wrapNone/>
                <wp:docPr id="241" name="Frame23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18.15    </w:t>
      </w:r>
      <w:r>
        <w:rPr>
          <w:rFonts w:ascii="Times New Roman;serif" w:hAnsi="Times New Roman;serif"/>
          <w:b w:val="false"/>
          <w:color w:val="000000"/>
          <w:sz w:val="24"/>
          <w:u w:val="single"/>
        </w:rPr>
        <w:t>Communication</w:t>
      </w:r>
      <w:r>
        <w:rPr>
          <w:rFonts w:ascii="Times New Roman;serif" w:hAnsi="Times New Roman;serif"/>
          <w:b w:val="false"/>
          <w:color w:val="000000"/>
          <w:sz w:val="24"/>
        </w:rPr>
        <w:t>. Client and Bank may rely in good faith on any document, electronic file or other electronic or telephonic communication of any kind, which appears bona fide, submitted by any appropriate person respecting any matters arising hereunder.</w:t>
      </w:r>
    </w:p>
    <w:p>
      <w:pPr>
        <w:pStyle w:val="TextBody"/>
        <w:bidi w:val="0"/>
        <w:spacing w:lineRule="auto" w:line="333" w:before="0" w:after="240"/>
        <w:jc w:val="both"/>
        <w:rPr/>
      </w:pPr>
      <w:r>
        <w:rPr>
          <w:rFonts w:ascii="Times New Roman;serif" w:hAnsi="Times New Roman;serif"/>
          <w:b w:val="false"/>
          <w:color w:val="000000"/>
          <w:sz w:val="24"/>
        </w:rPr>
        <w:t>18.16    </w:t>
      </w:r>
      <w:r>
        <w:rPr>
          <w:rFonts w:ascii="Times New Roman;serif" w:hAnsi="Times New Roman;serif"/>
          <w:b w:val="false"/>
          <w:color w:val="000000"/>
          <w:sz w:val="24"/>
          <w:u w:val="single"/>
        </w:rPr>
        <w:t>Force Majeure</w:t>
      </w:r>
      <w:r>
        <w:rPr>
          <w:rFonts w:ascii="Times New Roman;serif" w:hAnsi="Times New Roman;serif"/>
          <w:b w:val="false"/>
          <w:color w:val="000000"/>
          <w:sz w:val="24"/>
        </w:rPr>
        <w:t>. If a Party is prevented, hindered or unavoidably delayed from or in performing any of its obligations under this Agreement by an event beyond its reasonable control, such as compliance with a law or governmental order, strike of workers, lock-out, labor dispute, Act of God, earthquake, fire flood, war, riot, civil unrest, malicious damage, or other circumstances interrupting the operations of the United States or international banking system (individually and together, a “Force Majeure Event”), that Party shall not be obligated to perform its obligations under this Agreement, but only to the extent that it is actually prevented, hindered, or unavoidably delayed in its performance by such Force Majeure Event; provided, however, that: (i) each Party shall not be excused from implementing disaster recovery and business continuity plan upon the occurrence of the Force Majeure Event, (ii) such Party declaring a Force Majeure Event shall notify the other Party immediately upon the termination of the Force Majeure Event, and (iii) such declaring Party shall make all commercially reasonable efforts to resume performance immediately thereafter. In the event that a Force Majeure Event renders a Party unable to perform its obligations under this Agreement for more than [***] following such Force Majeure Event, the other Party may terminate this Agreement upon written to notice to such Party.</w:t>
      </w:r>
    </w:p>
    <w:p>
      <w:pPr>
        <w:pStyle w:val="TextBody"/>
        <w:bidi w:val="0"/>
        <w:spacing w:lineRule="auto" w:line="333" w:before="0" w:after="240"/>
        <w:jc w:val="both"/>
        <w:rPr/>
      </w:pPr>
      <w:r>
        <w:rPr>
          <w:rFonts w:ascii="Times New Roman;serif" w:hAnsi="Times New Roman;serif"/>
          <w:b w:val="false"/>
          <w:color w:val="000000"/>
          <w:sz w:val="24"/>
        </w:rPr>
        <w:t>18.17    </w:t>
      </w:r>
      <w:r>
        <w:rPr>
          <w:rFonts w:ascii="Times New Roman;serif" w:hAnsi="Times New Roman;serif"/>
          <w:b w:val="false"/>
          <w:color w:val="000000"/>
          <w:sz w:val="24"/>
          <w:u w:val="single"/>
        </w:rPr>
        <w:t>Headings</w:t>
      </w:r>
      <w:r>
        <w:rPr>
          <w:rFonts w:ascii="Times New Roman;serif" w:hAnsi="Times New Roman;serif"/>
          <w:b w:val="false"/>
          <w:color w:val="000000"/>
          <w:sz w:val="24"/>
        </w:rPr>
        <w:t>. The various captions and section headings in this Agreement are included for convenience only and shall not affect the meaning or interpretation of any provision of this Agreement. References in this Agreement to any section are to such section of this Agreement. To the extent possible, each provision of this Agreement shall be interpreted in such a manner as to be effective and valid under Applicable Law, but if any provision of this Agreement shall be held to be invalid, illegal, or unenforceable, such provision shall be ineffective only to the extent of such invalidity, illegality, or unenforceability, without rendering invalid, illegal, or unenforceable the remainder of such provision or the remaining provisions of this Agreement.</w:t>
      </w:r>
    </w:p>
    <w:p>
      <w:pPr>
        <w:pStyle w:val="TextBody"/>
        <w:bidi w:val="0"/>
        <w:spacing w:lineRule="auto" w:line="240"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the following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21970"/>
                <wp:effectExtent l="0" t="0" r="0" b="0"/>
                <wp:wrapNone/>
                <wp:docPr id="242" name="Frame24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COMPENSATION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1: Card Transaction Pricing</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2</w:t>
      </w:r>
      <w:r>
        <w:rPr>
          <w:rFonts w:ascii="Times New Roman;serif" w:hAnsi="Times New Roman;serif"/>
          <w:b w:val="false"/>
          <w:color w:val="000000"/>
          <w:sz w:val="24"/>
        </w:rPr>
        <w:t>: ACH Processing Fees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3</w:t>
      </w:r>
      <w:r>
        <w:rPr>
          <w:rFonts w:ascii="Times New Roman;serif" w:hAnsi="Times New Roman;serif"/>
          <w:b w:val="false"/>
          <w:color w:val="000000"/>
          <w:sz w:val="24"/>
        </w:rPr>
        <w:t>: Bank Services Fees and Pass-Through Expenses</w: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4</w:t>
      </w:r>
      <w:r>
        <w:rPr>
          <w:rFonts w:ascii="Times New Roman;serif" w:hAnsi="Times New Roman;serif"/>
          <w:b w:val="false"/>
          <w:color w:val="000000"/>
          <w:sz w:val="24"/>
        </w:rPr>
        <w:t>: Earnings Credits and Discounts on Program Accounts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5</w:t>
      </w:r>
      <w:r>
        <w:rPr>
          <w:rFonts w:ascii="Times New Roman;serif" w:hAnsi="Times New Roman;serif"/>
          <w:b w:val="false"/>
          <w:color w:val="000000"/>
          <w:sz w:val="24"/>
        </w:rPr>
        <w:t>: High Yield Savings Program</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6</w:t>
      </w:r>
      <w:r>
        <w:rPr>
          <w:rFonts w:ascii="Times New Roman;serif" w:hAnsi="Times New Roman;serif"/>
          <w:b w:val="false"/>
          <w:color w:val="000000"/>
          <w:sz w:val="24"/>
        </w:rPr>
        <w:t>: Bank-funded Credit and Liquidity Products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333" w:before="0" w:after="480"/>
        <w:jc w:val="center"/>
        <w:rPr>
          <w:rFonts w:ascii="Times New Roman;serif" w:hAnsi="Times New Roman;serif"/>
          <w:b/>
          <w:color w:val="000000"/>
          <w:sz w:val="24"/>
        </w:rPr>
      </w:pPr>
      <w:r>
        <w:rPr>
          <w:rFonts w:ascii="Times New Roman;serif" w:hAnsi="Times New Roman;serif"/>
          <w:b/>
          <w:color w:val="000000"/>
          <w:sz w:val="24"/>
        </w:rPr>
        <w:t>PROGRAM SERVICE LEVEL ADDENDUM</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PRIVATE LABEL DDA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Private Label DDA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w:t>
      </w:r>
      <w:r>
        <w:rPr>
          <w:rFonts w:ascii="Times New Roman;serif" w:hAnsi="Times New Roman;serif"/>
          <w:b w:val="false"/>
          <w:color w:val="000000"/>
          <w:sz w:val="24"/>
        </w:rPr>
        <w:t>N</w:t>
      </w:r>
      <w:r>
        <w:rPr>
          <w:rFonts w:ascii="Times New Roman;serif" w:hAnsi="Times New Roman;serif"/>
          <w:b/>
          <w:color w:val="000000"/>
          <w:sz w:val="24"/>
        </w:rPr>
        <w:t>.A. (“Bank”)</w:t>
      </w:r>
      <w:r>
        <w:rPr>
          <w:rFonts w:ascii="Times New Roman;serif" w:hAnsi="Times New Roman;serif"/>
          <w:b w:val="false"/>
          <w:color w:val="000000"/>
          <w:sz w:val="24"/>
        </w:rPr>
        <w:t>, a nationally-chartered bank with its principal offices at 6100 S. Old Village Place, Sioux Falls, SD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 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DDA</w:t>
      </w:r>
      <w:r>
        <w:rPr>
          <w:color w:val="000000"/>
        </w:rPr>
        <w:t xml:space="preserve">” </w:t>
      </w:r>
      <w:r>
        <w:rPr>
          <w:rFonts w:ascii="Times New Roman;serif" w:hAnsi="Times New Roman;serif"/>
          <w:b w:val="false"/>
          <w:color w:val="000000"/>
          <w:sz w:val="24"/>
        </w:rPr>
        <w:t>means a demand deposit account established by Bank for storing and providing transactional access to Customer 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BSA/AML</w:t>
      </w:r>
      <w:r>
        <w:rPr>
          <w:color w:val="000000"/>
        </w:rPr>
        <w:t xml:space="preserve">” </w:t>
      </w:r>
      <w:r>
        <w:rPr>
          <w:rFonts w:ascii="Times New Roman;serif" w:hAnsi="Times New Roman;serif"/>
          <w:b w:val="false"/>
          <w:color w:val="000000"/>
          <w:sz w:val="24"/>
        </w:rPr>
        <w:t>means Bank Secrecy Act and anti-money laundering implementing regulations (12 USC 1829b, 12 USC 1951–1959, and 31 USC 5311, et seq).</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Debit Card</w:t>
      </w:r>
      <w:r>
        <w:rPr>
          <w:color w:val="000000"/>
        </w:rPr>
        <w:t xml:space="preserve">” </w:t>
      </w:r>
      <w:r>
        <w:rPr>
          <w:rFonts w:ascii="Times New Roman;serif" w:hAnsi="Times New Roman;serif"/>
          <w:b w:val="false"/>
          <w:color w:val="000000"/>
          <w:sz w:val="24"/>
        </w:rPr>
        <w:t>means a Network branded debit card issued by Bank in connection with an Account or DDA providing access to the funds on deposit through Network based Transactions, including ATM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Accounts are being marketed or sold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E </w:t>
      </w:r>
      <w:r>
        <w:rPr>
          <w:rFonts w:ascii="Times New Roman;serif" w:hAnsi="Times New Roman;serif"/>
          <w:b w:val="false"/>
          <w:color w:val="000000"/>
          <w:sz w:val="24"/>
        </w:rPr>
        <w:t>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12 CFR Chapter X of the Electronic Fund Transfer Act (15 U.S.C. 1693 et seq.).</w:t>
      </w:r>
    </w:p>
    <w:p>
      <w:pPr>
        <w:pStyle w:val="TextBody"/>
        <w:bidi w:val="0"/>
        <w:spacing w:before="0" w:after="0"/>
        <w:jc w:val="center"/>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means a non-scheduled interruption of System Availability that impairs a Customer’s ability to access Card or Account information or perform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Schedule D</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ISSUANCE AND DISTRIBUTION</w:t>
      </w:r>
    </w:p>
    <w:p>
      <w:pPr>
        <w:pStyle w:val="TextBody"/>
        <w:bidi w:val="0"/>
        <w:spacing w:lineRule="auto" w:line="333"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Marketing</w:t>
      </w:r>
      <w:r>
        <w:rPr>
          <w:rFonts w:ascii="Times New Roman;serif" w:hAnsi="Times New Roman;serif"/>
          <w:b w:val="false"/>
          <w:color w:val="000000"/>
          <w:sz w:val="24"/>
        </w:rPr>
        <w:t>. Accounts may be marketed directly by Client or through Subcontractors and Distribution Channels approved by Bank in writing.</w:t>
      </w:r>
    </w:p>
    <w:p>
      <w:pPr>
        <w:pStyle w:val="TextBody"/>
        <w:bidi w:val="0"/>
        <w:spacing w:lineRule="auto" w:line="333"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shall establish Accounts and issue Cards in accordance with the Agreement and subject to Applicable Law, with the understanding that the Cards are, and shall at all times remain, the property of Bank. Nothing herein shall be interpreted to require Bank to establish a certain number of Accounts or Cards. Bank shall have the right to terminate marketing and issuance of new Accounts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be responsible for, including all expenses associated with, the manufacturing and printing of all Cards and the applicable Customer Disclosures as approved by Bank from time to time. All such Cards and Customer Disclosures shall comply with Applicable Law and identify Bank as the issuer. Any design for Cards and Customer Disclosures shall be subject to Bank’s prior approval, which shall not be unreasonably withheld or delayed.</w:t>
      </w:r>
    </w:p>
    <w:p>
      <w:pPr>
        <w:pStyle w:val="TextBody"/>
        <w:bidi w:val="0"/>
        <w:spacing w:lineRule="auto" w:line="333"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Account Activation</w:t>
      </w:r>
      <w:r>
        <w:rPr>
          <w:rFonts w:ascii="Times New Roman;serif" w:hAnsi="Times New Roman;serif"/>
          <w:b w:val="false"/>
          <w:color w:val="000000"/>
          <w:sz w:val="24"/>
        </w:rPr>
        <w:t>. DDAs for approved Customers may be activated by Customers (i) calling an interactive voice response unit (“IVRU”), (ii) accessing a webpage, or (iii) as otherwise described and approved in the applicable Program Authorization Letter.</w:t>
      </w:r>
    </w:p>
    <w:p>
      <w:pPr>
        <w:pStyle w:val="TextBody"/>
        <w:bidi w:val="0"/>
        <w:spacing w:lineRule="auto" w:line="333"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before="0" w:after="0"/>
        <w:jc w:val="center"/>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Modifications</w:t>
      </w:r>
      <w:r>
        <w:rPr>
          <w:rFonts w:ascii="Times New Roman;serif" w:hAnsi="Times New Roman;serif"/>
          <w:b w:val="false"/>
          <w:color w:val="000000"/>
          <w:sz w:val="24"/>
        </w:rPr>
        <w:t xml:space="preserve">.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w:t>
      </w:r>
    </w:p>
    <w:p>
      <w:pPr>
        <w:pStyle w:val="TextBody"/>
        <w:bidi w:val="0"/>
        <w:spacing w:before="0" w:after="0"/>
        <w:jc w:val="center"/>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replacing any Card Packs or printed materials with amended Customer Disclosures. Unless otherwise agreed, all costs and expenses associated therewith shall be borne solely by Client.</w:t>
      </w:r>
    </w:p>
    <w:p>
      <w:pPr>
        <w:pStyle w:val="TextBody"/>
        <w:bidi w:val="0"/>
        <w:spacing w:lineRule="auto" w:line="319"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receive directly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monthly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agreement required to facilitate such Processing Services, prior to Client commencing such services directly.</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 xml:space="preserve">Service Interruptions. </w:t>
      </w:r>
      <w:r>
        <w:rPr>
          <w:rFonts w:ascii="Times New Roman;serif" w:hAnsi="Times New Roman;serif"/>
          <w:b w:val="false"/>
          <w:color w:val="000000"/>
          <w:sz w:val="24"/>
        </w:rPr>
        <w:t>In the event that Client or any Subcontractor experiences any Service Interruption, Client shall inform Bank in writing of such Service Interruption within twenty-four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3.13 of the Agreement. Failure to adhere to any of the requirements in this Section 2.6(b) shall be subject to termination of the Agreement or this Addendum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PROGRAMS GENERALLY</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xml:space="preserve">. Any Program Accounts necessary for the facilitation of Programs shall be set forth in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w:t>
      </w:r>
    </w:p>
    <w:p>
      <w:pPr>
        <w:pStyle w:val="TextBody"/>
        <w:bidi w:val="0"/>
        <w:spacing w:lineRule="auto" w:line="319"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Funding Mechanisms</w:t>
      </w:r>
      <w:r>
        <w:rPr>
          <w:rFonts w:ascii="Times New Roman;serif" w:hAnsi="Times New Roman;serif"/>
          <w:b w:val="false"/>
          <w:color w:val="000000"/>
          <w:sz w:val="24"/>
        </w:rPr>
        <w:t xml:space="preserve">. All Networks and mechanisms for funding Accounts and Program Accounts will be as set forth in this Addendum,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 No funding mechanism may be utilized or altered unless approved by Bank in writing.</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Liability for Funding Failures</w:t>
      </w:r>
      <w:r>
        <w:rPr>
          <w:rFonts w:ascii="Times New Roman;serif" w:hAnsi="Times New Roman;serif"/>
          <w:b w:val="false"/>
          <w:color w:val="000000"/>
          <w:sz w:val="24"/>
        </w:rPr>
        <w:t>. Except to the extent directly caused by the actions of the Bank, Client shall be responsible for all Funding Failures. In the event of a Funding Failure in connection with any Program, Client shall, within [***] after receiving notice of such Funding Failure from Bank, fully fund any shortfall in any Program Account. Client shall pay Bank a monetary assessment equal to [***] day notice period any transfer amount that is outstanding.</w: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Program Revenues</w:t>
      </w:r>
      <w:r>
        <w:rPr>
          <w:rFonts w:ascii="Times New Roman;serif" w:hAnsi="Times New Roman;serif"/>
          <w:b w:val="false"/>
          <w:color w:val="000000"/>
          <w:sz w:val="24"/>
        </w:rPr>
        <w:t xml:space="preserve">. The Program pricing and fees shall be as set forth in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to the Agreement.</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ACH Services</w:t>
      </w:r>
      <w:r>
        <w:rPr>
          <w:rFonts w:ascii="Times New Roman;serif" w:hAnsi="Times New Roman;serif"/>
          <w:b w:val="false"/>
          <w:color w:val="000000"/>
          <w:sz w:val="24"/>
        </w:rPr>
        <w:t>. With respect to ACH Transactions on a Program, the Parties agree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following terms have the meanings set forth in the NACHA Rules: Entry, Originating Depository Financial Institution (ODFI), Receiver, Single-Entry, and WEB Entry.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or will ensure Processor will, do the following:</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a commercially reasonable fraudulent transaction detection system to screen each Entry, which must include account validation to the extent required by the Rules and subject to any applicable exemption.</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Use commercially reasonable procedures to verify that routing numbers are valid. (Currently, this requires using the latest version of the Federal Reserve Bank’s E-Payment Routing Directory list, but these standards may change from time to time.)</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Bank-approved methods of authentication to verify the identity of the Receiver.</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 xml:space="preserve">For debit WEB Entries, obtain the Receiver’s written authorization prior to initiating the WEB Entry. Client will be able to provide Bank with a hard copy of the authorization if requested by Receiver to do so. Authorizations should include the following information: (a) express authorization language, (b) amount of transaction for a Single-Entry payment, for a recurring Entry </w:t>
      </w:r>
    </w:p>
    <w:p>
      <w:pPr>
        <w:pStyle w:val="TextBody"/>
        <w:bidi w:val="0"/>
        <w:spacing w:before="0" w:after="0"/>
        <w:jc w:val="center"/>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that is for the same amount each interval, or for a range of payments, (c) the effective date of the transaction, (d) the Receiver’s account number, (e) the Receiver’s financial institution’s routing number, and (f) revocation language.</w:t>
      </w:r>
    </w:p>
    <w:p>
      <w:pPr>
        <w:pStyle w:val="TextBody"/>
        <w:bidi w:val="0"/>
        <w:spacing w:lineRule="auto" w:line="333"/>
        <w:ind w:left="0" w:right="0" w:hanging="360"/>
        <w:jc w:val="both"/>
        <w:rPr>
          <w:color w:val="000000"/>
        </w:rPr>
      </w:pPr>
      <w:r>
        <w:rPr>
          <w:color w:val="000000"/>
        </w:rPr>
        <w:t>    </w:t>
      </w:r>
      <w:r>
        <w:rPr>
          <w:rFonts w:ascii="Times New Roman;serif" w:hAnsi="Times New Roman;serif"/>
          <w:b w:val="false"/>
          <w:color w:val="000000"/>
          <w:sz w:val="24"/>
        </w:rPr>
        <w:t xml:space="preserve">Retain records of a Receiver’s authorization for [***] after the termination or revocation of the authorization. At the request of Bank, Client will provide </w:t>
      </w:r>
    </w:p>
    <w:p>
      <w:pPr>
        <w:pStyle w:val="TextBody"/>
        <w:bidi w:val="0"/>
        <w:spacing w:before="0" w:after="0"/>
        <w:jc w:val="center"/>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Bank, within [***] of such request, documentation demonstrating proof of the Receiver’s authorization.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agrees to provide ACH services and act as an ODFI or the purposes of submitting and processing Entries to affect the transfer of funds or payments contemplated by this Addendum. Bank will also prepare and submit quarterly or other reports as required by Mastercard, VISA, or any other Network. Upon request, Bank will provide Client with a code to access the Federal Reserve Bank’s E-Payment Routing Directory and the Federal Reserve Bank’s usage and implementation guide.</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SpotMe Program</w:t>
      </w:r>
      <w:r>
        <w:rPr>
          <w:rFonts w:ascii="Times New Roman;serif" w:hAnsi="Times New Roman;serif"/>
          <w:b w:val="false"/>
          <w:color w:val="000000"/>
          <w:sz w:val="24"/>
        </w:rPr>
        <w:t xml:space="preserve">. The Parties agree that they may provide a service to applicable Accounts under which the Bank will pay a transaction when the Customer has insufficient or unavailable funds in their Account to cover such transaction, in accordance with </w:t>
      </w:r>
      <w:r>
        <w:rPr>
          <w:rFonts w:ascii="Times New Roman;serif" w:hAnsi="Times New Roman;serif"/>
          <w:b/>
          <w:color w:val="000000"/>
          <w:sz w:val="24"/>
        </w:rPr>
        <w:t>Schedule H</w:t>
      </w:r>
      <w:r>
        <w:rPr>
          <w:rFonts w:ascii="Times New Roman;serif" w:hAnsi="Times New Roman;serif"/>
          <w:b w:val="false"/>
          <w:color w:val="000000"/>
          <w:sz w:val="24"/>
        </w:rPr>
        <w:t>.</w:t>
      </w:r>
    </w:p>
    <w:p>
      <w:pPr>
        <w:pStyle w:val="TextBody"/>
        <w:bidi w:val="0"/>
        <w:spacing w:lineRule="auto" w:line="333"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 xml:space="preserve">Small Issuer Status. </w:t>
      </w:r>
      <w:r>
        <w:rPr>
          <w:rFonts w:ascii="Times New Roman;serif" w:hAnsi="Times New Roman;serif"/>
          <w:b w:val="false"/>
          <w:color w:val="000000"/>
          <w:sz w:val="24"/>
        </w:rPr>
        <w:t>During the Term, Bank will use commercially reasonable efforts to ensure that: (i) Debit Card Transactions will qualify for unregulated debit and prepaid card interchange rates under the applicable Rules and Applicable Law, as of the date hereof; and (ii) it remains a “small issuer” as defined under the 12 C.F.R 235 et. Seq., as of the date hereof (the “</w:t>
      </w:r>
      <w:r>
        <w:rPr>
          <w:rFonts w:ascii="Times New Roman;serif" w:hAnsi="Times New Roman;serif"/>
          <w:b/>
          <w:i/>
          <w:color w:val="000000"/>
          <w:sz w:val="24"/>
        </w:rPr>
        <w:t>Durbin Amendment</w:t>
      </w:r>
      <w:r>
        <w:rPr>
          <w:rFonts w:ascii="Times New Roman;serif" w:hAnsi="Times New Roman;serif"/>
          <w:b w:val="false"/>
          <w:color w:val="000000"/>
          <w:sz w:val="24"/>
        </w:rPr>
        <w:t>.”</w:t>
      </w:r>
      <w:r>
        <w:rPr>
          <w:rFonts w:ascii="Times New Roman;serif" w:hAnsi="Times New Roman;serif"/>
          <w:b/>
          <w:color w:val="000000"/>
          <w:sz w:val="24"/>
        </w:rPr>
        <w:t xml:space="preserve">) </w:t>
      </w:r>
      <w:r>
        <w:rPr>
          <w:rFonts w:ascii="Times New Roman;serif" w:hAnsi="Times New Roman;serif"/>
          <w:b w:val="false"/>
          <w:color w:val="000000"/>
          <w:sz w:val="24"/>
        </w:rPr>
        <w:t>[***]. Notwithstanding the foregoing, the Parties agree that if the definition of “small issuer” is modified or, if the Durbin Amendment is amended, supplemented, or replaced in such a manner that the “small issuer” exemption ceases to exist, the Parties shall confer in good faith to determine if Program modifications or potential amendments to the Addendum are required in order to ensure the Program remains commercially viable.</w:t>
      </w:r>
    </w:p>
    <w:p>
      <w:pPr>
        <w:pStyle w:val="TextBody"/>
        <w:bidi w:val="0"/>
        <w:spacing w:lineRule="auto" w:line="333"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RTN and BIN 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Within one (1) year following the Effective Date, Bank shall implement a dedicated, mutually agreed upon routing and transit number (</w:t>
      </w:r>
      <w:r>
        <w:rPr>
          <w:color w:val="000000"/>
        </w:rPr>
        <w:t>“</w:t>
      </w:r>
      <w:r>
        <w:rPr>
          <w:rFonts w:ascii="Times New Roman;serif" w:hAnsi="Times New Roman;serif"/>
          <w:b/>
          <w:color w:val="000000"/>
          <w:sz w:val="24"/>
        </w:rPr>
        <w:t>RTN”</w:t>
      </w:r>
      <w:r>
        <w:rPr>
          <w:rFonts w:ascii="Times New Roman;serif" w:hAnsi="Times New Roman;serif"/>
          <w:b w:val="false"/>
          <w:color w:val="000000"/>
          <w:sz w:val="24"/>
        </w:rPr>
        <w:t>) for Client’s exclusive use. The Parties shall use commercially reasonable efforts to identify an RTN (i) not previously in use and (ii) not having any interoperability or acceptance issues. Bank agrees that it shall use commercially reasonable efforts to ensure that such RTN is operable within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Throughout the Term, Bank shall provide one or more dedicated and exclusive Debit Card BIN(s) and/ or BIN ranges to allow Debit Card issuance on behalf of the Program and its underlying Accounts, and shall issue Debit Cards attached to the Accounts in connection with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Recognizing that existing Accounts, as of the date of this Addendum, may be currently utilizing other, not dedicated, and non-exclusive bank routing numbers, Client may elect to continue to utilize such other bank routing numbers for such Accounts or to transition new and/or existing Accounts to the dedicated and exclusive routing number, at Client’s option.</w:t>
      </w:r>
    </w:p>
    <w:p>
      <w:pPr>
        <w:pStyle w:val="TextBody"/>
        <w:bidi w:val="0"/>
        <w:spacing w:before="0" w:after="0"/>
        <w:jc w:val="center"/>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CUSTOMER SERVICE</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Client shall be responsible for customer service obligations in accordance with the requirements this section, any applicable Program Authorization Letter, and in accordance with the specified Service Levels.</w:t>
      </w:r>
    </w:p>
    <w:p>
      <w:pPr>
        <w:pStyle w:val="TextBody"/>
        <w:bidi w:val="0"/>
        <w:spacing w:before="0" w:after="0"/>
        <w:jc w:val="center"/>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Bank which is appropriate for the scope of services being provided, (iv) provide [***] call center reporting, (v) conduct annual compliance training as approved by the Bank, and (vi) forward all oral dispute claims in accordance with Section 4.3 of this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Subcontractor to perform the customer service activities with Bank’s prior approval. At a minimum, any agreement with a third party call center Subcontractor shall provide that the Subcontractor: (i) is subject to the Bank’s initial and on-going Due Diligence standards, (ii) is subject to periodic audit and examination by the Bank, (iii) must adhere to the minimum Service Levels, (iv) must have a quality assurance and monitoring program appropriate for the scope of services being provided, (v) must conduct annual BSA/AML and Regulation E compliance training as approved by the Bank, (vi) must forward all oral dispute claims in accordance with Section 4.3 of this Addendum, (vii) must provide for remote call monitoring by the Client and/or the Bank, (viii) must provide [***] call center reporting, and (iv) is subject to termination without penalty for non-performance or breach of the agreement. Client acknowledges and agrees that no such engagement shall absolve Client of its obligations hereunder.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cooperate with Bank in the resolution of all Customer complaints in accordance with the Customer Complaint Guidelines, as amended by Bank from time to time. Client shall further cooperate with Bank in assessing and evaluating the frequency, nature or underlying causes for Customer complaints or inquiries through the evaluation of the applicable Program or Customer Disclosures, and shall promptly, at its sole cost and expense, resolve any practices or procedures resulting in a pattern of Customer complaints, and remediate any Customer harm caused by such practices or procedures, in each case to the satisfaction of the Bank.</w:t>
      </w:r>
    </w:p>
    <w:p>
      <w:pPr>
        <w:pStyle w:val="TextBody"/>
        <w:bidi w:val="0"/>
        <w:spacing w:lineRule="auto" w:line="319"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Cancellation</w:t>
      </w:r>
      <w:r>
        <w:rPr>
          <w:rFonts w:ascii="Times New Roman;serif" w:hAnsi="Times New Roman;serif"/>
          <w:b w:val="false"/>
          <w:color w:val="000000"/>
          <w:sz w:val="24"/>
        </w:rPr>
        <w:t xml:space="preserve">. Client acknowledges that Programs and individual Accounts are subject to cancellation at any time by Bank, in accordance with this Agreement, the Customer Disclosures or as required by Applicable Law, including but not limited to, where the Bank believes a Customer is using an Account or Card for fraudulent or illegal purposes or in any other way violates the Customer Agreement. Upon receipt of notice of termination of any Program or this Agreement for any reason, Client shall, at its sole expense: (i) if required by Bank, immediately return such cancelled Cards in its possession or under its control to Bank, and (ii) notify any other party or agent of Client, including any Subcontractors to return all such cancelled Cards in their possession to Bank, or (iii) provide written certification of destruction of any unused Cards, </w:t>
      </w:r>
    </w:p>
    <w:p>
      <w:pPr>
        <w:pStyle w:val="TextBody"/>
        <w:bidi w:val="0"/>
        <w:spacing w:before="0" w:after="0"/>
        <w:jc w:val="center"/>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under dual control, by a third party approved by the Bank all in keeping with the Rules as set forth by the applicable Network as it pertains to the shipping and destruction of Cards.</w:t>
      </w:r>
    </w:p>
    <w:p>
      <w:pPr>
        <w:pStyle w:val="TextBody"/>
        <w:bidi w:val="0"/>
        <w:spacing w:lineRule="auto" w:line="319" w:before="0" w:after="24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Error Resolution</w:t>
      </w:r>
      <w:r>
        <w:rPr>
          <w:rFonts w:ascii="Times New Roman;serif" w:hAnsi="Times New Roman;serif"/>
          <w:b w:val="false"/>
          <w:color w:val="000000"/>
          <w:sz w:val="24"/>
        </w:rPr>
        <w:t xml:space="preserve">. Client agrees that in the event it or any Subcontractor receives from a Consumer an oral or written notice of “error” as defined in Regulation E, Client will promptly respond to such inquiries in accordance with the terms of the Customer Agreement and Applicable </w:t>
      </w:r>
    </w:p>
    <w:p>
      <w:pPr>
        <w:pStyle w:val="TextBody"/>
        <w:bidi w:val="0"/>
        <w:spacing w:before="0" w:after="0"/>
        <w:jc w:val="center"/>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6" w:before="0" w:after="240"/>
        <w:jc w:val="both"/>
        <w:rPr>
          <w:rFonts w:ascii="Times New Roman;serif" w:hAnsi="Times New Roman;serif"/>
          <w:b w:val="false"/>
          <w:color w:val="000000"/>
          <w:sz w:val="24"/>
        </w:rPr>
      </w:pPr>
      <w:r>
        <w:rPr>
          <w:rFonts w:ascii="Times New Roman;serif" w:hAnsi="Times New Roman;serif"/>
          <w:b w:val="false"/>
          <w:color w:val="000000"/>
          <w:sz w:val="24"/>
        </w:rPr>
        <w:t>Law. Client shall retain all error-related information and shall provide the same to Bank as it may reasonably request from time to time. To the extent Bank responds to any such errors, Client shall use reasonable efforts to cooperate with Bank in the reasonable resolution of any Customer-reported error, all in accordance with Applicable Law.</w:t>
      </w:r>
    </w:p>
    <w:p>
      <w:pPr>
        <w:pStyle w:val="TextBody"/>
        <w:bidi w:val="0"/>
        <w:spacing w:lineRule="auto" w:line="316" w:before="0" w:after="24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6" w:before="0" w:after="24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Refunds</w:t>
      </w:r>
      <w:r>
        <w:rPr>
          <w:rFonts w:ascii="Times New Roman;serif" w:hAnsi="Times New Roman;serif"/>
          <w:b w:val="false"/>
          <w:color w:val="000000"/>
          <w:sz w:val="24"/>
        </w:rPr>
        <w:t>. Client shall be responsible for any Customer refunds, including fee refunds, as may be deemed appropriate by Client, Bank, Regulatory Authority, o</w:t>
      </w:r>
      <w:r>
        <w:rPr>
          <w:rFonts w:ascii="Times New Roman;serif" w:hAnsi="Times New Roman;serif"/>
          <w:b/>
          <w:color w:val="000000"/>
          <w:sz w:val="24"/>
        </w:rPr>
        <w:t xml:space="preserve">r </w:t>
      </w:r>
      <w:r>
        <w:rPr>
          <w:rFonts w:ascii="Times New Roman;serif" w:hAnsi="Times New Roman;serif"/>
          <w:b w:val="false"/>
          <w:color w:val="000000"/>
          <w:sz w:val="24"/>
        </w:rPr>
        <w:t>Applicable Law. Notwithstanding the foregoing, in the event that Client disputes any fee refunds as deemed appropriate by Bank, the Parties shall meet in good faith to resolve Client’s dispute.</w:t>
      </w:r>
    </w:p>
    <w:p>
      <w:pPr>
        <w:pStyle w:val="TextBody"/>
        <w:bidi w:val="0"/>
        <w:spacing w:lineRule="auto" w:line="316"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COMPLIANCE</w:t>
      </w:r>
    </w:p>
    <w:p>
      <w:pPr>
        <w:pStyle w:val="TextBody"/>
        <w:bidi w:val="0"/>
        <w:spacing w:lineRule="auto" w:line="316"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As part of its Compliance Program, upon execution of this Agreement, or in any case prior to the issuance of any Program Authorization Letter, Client shall implement and maintain a Bank approved anti-money laundering and anti-terrorism financing compliance program which is appropriate for the nature and scope of the Program, the activities of Client, and the obligations to be performed by Client hereunder. Any such program shall be developed in accordance with Applicable Law, including appropriate policies and procedures. If required by the nature of the Program, Client shall cooperate in implementing measures to verify the identity of or allow the Bank to verify the identity of all Customers and prospective Customers consistent with Applicable Law,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lineRule="auto" w:line="316"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Approvals</w:t>
      </w:r>
      <w:r>
        <w:rPr>
          <w:rFonts w:ascii="Times New Roman;serif" w:hAnsi="Times New Roman;serif"/>
          <w:b w:val="false"/>
          <w:color w:val="000000"/>
          <w:sz w:val="24"/>
        </w:rPr>
        <w:t>. Client shall obtain Bank’s prior written review and approval of any Financial Product or Services marketed to Customers if the new product utilizes Bank’s Marks or provides a mechanism for Customers to transfer funds to the Accounts, or if the product is otherwise packaged with or marketed in such a way that a Customer could reasonably conclude that such new product is related to or associated with a Program or any Account issued pursuant to this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6"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Customer Agreements</w:t>
      </w:r>
      <w:r>
        <w:rPr>
          <w:rFonts w:ascii="Times New Roman;serif" w:hAnsi="Times New Roman;serif"/>
          <w:b w:val="false"/>
          <w:color w:val="000000"/>
          <w:sz w:val="24"/>
        </w:rPr>
        <w:t>. Bank shall provide a template for Customer Agreements for a Program, and any modifications to such template shall be reviewed and approved by Bank.</w:t>
      </w:r>
    </w:p>
    <w:p>
      <w:pPr>
        <w:pStyle w:val="TextBody"/>
        <w:bidi w:val="0"/>
        <w:spacing w:lineRule="auto" w:line="316"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Bank shall facilitate escheatment reporting to the states as required by Applicable Law. Bank shall be responsible for compliance with state unclaimed property laws as they relate to funds in Accounts, provided Client and Processor provide accurate and timely reporting required </w:t>
      </w:r>
    </w:p>
    <w:p>
      <w:pPr>
        <w:pStyle w:val="TextBody"/>
        <w:bidi w:val="0"/>
        <w:spacing w:before="0" w:after="0"/>
        <w:jc w:val="center"/>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by Bank to do so.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Money Service Business Compliance</w:t>
      </w:r>
      <w:r>
        <w:rPr>
          <w:rFonts w:ascii="Times New Roman;serif" w:hAnsi="Times New Roman;serif"/>
          <w:b w:val="false"/>
          <w:color w:val="000000"/>
          <w:sz w:val="24"/>
        </w:rPr>
        <w:t>. Client further agrees that to the extent it desires to or is required to register as a money service business for any of its activities, it will be held to the Due Diligence standards required by Bank for money service businesses.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TERM AND TERMINATION</w:t>
      </w:r>
    </w:p>
    <w:p>
      <w:pPr>
        <w:pStyle w:val="TextBody"/>
        <w:bidi w:val="0"/>
        <w:spacing w:lineRule="auto" w:line="319" w:before="0" w:after="24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19" w:before="0" w:after="24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Client Account Transfer Option</w:t>
      </w:r>
      <w:r>
        <w:rPr>
          <w:color w:val="000000"/>
        </w:rPr>
        <w:t xml:space="preserve"> </w:t>
      </w:r>
      <w:r>
        <w:rPr>
          <w:rFonts w:ascii="Times New Roman;serif" w:hAnsi="Times New Roman;serif"/>
          <w:b w:val="false"/>
          <w:color w:val="000000"/>
          <w:sz w:val="24"/>
        </w:rPr>
        <w:t>Upon the termination or expiration of this Addendum, Client shall have the right, exercisable by providing notice to Bank within [***] prior to the termination, to transfer all of the Accounts or Programs and direct their transfer to a successor qualified financial institution (the “Successor Bank”)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Account balances to the Successor Bank at closing. In connection with the transfer of such Account balances, Client shall pay Bank the fees as set forth in Exhibit A – Schedule 2 to the Agreement; provided, however, that Client may elect to discontinue the services described in this Section 6.2 upon [***] written notice to Bank and, upon the effectiveness of such notice, the obligations of Bank and Client under this Section 6.2 shall terminate.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before="0" w:after="0"/>
        <w:jc w:val="center"/>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Account funds on deposit at Bank to the Successor Bank, which shall be effected at the par balance of the Accounts as of the date of transfer (i.e. on the closing date the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shall transfer to the Successor Bank an amount in immediately available funds equal to the balances of the Accounts being transferred);</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Accounts, Account Agreements, Customer information, and Bank’s relationship with each Customer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6.2 to such Successor Bank (excluding those filings and approvals required to be made by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6.2;</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to the Agreement, continue to receive recurring ACH credits to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 xml:space="preserve">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w:t>
      </w:r>
    </w:p>
    <w:p>
      <w:pPr>
        <w:pStyle w:val="TextBody"/>
        <w:bidi w:val="0"/>
        <w:spacing w:before="0" w:after="0"/>
        <w:jc w:val="center"/>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the new account at the Successor Bank (and Company shall, in such event, provide Bank with such information as Bank may reasonably require in order to perform such notification services),</w:t>
      </w:r>
    </w:p>
    <w:p>
      <w:pPr>
        <w:pStyle w:val="TextBody"/>
        <w:bidi w:val="0"/>
        <w:spacing w:before="0" w:after="0"/>
        <w:jc w:val="center"/>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Client exercises the Account Transfer Option, Client shall not issue any new Program collateral or other materials that contains the Bank’s Marks following transfer of the Accounts to the Successor Bank. Following transfer of the Accounts to Successor Bank, Client shall have limited, non-exclusive, royalty free license to continue to use Bank’s Marks on all existing Cards and Debit Cards until such existing Cards and Debit Cards expire or [***] following the transfer of the Accounts, whichever is sooner. For the avoidance of doubt, Client shall not issue any new cards with Bank Marks following the transfer of the Accounts. Bank shall cease use of any Program collateral or other materials that contain Client’s Marks following the transfer of the Accounts to Successor Bank.</w:t>
      </w:r>
    </w:p>
    <w:p>
      <w:pPr>
        <w:pStyle w:val="TextBody"/>
        <w:bidi w:val="0"/>
        <w:spacing w:lineRule="auto" w:line="240"/>
        <w:jc w:val="left"/>
        <w:rPr/>
      </w:pPr>
      <w:r>
        <w:rPr>
          <w:rFonts w:ascii="Times New Roman;serif" w:hAnsi="Times New Roman;serif"/>
          <w:b w:val="false"/>
          <w:color w:val="000000"/>
          <w:sz w:val="24"/>
        </w:rPr>
        <w:t>6.3    </w:t>
      </w:r>
      <w:r>
        <w:rPr>
          <w:rFonts w:ascii="Times New Roman;serif" w:hAnsi="Times New Roman;serif"/>
          <w:b w:val="false"/>
          <w:color w:val="000000"/>
          <w:sz w:val="24"/>
          <w:u w:val="single"/>
        </w:rPr>
        <w:t>Bank Retention or Termination</w:t>
      </w:r>
      <w:r>
        <w:rPr>
          <w:rFonts w:ascii="Times New Roman;serif" w:hAnsi="Times New Roman;serif"/>
          <w:b w:val="false"/>
          <w:color w:val="000000"/>
          <w:sz w:val="24"/>
        </w:rPr>
        <w:t xml:space="preserve">.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w:t>
      </w:r>
      <w:r>
        <w:rPr>
          <w:rFonts w:ascii="Times New Roman;serif" w:hAnsi="Times New Roman;serif"/>
          <w:b/>
          <w:color w:val="000000"/>
          <w:sz w:val="24"/>
        </w:rPr>
        <w:t>o</w:t>
      </w:r>
      <w:r>
        <w:rPr>
          <w:rFonts w:ascii="Times New Roman;serif" w:hAnsi="Times New Roman;serif"/>
          <w:b w:val="false"/>
          <w:color w:val="000000"/>
          <w:sz w:val="24"/>
        </w:rPr>
        <w:t>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Accounts are terminated, but in no event exceeding [***]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before="0" w:after="0"/>
        <w:jc w:val="center"/>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before="0" w:after="240"/>
        <w:jc w:val="both"/>
        <w:rPr/>
      </w:pPr>
      <w:r>
        <w:rPr/>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EXHIBITS</w:t>
      </w:r>
    </w:p>
    <w:tbl>
      <w:tblPr>
        <w:tblW w:w="6494" w:type="dxa"/>
        <w:jc w:val="left"/>
        <w:tblInd w:w="0" w:type="dxa"/>
        <w:tblLayout w:type="fixed"/>
        <w:tblCellMar>
          <w:top w:w="28" w:type="dxa"/>
          <w:left w:w="28" w:type="dxa"/>
          <w:bottom w:w="28" w:type="dxa"/>
          <w:right w:w="28" w:type="dxa"/>
        </w:tblCellMar>
      </w:tblPr>
      <w:tblGrid>
        <w:gridCol w:w="381"/>
        <w:gridCol w:w="334"/>
        <w:gridCol w:w="335"/>
        <w:gridCol w:w="1592"/>
        <w:gridCol w:w="1592"/>
        <w:gridCol w:w="226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A</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Account Features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B</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Authorization Letter</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C</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Processing Services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D</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Service Level Agreement</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E</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Required Reports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F</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Accounts and Funds Flow</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G</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Customer Service and Complaint Resolution Guidelines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H</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SpotMe Feature</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Account Features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3"/>
        <w:gridCol w:w="649"/>
        <w:gridCol w:w="657"/>
        <w:gridCol w:w="109"/>
        <w:gridCol w:w="109"/>
        <w:gridCol w:w="109"/>
        <w:gridCol w:w="2436"/>
        <w:gridCol w:w="2071"/>
        <w:gridCol w:w="2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Feature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Dedicated Routing Number and Direct Debits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Receive ACH Credits, and ACH Debits to pay bills and other charges, using routing number and account number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Direct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will forward ACH Credit transactions on the date that the ACH Credit transaction file is received by Bank, which in some cases may be in advance of the actual transaction settlement date.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Mobile Check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Take a photo of a check drawn on an account at a U.S. Federally Insured Depository Institution, and have it deposited into their Chime spending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Checkbook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a check mailed to a recipient (individual or business) via the Chime app</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Savings Account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Open interest-bearing account (Client and Bank to agree to pricing structure to support desired interest rates). The interest rate paid under any Savings Program will be determined as agreed upon by the Bank and Client (“Savings Interest Rate”).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Transfer funds from a Chime Spending Account member to another Chime checking account holder at a U.S. Federally-Insured Depository Institution, in near real-time, even if the payee member’s account is housed in another bank (e.g., Stride)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Automatic Savings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Xo/o of direct deposit deposited into Savings account (amount set by member)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ACH Transfers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Move money to accounts at other U.S. Federally-Insured Depository Institutions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ATM withdrawals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Withdraw cash from MoneyPass, Allpoint, or PLUSAlliance ATM (subject to Bank-approved fee schedule), and from other ATMs (subject to Bank-approved fee schedule)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Loads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Deposit cash into Chime member spending account by visiting an approved reload or cash deposit location</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16840"/>
                <wp:effectExtent l="0" t="0" r="0" b="0"/>
                <wp:wrapNone/>
                <wp:docPr id="273" name="Frame2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566"/>
        <w:gridCol w:w="566"/>
        <w:gridCol w:w="568"/>
        <w:gridCol w:w="109"/>
        <w:gridCol w:w="109"/>
        <w:gridCol w:w="109"/>
        <w:gridCol w:w="2483"/>
        <w:gridCol w:w="2212"/>
        <w:gridCol w:w="3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Non-Chime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Pay friends who aren’t yet Chime member (friends retrieve money by creating a Chime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SpotMe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Product that allows direct deposit members to spend more than exists in their account by up to an amount agreed by the Parties in writing, and subject to Chime’s underwriting standards.</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80" w:after="240"/>
        <w:jc w:val="both"/>
        <w:rPr>
          <w:rFonts w:ascii="Times New Roman;serif" w:hAnsi="Times New Roman;serif"/>
          <w:b w:val="false"/>
          <w:color w:val="000000"/>
          <w:sz w:val="24"/>
        </w:rPr>
      </w:pPr>
      <w:r>
        <w:rPr>
          <w:rFonts w:ascii="Times New Roman;serif" w:hAnsi="Times New Roman;serif"/>
          <w:b w:val="false"/>
          <w:color w:val="000000"/>
          <w:sz w:val="24"/>
        </w:rPr>
        <w:t>Other features may be added to the Accounts, as approved in writing by Bank and Client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16840"/>
                <wp:effectExtent l="0" t="0" r="0" b="0"/>
                <wp:wrapNone/>
                <wp:docPr id="274" name="Frame2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SAVINGS ACCOUNT TERM SHEET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521970"/>
                <wp:effectExtent l="0" t="0" r="0" b="0"/>
                <wp:wrapNone/>
                <wp:docPr id="276" name="Frame27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78765"/>
                <wp:effectExtent l="0" t="0" r="0" b="0"/>
                <wp:wrapNone/>
                <wp:docPr id="277" name="Frame275"/>
                <a:graphic xmlns:a="http://schemas.openxmlformats.org/drawingml/2006/main">
                  <a:graphicData uri="http://schemas.microsoft.com/office/word/2010/wordprocessingShape">
                    <wps:wsp>
                      <wps:cNvSpPr txBox="1"/>
                      <wps:spPr>
                        <a:xfrm>
                          <a:off x="0" y="0"/>
                          <a:ext cx="6480175" cy="27876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Accounts and Funds Flow</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H</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Feature</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SECURED CREDIT CARD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Secured Credit Card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and effective as of July 1,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Suite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rPr>
        <w:t>Accepted Servicing Practices</w:t>
      </w:r>
      <w:r>
        <w:rPr>
          <w:color w:val="000000"/>
        </w:rPr>
        <w:t xml:space="preserve">” </w:t>
      </w:r>
      <w:r>
        <w:rPr>
          <w:rFonts w:ascii="Times New Roman;serif" w:hAnsi="Times New Roman;serif"/>
          <w:b w:val="false"/>
          <w:color w:val="000000"/>
          <w:sz w:val="24"/>
        </w:rPr>
        <w:t>means, with respect to each Credit Builder Account, the servicing practices and procedures approved by Bank in writing that Client follows in the servicing and administration of, and in the same manner in which, and with the same care, skill, prudence and diligence with which Client services and administers accounts similar to the Credit Builder Accounts on behalf of itself and other Persons, together with any amendments or other modifications thereto made by Client from time to time; provided, however, that in all cases the account servicing practices must comply with the terms of Applicable Laws and the related Account Agreements; and be consistent with customary, reasonable and usual standards of practice for institutions that service accounts that are similar to the Credit Builder Accounts.</w:t>
      </w:r>
    </w:p>
    <w:p>
      <w:pPr>
        <w:pStyle w:val="TextBody"/>
        <w:bidi w:val="0"/>
        <w:spacing w:lineRule="auto" w:line="333"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a Credit Builder Account as between Bank and Customer, including all disclosures required by Applicable Law as well as the terms and conditions applicable to the Card issued in connection therewith.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rPr>
        <w:t>Applicant</w:t>
      </w:r>
      <w:r>
        <w:rPr>
          <w:color w:val="000000"/>
        </w:rPr>
        <w:t xml:space="preserve">” </w:t>
      </w:r>
      <w:r>
        <w:rPr>
          <w:rFonts w:ascii="Times New Roman;serif" w:hAnsi="Times New Roman;serif"/>
          <w:b w:val="false"/>
          <w:color w:val="000000"/>
          <w:sz w:val="24"/>
        </w:rPr>
        <w:t>means any Person who applies, through submitting an Application, to obtain a Credit Builder Account from Bank for consumer use purposes.</w:t>
      </w:r>
    </w:p>
    <w:p>
      <w:pPr>
        <w:pStyle w:val="TextBody"/>
        <w:bidi w:val="0"/>
        <w:spacing w:before="0" w:after="0"/>
        <w:jc w:val="center"/>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(d)    “</w:t>
      </w:r>
      <w:r>
        <w:rPr>
          <w:rFonts w:ascii="Times New Roman;serif" w:hAnsi="Times New Roman;serif"/>
          <w:b/>
          <w:color w:val="000000"/>
          <w:sz w:val="24"/>
        </w:rPr>
        <w:t>Application</w:t>
      </w:r>
      <w:r>
        <w:rPr>
          <w:color w:val="000000"/>
        </w:rPr>
        <w:t xml:space="preserve">” </w:t>
      </w:r>
      <w:r>
        <w:rPr>
          <w:rFonts w:ascii="Times New Roman;serif" w:hAnsi="Times New Roman;serif"/>
          <w:b w:val="false"/>
          <w:color w:val="000000"/>
          <w:sz w:val="24"/>
        </w:rPr>
        <w:t>means any request from an Applicant for a Credit Builder Account in the form required by Bank, as such may be amended, modified or changed in accordance with the terms of this Addendum.</w:t>
      </w:r>
    </w:p>
    <w:p>
      <w:pPr>
        <w:pStyle w:val="TextBody"/>
        <w:bidi w:val="0"/>
        <w:spacing w:lineRule="auto" w:line="333" w:before="0" w:after="240"/>
        <w:ind w:left="0" w:right="0" w:hanging="720"/>
        <w:jc w:val="both"/>
        <w:rPr/>
      </w:pPr>
      <w:r>
        <w:rPr>
          <w:rFonts w:ascii="Times New Roman;serif" w:hAnsi="Times New Roman;serif"/>
          <w:b w:val="false"/>
          <w:color w:val="000000"/>
          <w:sz w:val="24"/>
        </w:rPr>
        <w:t>(e)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 Network-branded access device issued by Bank that may be used to access credit provided under a Credit Card Account and, if applicable, a Line of Credit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(f)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hanging="720"/>
        <w:jc w:val="both"/>
        <w:rPr/>
      </w:pPr>
      <w:r>
        <w:rPr>
          <w:rFonts w:ascii="Times New Roman;serif" w:hAnsi="Times New Roman;serif"/>
          <w:b w:val="false"/>
          <w:color w:val="000000"/>
          <w:sz w:val="24"/>
        </w:rPr>
        <w:t>(g)    “</w:t>
      </w:r>
      <w:r>
        <w:rPr>
          <w:rFonts w:ascii="Times New Roman;serif" w:hAnsi="Times New Roman;serif"/>
          <w:b/>
          <w:color w:val="000000"/>
          <w:sz w:val="24"/>
        </w:rPr>
        <w:t>Credit Builder Account</w:t>
      </w:r>
      <w:r>
        <w:rPr>
          <w:color w:val="000000"/>
        </w:rPr>
        <w:t xml:space="preserve">” </w:t>
      </w:r>
      <w:r>
        <w:rPr>
          <w:rFonts w:ascii="Times New Roman;serif" w:hAnsi="Times New Roman;serif"/>
          <w:b w:val="false"/>
          <w:color w:val="000000"/>
          <w:sz w:val="24"/>
        </w:rPr>
        <w:t>means a Credit Card Account, Line of Credit Account, and/or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(h)    “</w:t>
      </w:r>
      <w:r>
        <w:rPr>
          <w:rFonts w:ascii="Times New Roman;serif" w:hAnsi="Times New Roman;serif"/>
          <w:b/>
          <w:color w:val="000000"/>
          <w:sz w:val="24"/>
        </w:rPr>
        <w:t>Credit Card Account</w:t>
      </w:r>
      <w:r>
        <w:rPr>
          <w:color w:val="000000"/>
        </w:rPr>
        <w:t xml:space="preserve">” </w:t>
      </w:r>
      <w:r>
        <w:rPr>
          <w:rFonts w:ascii="Times New Roman;serif" w:hAnsi="Times New Roman;serif"/>
          <w:b w:val="false"/>
          <w:color w:val="000000"/>
          <w:sz w:val="24"/>
        </w:rPr>
        <w:t>means an open-end, consumer-purpose loan account: (i) issued by Bank pursuant to a Program and documented by an Account Agreement; (ii) under which a Customer can access credit by using a Card; and (iii) the Customer’s repayment of such credit is collateralized by funds deposited by Customer in a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color w:val="000000"/>
          <w:sz w:val="24"/>
        </w:rPr>
        <w:t>Credit Underwriting Standards</w:t>
      </w:r>
      <w:r>
        <w:rPr>
          <w:color w:val="000000"/>
        </w:rPr>
        <w:t xml:space="preserve">” </w:t>
      </w:r>
      <w:r>
        <w:rPr>
          <w:rFonts w:ascii="Times New Roman;serif" w:hAnsi="Times New Roman;serif"/>
          <w:b w:val="false"/>
          <w:color w:val="000000"/>
          <w:sz w:val="24"/>
        </w:rPr>
        <w:t xml:space="preserve">means the minimum requirements, which may include [***], that Bank uses to approve or deny credit and to establish the applicable credit account. The current form of the Credit Underwriting Standards for the Credit Card Account and the Line of Credit Account are attached as </w:t>
      </w:r>
      <w:r>
        <w:rPr>
          <w:rFonts w:ascii="Times New Roman;serif" w:hAnsi="Times New Roman;serif"/>
          <w:b/>
          <w:color w:val="000000"/>
          <w:sz w:val="24"/>
        </w:rPr>
        <w:t xml:space="preserve">Schedule A </w:t>
      </w:r>
      <w:r>
        <w:rPr>
          <w:rFonts w:ascii="Times New Roman;serif" w:hAnsi="Times New Roman;serif"/>
          <w:b w:val="false"/>
          <w:color w:val="000000"/>
          <w:sz w:val="24"/>
        </w:rPr>
        <w:t>and may be amended from time to time in accordance with this Addendum. The Credit Underwriting Standards shall be approved by Bank in its sole reasonable discretion.</w:t>
      </w:r>
    </w:p>
    <w:p>
      <w:pPr>
        <w:pStyle w:val="TextBody"/>
        <w:bidi w:val="0"/>
        <w:spacing w:lineRule="auto" w:line="333" w:before="0" w:after="240"/>
        <w:ind w:left="0" w:right="0" w:hanging="720"/>
        <w:jc w:val="both"/>
        <w:rPr/>
      </w:pPr>
      <w:r>
        <w:rPr>
          <w:rFonts w:ascii="Times New Roman;serif" w:hAnsi="Times New Roman;serif"/>
          <w:b w:val="false"/>
          <w:color w:val="000000"/>
          <w:sz w:val="24"/>
        </w:rPr>
        <w:t>(j)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 Applicant who Bank approves for a Credit Builder Account and agrees to the Account Agreement, and/or any Person who is liable, jointly or severally, for amounts owing with respect to the related Credit Builder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(k)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p>
    <w:p>
      <w:pPr>
        <w:pStyle w:val="TextBody"/>
        <w:bidi w:val="0"/>
        <w:spacing w:lineRule="auto" w:line="333" w:before="0" w:after="240"/>
        <w:ind w:left="0" w:right="0" w:hanging="720"/>
        <w:jc w:val="both"/>
        <w:rPr/>
      </w:pPr>
      <w:r>
        <w:rPr>
          <w:rFonts w:ascii="Times New Roman;serif" w:hAnsi="Times New Roman;serif"/>
          <w:b w:val="false"/>
          <w:color w:val="000000"/>
          <w:sz w:val="24"/>
        </w:rPr>
        <w:t>(l)    “</w:t>
      </w:r>
      <w:r>
        <w:rPr>
          <w:rFonts w:ascii="Times New Roman;serif" w:hAnsi="Times New Roman;serif"/>
          <w:b/>
          <w:color w:val="000000"/>
          <w:sz w:val="24"/>
        </w:rPr>
        <w:t>Line of Credit Account</w:t>
      </w:r>
      <w:r>
        <w:rPr>
          <w:color w:val="000000"/>
        </w:rPr>
        <w:t xml:space="preserve">” </w:t>
      </w:r>
      <w:r>
        <w:rPr>
          <w:rFonts w:ascii="Times New Roman;serif" w:hAnsi="Times New Roman;serif"/>
          <w:b w:val="false"/>
          <w:color w:val="000000"/>
          <w:sz w:val="24"/>
        </w:rPr>
        <w:t>means a non-recourse open-end, line of credit account: (i) issued by Bank pursuant to a Program and documented by an Account Agreement; (ii) under which a Customer can access funds exceeding the total available credit on the Credit Card Account; and (iii) the Customer’s repayment of such credit is facilitated by deposits made to the Customer’s DDA.</w:t>
      </w:r>
    </w:p>
    <w:p>
      <w:pPr>
        <w:pStyle w:val="TextBody"/>
        <w:bidi w:val="0"/>
        <w:spacing w:lineRule="auto" w:line="333" w:before="0" w:after="240"/>
        <w:ind w:left="0" w:right="0" w:hanging="720"/>
        <w:jc w:val="both"/>
        <w:rPr/>
      </w:pPr>
      <w:r>
        <w:rPr>
          <w:rFonts w:ascii="Times New Roman;serif" w:hAnsi="Times New Roman;serif"/>
          <w:b w:val="false"/>
          <w:color w:val="000000"/>
          <w:sz w:val="24"/>
        </w:rPr>
        <w:t>(m)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Credit Builder Accounts are being marketed or distributed under this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(n)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C </w:t>
      </w:r>
      <w:r>
        <w:rPr>
          <w:rFonts w:ascii="Times New Roman;serif" w:hAnsi="Times New Roman;serif"/>
          <w:b w:val="false"/>
          <w:color w:val="000000"/>
          <w:sz w:val="24"/>
        </w:rPr>
        <w:t>to this Addendum, 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(o)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 xml:space="preserve">means the marketing, evaluation, servicing, and maintenance of the Credit Builder Accounts to be offered by Bank to qualifying Applicants and pursuant to which Bank will extend credit thereunder pursuant to the terms of this Agreement. The phrase “Account Program” shall mean a unique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Account marketing effort approved by Bank pursuant to a Program Authorization Letter.</w:t>
      </w:r>
    </w:p>
    <w:p>
      <w:pPr>
        <w:pStyle w:val="TextBody"/>
        <w:bidi w:val="0"/>
        <w:spacing w:lineRule="auto" w:line="307" w:before="0" w:after="240"/>
        <w:ind w:left="0" w:right="0" w:hanging="720"/>
        <w:jc w:val="both"/>
        <w:rPr/>
      </w:pPr>
      <w:r>
        <w:rPr>
          <w:rFonts w:ascii="Times New Roman;serif" w:hAnsi="Times New Roman;serif"/>
          <w:b w:val="false"/>
          <w:color w:val="000000"/>
          <w:sz w:val="24"/>
        </w:rPr>
        <w:t>(p)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 xml:space="preserve">means a letter from Bank authorizing the development and launch of an Account Program, in the same or substantially form of </w:t>
      </w:r>
      <w:r>
        <w:rPr>
          <w:rFonts w:ascii="Times New Roman;serif" w:hAnsi="Times New Roman;serif"/>
          <w:b/>
          <w:color w:val="000000"/>
          <w:sz w:val="24"/>
        </w:rPr>
        <w:t>Schedule B.</w:t>
      </w:r>
      <w:r>
        <w:rPr>
          <w:color w:val="000000"/>
        </w:rPr>
        <w:t xml:space="preserve"> </w:t>
      </w:r>
      <w:r>
        <w:rPr>
          <w:rFonts w:ascii="Times New Roman;serif" w:hAnsi="Times New Roman;serif"/>
          <w:b w:val="false"/>
          <w:color w:val="000000"/>
          <w:sz w:val="24"/>
        </w:rPr>
        <w:t>Any Program Authorization Letter shall set forth the general parameters, features, any special terms under which the Account Program is authorized under. The Program Authorization Letter will also indicate whether any third-party model validation or fair lending analysis is required under Section 3 of the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(q)    “</w:t>
      </w:r>
      <w:r>
        <w:rPr>
          <w:rFonts w:ascii="Times New Roman;serif" w:hAnsi="Times New Roman;serif"/>
          <w:b/>
          <w:color w:val="000000"/>
          <w:sz w:val="24"/>
        </w:rPr>
        <w:t>Program Area</w:t>
      </w:r>
      <w:r>
        <w:rPr>
          <w:color w:val="000000"/>
        </w:rPr>
        <w:t xml:space="preserve">” </w:t>
      </w:r>
      <w:r>
        <w:rPr>
          <w:rFonts w:ascii="Times New Roman;serif" w:hAnsi="Times New Roman;serif"/>
          <w:b w:val="false"/>
          <w:color w:val="000000"/>
          <w:sz w:val="24"/>
        </w:rPr>
        <w:t>means the States in which the Program may be marketed.</w:t>
      </w:r>
    </w:p>
    <w:p>
      <w:pPr>
        <w:pStyle w:val="TextBody"/>
        <w:bidi w:val="0"/>
        <w:spacing w:lineRule="auto" w:line="307" w:before="0" w:after="240"/>
        <w:ind w:left="0" w:right="0" w:hanging="720"/>
        <w:jc w:val="both"/>
        <w:rPr/>
      </w:pPr>
      <w:r>
        <w:rPr>
          <w:rFonts w:ascii="Times New Roman;serif" w:hAnsi="Times New Roman;serif"/>
          <w:b w:val="false"/>
          <w:color w:val="000000"/>
          <w:sz w:val="24"/>
        </w:rPr>
        <w:t>(r)    “</w:t>
      </w:r>
      <w:r>
        <w:rPr>
          <w:rFonts w:ascii="Times New Roman;serif" w:hAnsi="Times New Roman;serif"/>
          <w:b/>
          <w:color w:val="000000"/>
          <w:sz w:val="24"/>
        </w:rPr>
        <w:t>Program Guidelines</w:t>
      </w:r>
      <w:r>
        <w:rPr>
          <w:color w:val="000000"/>
        </w:rPr>
        <w:t xml:space="preserve">” </w:t>
      </w:r>
      <w:r>
        <w:rPr>
          <w:rFonts w:ascii="Times New Roman;serif" w:hAnsi="Times New Roman;serif"/>
          <w:b w:val="false"/>
          <w:color w:val="000000"/>
          <w:sz w:val="24"/>
        </w:rPr>
        <w:t>means the guidelines and policies under which Client will generally perform, on Bank’s behalf, the duties, responsibilities, and services set forth in this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(s)    “</w:t>
      </w:r>
      <w:r>
        <w:rPr>
          <w:rFonts w:ascii="Times New Roman;serif" w:hAnsi="Times New Roman;serif"/>
          <w:b/>
          <w:color w:val="000000"/>
          <w:sz w:val="24"/>
        </w:rPr>
        <w:t>Program Start Date</w:t>
      </w:r>
      <w:r>
        <w:rPr>
          <w:color w:val="000000"/>
        </w:rPr>
        <w:t xml:space="preserve">” </w:t>
      </w:r>
      <w:r>
        <w:rPr>
          <w:rFonts w:ascii="Times New Roman;serif" w:hAnsi="Times New Roman;serif"/>
          <w:b w:val="false"/>
          <w:color w:val="000000"/>
          <w:sz w:val="24"/>
        </w:rPr>
        <w:t>means upon issuance of the Program Authorization Letter the date on which the Parties agree that Client may begin to accept Applications from customers for Credit Builder Accounts, on behalf of Bank, whether from Applicants in all States or initially in a limited number of States.</w:t>
      </w:r>
    </w:p>
    <w:p>
      <w:pPr>
        <w:pStyle w:val="TextBody"/>
        <w:bidi w:val="0"/>
        <w:spacing w:lineRule="auto" w:line="307" w:before="0" w:after="240"/>
        <w:ind w:left="0" w:right="0" w:hanging="720"/>
        <w:jc w:val="both"/>
        <w:rPr/>
      </w:pPr>
      <w:r>
        <w:rPr>
          <w:rFonts w:ascii="Times New Roman;serif" w:hAnsi="Times New Roman;serif"/>
          <w:b w:val="false"/>
          <w:color w:val="000000"/>
          <w:sz w:val="24"/>
        </w:rPr>
        <w:t>(t)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the regulation set forth in the entirety of 12 CFR Part 1005, and which implements the Electronic Fund Transfer Act (15 U.S.C. 1693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(u)    “</w:t>
      </w:r>
      <w:r>
        <w:rPr>
          <w:rFonts w:ascii="Times New Roman;serif" w:hAnsi="Times New Roman;serif"/>
          <w:b/>
          <w:color w:val="000000"/>
          <w:sz w:val="24"/>
        </w:rPr>
        <w:t>Regulation Z</w:t>
      </w:r>
      <w:r>
        <w:rPr>
          <w:color w:val="000000"/>
        </w:rPr>
        <w:t xml:space="preserve">” </w:t>
      </w:r>
      <w:r>
        <w:rPr>
          <w:rFonts w:ascii="Times New Roman;serif" w:hAnsi="Times New Roman;serif"/>
          <w:b w:val="false"/>
          <w:color w:val="000000"/>
          <w:sz w:val="24"/>
        </w:rPr>
        <w:t>means the regulations set forth in the entirety of 12 CFR Part 1026, and which implements the Truth in Lending Act (15 U.S.C. 1601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(v)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p>
    <w:p>
      <w:pPr>
        <w:pStyle w:val="TextBody"/>
        <w:bidi w:val="0"/>
        <w:spacing w:lineRule="auto" w:line="307" w:before="0" w:after="240"/>
        <w:ind w:left="0" w:right="0" w:hanging="720"/>
        <w:jc w:val="both"/>
        <w:rPr/>
      </w:pPr>
      <w:r>
        <w:rPr>
          <w:rFonts w:ascii="Times New Roman;serif" w:hAnsi="Times New Roman;serif"/>
          <w:b w:val="false"/>
          <w:color w:val="000000"/>
          <w:sz w:val="24"/>
        </w:rPr>
        <w:t>(w)    “</w:t>
      </w:r>
      <w:r>
        <w:rPr>
          <w:rFonts w:ascii="Times New Roman;serif" w:hAnsi="Times New Roman;serif"/>
          <w:b/>
          <w:color w:val="000000"/>
          <w:sz w:val="24"/>
        </w:rPr>
        <w:t>Secured Account</w:t>
      </w:r>
      <w:r>
        <w:rPr>
          <w:color w:val="000000"/>
        </w:rPr>
        <w:t xml:space="preserve">” </w:t>
      </w:r>
      <w:r>
        <w:rPr>
          <w:rFonts w:ascii="Times New Roman;serif" w:hAnsi="Times New Roman;serif"/>
          <w:b w:val="false"/>
          <w:color w:val="000000"/>
          <w:sz w:val="24"/>
        </w:rPr>
        <w:t>shall mean a Customer-owned, limited purpose, non-interest bearing deposit account issued by Bank, the deposits of which shall serve as collateral for any extension of credit provided to such Customer under a Credit Card Account, and whereby Customer grants Bank a security interest in such deposits.</w:t>
      </w:r>
    </w:p>
    <w:p>
      <w:pPr>
        <w:pStyle w:val="TextBody"/>
        <w:bidi w:val="0"/>
        <w:spacing w:lineRule="auto" w:line="307" w:before="0" w:after="240"/>
        <w:ind w:left="0" w:right="0" w:hanging="720"/>
        <w:jc w:val="both"/>
        <w:rPr/>
      </w:pPr>
      <w:r>
        <w:rPr>
          <w:rFonts w:ascii="Times New Roman;serif" w:hAnsi="Times New Roman;serif"/>
          <w:b w:val="false"/>
          <w:color w:val="000000"/>
          <w:sz w:val="24"/>
        </w:rPr>
        <w:t>(x)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 xml:space="preserve">means a non-scheduled interruption of System Availability (as set forth in </w:t>
      </w:r>
      <w:r>
        <w:rPr>
          <w:rFonts w:ascii="Times New Roman;serif" w:hAnsi="Times New Roman;serif"/>
          <w:b/>
          <w:color w:val="000000"/>
          <w:sz w:val="24"/>
        </w:rPr>
        <w:t>Schedule D</w:t>
      </w:r>
      <w:r>
        <w:rPr>
          <w:rFonts w:ascii="Times New Roman;serif" w:hAnsi="Times New Roman;serif"/>
          <w:b w:val="false"/>
          <w:color w:val="000000"/>
          <w:sz w:val="24"/>
        </w:rPr>
        <w:t>) that impairs a Customer’s ability to access Card or Credit Builder Account information or perform Transactions.</w:t>
      </w:r>
    </w:p>
    <w:p>
      <w:pPr>
        <w:pStyle w:val="TextBody"/>
        <w:bidi w:val="0"/>
        <w:spacing w:lineRule="auto" w:line="307" w:before="0" w:after="240"/>
        <w:ind w:left="0" w:right="0" w:hanging="720"/>
        <w:jc w:val="both"/>
        <w:rPr/>
      </w:pPr>
      <w:r>
        <w:rPr>
          <w:rFonts w:ascii="Times New Roman;serif" w:hAnsi="Times New Roman;serif"/>
          <w:b w:val="false"/>
          <w:color w:val="000000"/>
          <w:sz w:val="24"/>
        </w:rPr>
        <w:t>(y)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 xml:space="preserve">Schedule D </w:t>
      </w:r>
      <w:r>
        <w:rPr>
          <w:rFonts w:ascii="Times New Roman;serif" w:hAnsi="Times New Roman;serif"/>
          <w:b w:val="false"/>
          <w:color w:val="000000"/>
          <w:sz w:val="24"/>
        </w:rPr>
        <w:t>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val="false"/>
          <w:color w:val="000000"/>
          <w:sz w:val="24"/>
        </w:rPr>
        <w:t>(z)    “</w:t>
      </w:r>
      <w:r>
        <w:rPr>
          <w:rFonts w:ascii="Times New Roman;serif" w:hAnsi="Times New Roman;serif"/>
          <w:b/>
          <w:color w:val="000000"/>
          <w:sz w:val="24"/>
        </w:rPr>
        <w:t>States</w:t>
      </w:r>
      <w:r>
        <w:rPr>
          <w:color w:val="000000"/>
        </w:rPr>
        <w:t xml:space="preserve">” </w:t>
      </w:r>
      <w:r>
        <w:rPr>
          <w:rFonts w:ascii="Times New Roman;serif" w:hAnsi="Times New Roman;serif"/>
          <w:b w:val="false"/>
          <w:color w:val="000000"/>
          <w:sz w:val="24"/>
        </w:rPr>
        <w:t>means any state in the United States of America and the District of Columbia.</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PROGRAM DESCRIPTION AND BANK RESPONSIBILITIES</w:t>
      </w:r>
    </w:p>
    <w:p>
      <w:pPr>
        <w:pStyle w:val="TextBody"/>
        <w:bidi w:val="0"/>
        <w:spacing w:before="0" w:after="0"/>
        <w:jc w:val="center"/>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color w:val="000000"/>
          <w:sz w:val="24"/>
        </w:rPr>
        <w:t>2.1    </w:t>
      </w:r>
      <w:r>
        <w:rPr>
          <w:rFonts w:ascii="Times New Roman;serif" w:hAnsi="Times New Roman;serif"/>
          <w:b w:val="false"/>
          <w:color w:val="000000"/>
          <w:sz w:val="24"/>
          <w:u w:val="single"/>
        </w:rPr>
        <w:t>Program Description</w:t>
      </w:r>
      <w:r>
        <w:rPr>
          <w:rFonts w:ascii="Times New Roman;serif" w:hAnsi="Times New Roman;serif"/>
          <w:b w:val="false"/>
          <w:color w:val="000000"/>
          <w:sz w:val="24"/>
        </w:rPr>
        <w:t>. The Parties agree that, in accordance with the Program Guidelines, the Program generally shall involve: Client marketing the Program, and Credit Builder Accounts, on behalf of Bank, to potential Applicants; Bank approving the Program and the Credit Underwriting Standards, accepting Applications and extending credit to Customers residing in the States, issuing Cards providing access to credit extended by Bank, issuing Secured Accounts to Customers and holding funds in such Secured Accounts to collateralize extensions of credit to Customers by Bank under the Credit Card Accounts, and issuing Line of Credit Accounts; and Client processing Applications and servicing and collecting on Credit Builder Accounts on behalf of Bank. The duties of the Parties in connection with the Program shall be as set forth in the terms of this Agreement.</w:t>
      </w:r>
    </w:p>
    <w:p>
      <w:pPr>
        <w:pStyle w:val="TextBody"/>
        <w:bidi w:val="0"/>
        <w:spacing w:lineRule="auto" w:line="307" w:before="0" w:after="240"/>
        <w:ind w:left="0" w:right="0" w:hanging="720"/>
        <w:jc w:val="both"/>
        <w:rPr/>
      </w:pPr>
      <w:r>
        <w:rPr>
          <w:rFonts w:ascii="Times New Roman;serif" w:hAnsi="Times New Roman;serif"/>
          <w:b/>
          <w:color w:val="000000"/>
          <w:sz w:val="24"/>
        </w:rPr>
        <w:t>2.2    </w:t>
      </w:r>
      <w:r>
        <w:rPr>
          <w:rFonts w:ascii="Times New Roman;serif" w:hAnsi="Times New Roman;serif"/>
          <w:b w:val="false"/>
          <w:color w:val="000000"/>
          <w:sz w:val="24"/>
          <w:u w:val="single"/>
        </w:rPr>
        <w:t>Marketing</w:t>
      </w:r>
      <w:r>
        <w:rPr>
          <w:rFonts w:ascii="Times New Roman;serif" w:hAnsi="Times New Roman;serif"/>
          <w:b w:val="false"/>
          <w:color w:val="000000"/>
          <w:sz w:val="24"/>
        </w:rPr>
        <w:t>. Client shall market Credit Builder Accounts to prospective Customers, subject to Applicable Law, and in accordance with this Addendum and any Program Authorization Letter. Client shall be responsible for all costs and expenses associated with the marketing of the Program.</w:t>
      </w:r>
    </w:p>
    <w:p>
      <w:pPr>
        <w:pStyle w:val="TextBody"/>
        <w:bidi w:val="0"/>
        <w:spacing w:lineRule="auto" w:line="307" w:before="0" w:after="240"/>
        <w:ind w:left="0" w:right="0" w:hanging="720"/>
        <w:jc w:val="both"/>
        <w:rPr/>
      </w:pPr>
      <w:r>
        <w:rPr>
          <w:rFonts w:ascii="Times New Roman;serif" w:hAnsi="Times New Roman;serif"/>
          <w:b/>
          <w:color w:val="000000"/>
          <w:sz w:val="24"/>
        </w:rPr>
        <w:t>2.3    </w:t>
      </w:r>
      <w:r>
        <w:rPr>
          <w:rFonts w:ascii="Times New Roman;serif" w:hAnsi="Times New Roman;serif"/>
          <w:b w:val="false"/>
          <w:color w:val="000000"/>
          <w:sz w:val="24"/>
          <w:u w:val="single"/>
        </w:rPr>
        <w:t>Marketing Territory</w:t>
      </w:r>
      <w:r>
        <w:rPr>
          <w:rFonts w:ascii="Times New Roman;serif" w:hAnsi="Times New Roman;serif"/>
          <w:b w:val="false"/>
          <w:color w:val="000000"/>
          <w:sz w:val="24"/>
        </w:rPr>
        <w:t>. The Program shall only be marketed in the Program Area. The Parties may mutually agree to decline to offer the Program in certain states related to legal or regulatory concerns (including, but not limited to, state licensing requirements). The Parties may also mutually agree to decline to offer the Program in certain States for reasons unrelated to legal or regulatory concerns, but such other reasons shall be evaluated by the Parties in good faith for compliance with Applicable Law.</w:t>
      </w:r>
    </w:p>
    <w:p>
      <w:pPr>
        <w:pStyle w:val="TextBody"/>
        <w:bidi w:val="0"/>
        <w:spacing w:lineRule="auto" w:line="307" w:before="0" w:after="240"/>
        <w:ind w:left="0" w:right="0" w:hanging="720"/>
        <w:jc w:val="both"/>
        <w:rPr/>
      </w:pPr>
      <w:r>
        <w:rPr>
          <w:rFonts w:ascii="Times New Roman;serif" w:hAnsi="Times New Roman;serif"/>
          <w:b/>
          <w:color w:val="000000"/>
          <w:sz w:val="24"/>
        </w:rPr>
        <w:t>2.4    </w:t>
      </w:r>
      <w:r>
        <w:rPr>
          <w:rFonts w:ascii="Times New Roman;serif" w:hAnsi="Times New Roman;serif"/>
          <w:b w:val="false"/>
          <w:color w:val="000000"/>
          <w:sz w:val="24"/>
          <w:u w:val="single"/>
        </w:rPr>
        <w:t>Bank Issuance</w:t>
      </w:r>
      <w:r>
        <w:rPr>
          <w:rFonts w:ascii="Times New Roman;serif" w:hAnsi="Times New Roman;serif"/>
          <w:b w:val="false"/>
          <w:color w:val="000000"/>
          <w:sz w:val="24"/>
        </w:rPr>
        <w:t>. Bank shall be the issuer of each of the Credit Builder Accounts and Cards, which each shall be issued in accordance with this Addendum and subject to Applicable Law, with the understanding that the Cards are, and shall at all times remain, the property of Bank. Nothing herein shall be interpreted to require Bank to establish a certain number of Credit Builder Accounts, or Cards, and Bank shall have the right to terminate marketing and issuance of new Credit Builder Accounts, and Cards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07" w:before="0" w:after="240"/>
        <w:ind w:left="0" w:right="0" w:hanging="720"/>
        <w:jc w:val="both"/>
        <w:rPr/>
      </w:pPr>
      <w:r>
        <w:rPr>
          <w:rFonts w:ascii="Times New Roman;serif" w:hAnsi="Times New Roman;serif"/>
          <w:b/>
          <w:color w:val="000000"/>
          <w:sz w:val="24"/>
        </w:rPr>
        <w:t>2.5    </w:t>
      </w:r>
      <w:r>
        <w:rPr>
          <w:rFonts w:ascii="Times New Roman;serif" w:hAnsi="Times New Roman;serif"/>
          <w:b w:val="false"/>
          <w:color w:val="000000"/>
          <w:sz w:val="24"/>
          <w:u w:val="single"/>
        </w:rPr>
        <w:t>Customer Relationship</w:t>
      </w:r>
      <w:r>
        <w:rPr>
          <w:rFonts w:ascii="Times New Roman;serif" w:hAnsi="Times New Roman;serif"/>
          <w:b w:val="false"/>
          <w:color w:val="000000"/>
          <w:sz w:val="24"/>
        </w:rPr>
        <w:t xml:space="preserve">. Client acknowledges that approval of an Application, the offering of a Credit Card Account or Line of Credit Account and the Bank’s extension of credit to any Customer, creates a creditor-borrower relationship between Bank and Customer, and not between Client and Customer. The creditor-borrower relationship between Bank and Customer shall involve, among other things, the establishment of Credit Builder and Secured Accounts and, if applicable, a Line of Credit Account, the extension of credit from time to time, issuance of a Card and the collection of payments from Customers. Nothing in this Addendum shall authorize or require Client to extend credit to an Applicant or Customer, and nothing herein shall obligate Bank to extend </w:t>
      </w:r>
    </w:p>
    <w:p>
      <w:pPr>
        <w:pStyle w:val="TextBody"/>
        <w:bidi w:val="0"/>
        <w:spacing w:before="0" w:after="0"/>
        <w:jc w:val="center"/>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credit to an Applicant or Customer if Bank determines, in its reasonable judgment, that doing so would be an unsafe and unsound banking practice, or if an Applicant or Customer fails to qualify for an Account or Line of Credit Account (in the case of an Applicant) or an extension of credit (in the case of a Customer) under the Credit Underwriting Standards.</w:t>
      </w:r>
    </w:p>
    <w:p>
      <w:pPr>
        <w:pStyle w:val="TextBody"/>
        <w:bidi w:val="0"/>
        <w:spacing w:before="0" w:after="0"/>
        <w:jc w:val="center"/>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2.6    </w:t>
      </w:r>
      <w:r>
        <w:rPr>
          <w:rFonts w:ascii="Times New Roman;serif" w:hAnsi="Times New Roman;serif"/>
          <w:b w:val="false"/>
          <w:color w:val="000000"/>
          <w:sz w:val="24"/>
          <w:u w:val="single"/>
        </w:rPr>
        <w:t>Lending Commitment</w:t>
      </w:r>
      <w:r>
        <w:rPr>
          <w:rFonts w:ascii="Times New Roman;serif" w:hAnsi="Times New Roman;serif"/>
          <w:b w:val="false"/>
          <w:color w:val="000000"/>
          <w:sz w:val="24"/>
        </w:rPr>
        <w:t>. Subject to the terms and conditions in this Addendum, from and after the Program Start Date and during the Term of this Addendum and any Wind-Down period, if applicable, Bank agrees to offer Credit Builder Accounts to those Applicants who qualify for credit under the Bank’s Credit Underwriting Standards, or as otherwise approved pursuant to Section 3 below, and who reside in the Program Area; and to extend credit to Customers under Account Agreements executed by Bank and Customer for all such Credit Builder Accounts. All Credit Builder Accounts established by Bank under this Agreement shall be originated by Bank using Client’s services described in this Agreement and any credit extended by Bank shall be solely accessed by the Card.</w:t>
      </w:r>
    </w:p>
    <w:p>
      <w:pPr>
        <w:pStyle w:val="TextBody"/>
        <w:bidi w:val="0"/>
        <w:spacing w:lineRule="auto" w:line="333" w:before="0" w:after="240"/>
        <w:ind w:left="0" w:right="0" w:hanging="720"/>
        <w:jc w:val="both"/>
        <w:rPr/>
      </w:pPr>
      <w:r>
        <w:rPr>
          <w:rFonts w:ascii="Times New Roman;serif" w:hAnsi="Times New Roman;serif"/>
          <w:b/>
          <w:color w:val="000000"/>
          <w:sz w:val="24"/>
        </w:rPr>
        <w:t>2.7    </w:t>
      </w:r>
      <w:r>
        <w:rPr>
          <w:rFonts w:ascii="Times New Roman;serif" w:hAnsi="Times New Roman;serif"/>
          <w:b w:val="false"/>
          <w:color w:val="000000"/>
          <w:sz w:val="24"/>
          <w:u w:val="single"/>
        </w:rPr>
        <w:t>Secured Account</w:t>
      </w:r>
      <w:r>
        <w:rPr>
          <w:rFonts w:ascii="Times New Roman;serif" w:hAnsi="Times New Roman;serif"/>
          <w:b w:val="false"/>
          <w:color w:val="000000"/>
          <w:sz w:val="24"/>
        </w:rPr>
        <w:t>. Bank shall issue a Secured Account to each Customer. Customer may deposit funds into the Secured Account to serve as collateral for extensions of credit by Bank to Customer under the Account. Notwithstanding anything in this Addendum, Bank shall have no obligation under this Addendum to extend credit to any Customer in amounts that exceed such Customer’s Secured Account balance and the credit available in the Line of Credit Account (if applicable).</w:t>
      </w:r>
    </w:p>
    <w:p>
      <w:pPr>
        <w:pStyle w:val="TextBody"/>
        <w:bidi w:val="0"/>
        <w:spacing w:lineRule="auto" w:line="333" w:before="0" w:after="240"/>
        <w:ind w:left="0" w:right="0" w:hanging="720"/>
        <w:jc w:val="both"/>
        <w:rPr/>
      </w:pPr>
      <w:r>
        <w:rPr>
          <w:rFonts w:ascii="Times New Roman;serif" w:hAnsi="Times New Roman;serif"/>
          <w:b/>
          <w:color w:val="000000"/>
          <w:sz w:val="24"/>
        </w:rPr>
        <w:t>2.8    </w:t>
      </w:r>
      <w:r>
        <w:rPr>
          <w:rFonts w:ascii="Times New Roman;serif" w:hAnsi="Times New Roman;serif"/>
          <w:b w:val="false"/>
          <w:color w:val="000000"/>
          <w:sz w:val="24"/>
          <w:u w:val="single"/>
        </w:rPr>
        <w:t>Bank Authority to Make Loans:</w:t>
      </w:r>
      <w:r>
        <w:rPr>
          <w:color w:val="000000"/>
        </w:rPr>
        <w:t xml:space="preserve"> </w:t>
      </w:r>
      <w:r>
        <w:rPr>
          <w:rFonts w:ascii="Times New Roman;serif" w:hAnsi="Times New Roman;serif"/>
          <w:b w:val="false"/>
          <w:color w:val="000000"/>
          <w:sz w:val="24"/>
        </w:rPr>
        <w:t>Bank hereby represents and warrants to Client that Bank is a U.S. nationally-chartered financial institution that has the authority to accept deposits, and is a FDIC-insured depository institution for the purposes of Section 521 of the Depository Institutions Deregulation and Monetary Control Act of 1980, 12 U.S.C. § 1831d, and has the full power and authority to make the extensions of credit contemplated by this Addendum to Customers in all States. Bank further represents and warrants that Bank’s operations relating to the Program and creation of Credit Builder Accounts, including Bank’s extensions of credit to Customers are in compliance with Applicable Law.</w:t>
      </w:r>
    </w:p>
    <w:p>
      <w:pPr>
        <w:pStyle w:val="TextBody"/>
        <w:bidi w:val="0"/>
        <w:spacing w:lineRule="auto" w:line="333" w:before="0" w:after="240"/>
        <w:ind w:left="0" w:right="0" w:hanging="720"/>
        <w:jc w:val="both"/>
        <w:rPr/>
      </w:pPr>
      <w:r>
        <w:rPr>
          <w:rFonts w:ascii="Times New Roman;serif" w:hAnsi="Times New Roman;serif"/>
          <w:b/>
          <w:color w:val="000000"/>
          <w:sz w:val="24"/>
        </w:rPr>
        <w:t>2.9    </w:t>
      </w:r>
      <w:r>
        <w:rPr>
          <w:rFonts w:ascii="Times New Roman;serif" w:hAnsi="Times New Roman;serif"/>
          <w:b w:val="false"/>
          <w:color w:val="000000"/>
          <w:sz w:val="24"/>
          <w:u w:val="single"/>
        </w:rPr>
        <w:t>Bank Controls</w:t>
      </w:r>
      <w:r>
        <w:rPr>
          <w:rFonts w:ascii="Times New Roman;serif" w:hAnsi="Times New Roman;serif"/>
          <w:b w:val="false"/>
          <w:color w:val="000000"/>
          <w:sz w:val="24"/>
        </w:rPr>
        <w:t>. Bank shall have implemented or shall implement such controls as Bank deems reasonably necessary to adequately control, monitor and supervise the operation of Bank’s obligations under the Program, including the funding of each Credit Builder Account (the “</w:t>
      </w:r>
      <w:r>
        <w:rPr>
          <w:rFonts w:ascii="Times New Roman;serif" w:hAnsi="Times New Roman;serif"/>
          <w:b/>
          <w:color w:val="000000"/>
          <w:sz w:val="24"/>
        </w:rPr>
        <w:t>Bank Controls</w:t>
      </w:r>
      <w:r>
        <w:rPr>
          <w:color w:val="000000"/>
        </w:rPr>
        <w:t>”</w:t>
      </w:r>
      <w:r>
        <w:rPr>
          <w:rFonts w:ascii="Times New Roman;serif" w:hAnsi="Times New Roman;serif"/>
          <w:b w:val="false"/>
          <w:color w:val="000000"/>
          <w:sz w:val="24"/>
        </w:rPr>
        <w:t>). At the written request of Client, but not more than once annually, Bank shall confirm, in writing, to Company that Bank has implemented the Bank Controls.</w:t>
      </w:r>
    </w:p>
    <w:p>
      <w:pPr>
        <w:pStyle w:val="TextBody"/>
        <w:bidi w:val="0"/>
        <w:spacing w:lineRule="auto" w:line="333" w:before="0" w:after="240"/>
        <w:ind w:left="0" w:right="0" w:hanging="720"/>
        <w:jc w:val="both"/>
        <w:rPr/>
      </w:pPr>
      <w:r>
        <w:rPr>
          <w:rFonts w:ascii="Times New Roman;serif" w:hAnsi="Times New Roman;serif"/>
          <w:b/>
          <w:color w:val="000000"/>
          <w:sz w:val="24"/>
        </w:rPr>
        <w:t>2.10    </w:t>
      </w:r>
      <w:r>
        <w:rPr>
          <w:rFonts w:ascii="Times New Roman;serif" w:hAnsi="Times New Roman;serif"/>
          <w:b w:val="false"/>
          <w:color w:val="000000"/>
          <w:sz w:val="24"/>
          <w:u w:val="single"/>
        </w:rPr>
        <w:t>Bank Program Management</w:t>
      </w:r>
      <w:r>
        <w:rPr>
          <w:rFonts w:ascii="Times New Roman;serif" w:hAnsi="Times New Roman;serif"/>
          <w:b w:val="false"/>
          <w:color w:val="000000"/>
          <w:sz w:val="24"/>
        </w:rPr>
        <w:t>. Bank shall manage the Program in good faith, employing at least the same degree of care, skill and attention that Bank devotes to management of its other programs that are similar to Program.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FINANCE MATERIALS</w:t>
      </w:r>
    </w:p>
    <w:p>
      <w:pPr>
        <w:pStyle w:val="TextBody"/>
        <w:bidi w:val="0"/>
        <w:spacing w:before="0" w:after="0"/>
        <w:jc w:val="center"/>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3.1    </w:t>
      </w:r>
      <w:r>
        <w:rPr>
          <w:rFonts w:ascii="Times New Roman;serif" w:hAnsi="Times New Roman;serif"/>
          <w:b w:val="false"/>
          <w:color w:val="000000"/>
          <w:sz w:val="24"/>
          <w:u w:val="single"/>
        </w:rPr>
        <w:t>Finance Materials</w:t>
      </w:r>
      <w:r>
        <w:rPr>
          <w:rFonts w:ascii="Times New Roman;serif" w:hAnsi="Times New Roman;serif"/>
          <w:b w:val="false"/>
          <w:color w:val="000000"/>
          <w:sz w:val="24"/>
        </w:rPr>
        <w:t>. Bank shall have no obligations under this Addendum unless and until it has provided written approval of the following documents (collectively, the “</w:t>
      </w:r>
      <w:r>
        <w:rPr>
          <w:rFonts w:ascii="Times New Roman;serif" w:hAnsi="Times New Roman;serif"/>
          <w:b/>
          <w:color w:val="000000"/>
          <w:sz w:val="24"/>
        </w:rPr>
        <w:t>Finance Materials</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 description of the Program, including the terms and conditions of Credit Builder Accounts, including any interest rates and fees.</w:t>
      </w:r>
    </w:p>
    <w:p>
      <w:pPr>
        <w:pStyle w:val="TextBody"/>
        <w:bidi w:val="0"/>
        <w:spacing w:before="0" w:after="0"/>
        <w:jc w:val="center"/>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forms(s) of electronic, paper and call center Applications (including required data fields, disclosures and, as applicable, electronic signature consent forms). Any Application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forms of the Account Agreement. Any Account Agreement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forms of other applicable finance disclosures, including privacy policies and privacy notice required by Applicable Law with respect to the Applications and/or Credit Builder Accounts.</w:t>
      </w:r>
    </w:p>
    <w:p>
      <w:pPr>
        <w:pStyle w:val="TextBody"/>
        <w:bidi w:val="0"/>
        <w:spacing w:lineRule="auto" w:line="333" w:before="0" w:after="240"/>
        <w:ind w:left="0" w:right="0" w:hanging="720"/>
        <w:jc w:val="both"/>
        <w:rPr/>
      </w:pPr>
      <w:r>
        <w:rPr>
          <w:rFonts w:ascii="Times New Roman;serif" w:hAnsi="Times New Roman;serif"/>
          <w:b/>
          <w:color w:val="000000"/>
          <w:sz w:val="24"/>
        </w:rPr>
        <w:t>3.2    </w:t>
      </w:r>
      <w:r>
        <w:rPr>
          <w:rFonts w:ascii="Times New Roman;serif" w:hAnsi="Times New Roman;serif"/>
          <w:b w:val="false"/>
          <w:color w:val="000000"/>
          <w:sz w:val="24"/>
          <w:u w:val="single"/>
        </w:rPr>
        <w:t>Updates to Finance Materials</w:t>
      </w:r>
      <w:r>
        <w:rPr>
          <w:rFonts w:ascii="Times New Roman;serif" w:hAnsi="Times New Roman;serif"/>
          <w:b w:val="false"/>
          <w:color w:val="000000"/>
          <w:sz w:val="24"/>
        </w:rPr>
        <w:t>. The Parties agree to work together in good faith to develop, and shall use the same process and procedures to prepare and approve Finance Materials for products added to the Program after the Program Start Date. Notwithstanding anything to the contrary in this Agreement, no change may be made to the Credit Underwriting Standards unless each such change has been approved by Bank in writing in accordance with this Addendum.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CLIENT OBLIGATIONS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As service provider for Bank, Client shall process Applications from Applicants who desire to establish Credit Builder Accounts and shall determine whether the Applicants meet the eligibility criteria set forth in the Credit Underwriting Standards. Client shall not override the Credit Underwriting Standards, or otherwise deviate from the Credit Underwriting Standards, with respect to any Applications.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and Bank shall negotiate in good faith to agree prior to the Program Start Date on a method, including any related reporting procedures, for Bank to review Applications approved or declined by Company, including Company’s implementation of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On behalf of Bank, Client shall respond to all inquiries from Applicants regarding the application process in accordance with the Accepted Servicing Practices. The Parties shall agree on mutually acceptable procedures with respect to Client providing adverse action notices to Applicants with regard to Applications that do not meet Credit Underwriting Standards criteria or are otherwise denied by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any adverse action notices shall be subject to Bank’s prior written approval); and Account Agreements to Applicants with regard to Applications that are approved by Bank. On Bank’s behalf, and pursuant to procedures mutually agreed to by the Parties, Client shall provide the foregoing services and deliver </w:t>
      </w:r>
    </w:p>
    <w:p>
      <w:pPr>
        <w:pStyle w:val="TextBody"/>
        <w:bidi w:val="0"/>
        <w:spacing w:before="0" w:after="0"/>
        <w:jc w:val="center"/>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Applications, Account Agreements, adverse action notices and any other customer communications all at its own cost.</w:t>
      </w:r>
    </w:p>
    <w:p>
      <w:pPr>
        <w:pStyle w:val="TextBody"/>
        <w:bidi w:val="0"/>
        <w:spacing w:lineRule="auto" w:line="319" w:before="0" w:after="240"/>
        <w:ind w:left="0" w:right="0" w:hanging="720"/>
        <w:jc w:val="both"/>
        <w:rPr/>
      </w:pPr>
      <w:r>
        <w:rPr>
          <w:rFonts w:ascii="Times New Roman;serif" w:hAnsi="Times New Roman;serif"/>
          <w:b/>
          <w:color w:val="000000"/>
          <w:sz w:val="24"/>
        </w:rPr>
        <w:t>4.1    </w:t>
      </w:r>
      <w:r>
        <w:rPr>
          <w:rFonts w:ascii="Times New Roman;serif" w:hAnsi="Times New Roman;serif"/>
          <w:b w:val="false"/>
          <w:color w:val="000000"/>
          <w:sz w:val="24"/>
          <w:u w:val="single"/>
        </w:rPr>
        <w:t>Account Servicing</w:t>
      </w:r>
      <w:r>
        <w:rPr>
          <w:rFonts w:ascii="Times New Roman;serif" w:hAnsi="Times New Roman;serif"/>
          <w:b w:val="false"/>
          <w:color w:val="000000"/>
          <w:sz w:val="24"/>
        </w:rPr>
        <w:t>. On behalf of Bank, Client shall, acting alone or through Client’s Affiliates and/or Subcontractors approved by Bank in accordance with the Agreement and this Addendum, service and administer the Credit Builder Accounts pursuant to the Accepted Servicing Practices. Such servicing shall include, to the extent the Parties agree that such services are to be provided under the Program in accordance with the Accepted Servicing Practices, approval and/or denial of Applications pursuant to the Credit Underwriting Standards, performing customer identification services, preparation and delivering of Credit Builder Account statements, undertaking collections, providing customer service, crediting Credit Builder Accounts in respect of payments and adjustments, resolving customer disputes, reporting Credit Card Account activity to consumer reporting agencies and providing such other services as are ordinary and customary for a servicer of Credit Builder Accounts. Client shall service and administer each Credit Builder Account in accordance with the Accepted Servicing Practices for the benefit of Bank, and shall have full power and authority, acting alone or through its designee, to do any and all things in connection with such servicing and administration as limited by Accepted Servicing Practices. Client shall perform such servicing in compliance with Applicable Law. The Accepted Servicing Practices shall be subject to Bank’s prior written approval, and shall include (but not be limited to): policies and procedures to ensure the Credit Builder Account’s and Bank’s compliance with, to the extent applicable, Regulation Z (Truth in Lending Act), Regulation B (Equal Credit Opportunity Act), Regulation E (Electronic Fund Transfer Act), the Fair Credit Reporting Act (and its accompanying Regulation V), the Fair Debt Collection Practices Act (and its accompanying Regulation F) (and similarly applicable state laws), UDAAP, the Military Lending Act (MLA), the Servicemembers Civil Relief Act (SCRA), the Bank Secrecy Act, the Electronic Signatures in Global and National Commerce Act (E-SIGN) and applicable fair lending standards.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Client shall obtain and maintain all licenses (including, but not limited to, loan servicing licenses, loan broker licenses and debt collection licenses) that Client reasonably determines are necessary under Applicable Law (based on the advice of counsel) for Client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4.2    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providing customer service, whether by Client or through an approved Subcontractor, in connection with the Program, which shall be provided in accordance with the Agreement, this Addendum and the Service Levels. Client specifically acknowledges and agrees that all customer service </w:t>
      </w:r>
    </w:p>
    <w:p>
      <w:pPr>
        <w:pStyle w:val="TextBody"/>
        <w:bidi w:val="0"/>
        <w:spacing w:before="0" w:after="0"/>
        <w:jc w:val="center"/>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to Applicants and Customers in connection with the Program shall comply with Applicable Law, including but not limited to Section 5 of the Federal Trade Commission Act and BSA/AML, Truth in Lending Act, Equal Credit Opportunity Act, Fair Credit Reporting Act, Fair Debt Collection Practices Act, Gramm-Leach-</w:t>
      </w:r>
    </w:p>
    <w:p>
      <w:pPr>
        <w:pStyle w:val="TextBody"/>
        <w:bidi w:val="0"/>
        <w:spacing w:before="0" w:after="0"/>
        <w:jc w:val="center"/>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Bliley Act, UDAAP, Servicemembers Civil Relief Act, Military Lending Act, and any regulations thereunder, as may be applicable.</w:t>
      </w:r>
    </w:p>
    <w:p>
      <w:pPr>
        <w:pStyle w:val="TextBody"/>
        <w:bidi w:val="0"/>
        <w:spacing w:lineRule="auto" w:line="319" w:before="0" w:after="240"/>
        <w:ind w:left="0" w:right="0" w:hanging="720"/>
        <w:jc w:val="both"/>
        <w:rPr/>
      </w:pPr>
      <w:r>
        <w:rPr>
          <w:rFonts w:ascii="Times New Roman;serif" w:hAnsi="Times New Roman;serif"/>
          <w:b w:val="false"/>
          <w:color w:val="000000"/>
          <w:sz w:val="24"/>
        </w:rPr>
        <w:t xml:space="preserve">(b)    In the event that Client (or its Bank-approved Subcontractor) receives a complaint in any form from an Applicant, Customer, or non-Customer in connection with the Program, and such complaint is addressed to Client, then Client shall resolve all such complaints pursuant to the Customer Complaint Guidelines set forth in </w:t>
      </w:r>
      <w:r>
        <w:rPr>
          <w:rFonts w:ascii="Times New Roman;serif" w:hAnsi="Times New Roman;serif"/>
          <w:b/>
          <w:color w:val="000000"/>
          <w:sz w:val="24"/>
        </w:rPr>
        <w:t>Schedule G.</w:t>
      </w:r>
      <w:r>
        <w:rPr>
          <w:color w:val="000000"/>
        </w:rPr>
        <w:t xml:space="preserve"> </w:t>
      </w:r>
      <w:r>
        <w:rPr>
          <w:rFonts w:ascii="Times New Roman;serif" w:hAnsi="Times New Roman;serif"/>
          <w:b w:val="false"/>
          <w:color w:val="000000"/>
          <w:sz w:val="24"/>
        </w:rPr>
        <w:t>Client may propose specific exceptions from the Customer Complaint Guidelines,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an Applicant, Customer or non-Customer,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Applicants, Customers and non-Customers.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Client agrees that in the event that Client (or its Bank-approved subcontractor) receives an oral or written dispute from an Applicant or Customer regarding an Application or Credit Builder Account (including, but not limited to, claims related to identity theft, unauthorized use, a Customer’s assertion against Bank of any claims and defenses arising out of a Card transaction that such Customer may have against a merchant (as set forth in 12 CFR 1026.12(c)), or a Customer’s assertion of a “billing error” (as defined in 12 CFR 1026.13), Client shall resolve such dispute in accordance with Applicable Law (including, but not limited to, Regulation Z) and the Customer Complaint Guidelines. Client shall retain all dispute-related information and shall provide the same to Bank as it may reasonably request from time to time. To the extent that Bank responds to any such dispute, Client shall use reasonable efforts to cooperate with Bank in the reasonable resolution of any disputes, all in accordance with Applicable Law.</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To the extent that Regulation E is applicable to the Secured Account, Client agrees that in the event it or any Subcontractor receives from a Customer an oral or written notice of “error” (as defined in Regulation E) in connection with the Secured Account, Client will promptly respond to such inquiries in accordance with the terms of the Account Agreement and Applicable Law. Client shall retain all error-related information and shall provide the same to Bank as it may reasonably request from time to time. To the extent Bank responds to any such </w:t>
      </w:r>
    </w:p>
    <w:p>
      <w:pPr>
        <w:pStyle w:val="TextBody"/>
        <w:bidi w:val="0"/>
        <w:spacing w:before="0" w:after="0"/>
        <w:jc w:val="center"/>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errors, Client shall use reasonable efforts to cooperate with Bank in the reasonable resolution of any Customer-reported error, all in accordance with Applicable Law.</w:t>
      </w:r>
    </w:p>
    <w:p>
      <w:pPr>
        <w:pStyle w:val="TextBody"/>
        <w:bidi w:val="0"/>
        <w:spacing w:lineRule="auto" w:line="319" w:before="0" w:after="240"/>
        <w:ind w:left="0" w:right="0" w:hanging="720"/>
        <w:jc w:val="both"/>
        <w:rPr/>
      </w:pPr>
      <w:r>
        <w:rPr>
          <w:rFonts w:ascii="Times New Roman;serif" w:hAnsi="Times New Roman;serif"/>
          <w:b/>
          <w:color w:val="000000"/>
          <w:sz w:val="24"/>
        </w:rPr>
        <w:t>4.3    </w:t>
      </w:r>
      <w:r>
        <w:rPr>
          <w:rFonts w:ascii="Times New Roman;serif" w:hAnsi="Times New Roman;serif"/>
          <w:b w:val="false"/>
          <w:color w:val="000000"/>
          <w:sz w:val="24"/>
          <w:u w:val="single"/>
        </w:rPr>
        <w:t>Credit Reporting</w:t>
      </w:r>
      <w:r>
        <w:rPr>
          <w:rFonts w:ascii="Times New Roman;serif" w:hAnsi="Times New Roman;serif"/>
          <w:b w:val="false"/>
          <w:color w:val="000000"/>
          <w:sz w:val="24"/>
        </w:rPr>
        <w:t xml:space="preserve">. Client agrees to accurately furnish certain information regarding Applicants or Credit Card Accounts to Consumer Reporting Agencies (as that term is </w:t>
      </w:r>
    </w:p>
    <w:p>
      <w:pPr>
        <w:pStyle w:val="TextBody"/>
        <w:bidi w:val="0"/>
        <w:spacing w:before="0" w:after="0"/>
        <w:jc w:val="center"/>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pPr>
      <w:r>
        <w:rPr>
          <w:rFonts w:ascii="Times New Roman;serif" w:hAnsi="Times New Roman;serif"/>
          <w:b w:val="false"/>
          <w:color w:val="000000"/>
          <w:sz w:val="24"/>
        </w:rPr>
        <w:t>defined by the Fair Credit Reporting Act) (“</w:t>
      </w:r>
      <w:r>
        <w:rPr>
          <w:rFonts w:ascii="Times New Roman;serif" w:hAnsi="Times New Roman;serif"/>
          <w:b/>
          <w:color w:val="000000"/>
          <w:sz w:val="24"/>
        </w:rPr>
        <w:t>CRA’s</w:t>
      </w:r>
      <w:r>
        <w:rPr>
          <w:color w:val="000000"/>
        </w:rPr>
        <w:t>”</w:t>
      </w:r>
      <w:r>
        <w:rPr>
          <w:rFonts w:ascii="Times New Roman;serif" w:hAnsi="Times New Roman;serif"/>
          <w:b w:val="false"/>
          <w:color w:val="000000"/>
          <w:sz w:val="24"/>
        </w:rPr>
        <w:t>) on behalf of Bank, with such CRA’s approved in writing by Bank. Client shall promptly respond to Applicant or Borrower disputes of Application or Credit Card Account information furnished by Client to CRA’s, which are received either from a CRA or from an Applicant or Customer directly, in accordance with Applicable Law (including, but not limited to, the Fair Credit Reporting Act). In the event that such dispute identifies any errors associated with the information furnished by Client to CRA’s regarding an Application or Credit Card Account, Client shall promptly correct such error with the CRA’s in accordance with Applicable Law. Between Client and Bank, Client shall be responsible for establishing a contractual relationship with each of the CRA’s to which Application or Credit Card Account information shall be furnished by Client. Client’s policies and procedures governing the furnishing of Application or Credit Card Account information to CRA’s, and the processing of disputes related to such furnishing of Application or Credit Card Account information to CRA’s,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4.4    </w:t>
      </w:r>
      <w:r>
        <w:rPr>
          <w:rFonts w:ascii="Times New Roman;serif" w:hAnsi="Times New Roman;serif"/>
          <w:b w:val="false"/>
          <w:color w:val="000000"/>
          <w:sz w:val="24"/>
          <w:u w:val="single"/>
        </w:rPr>
        <w:t>Debt Collection</w:t>
      </w:r>
      <w:r>
        <w:rPr>
          <w:rFonts w:ascii="Times New Roman;serif" w:hAnsi="Times New Roman;serif"/>
          <w:b w:val="false"/>
          <w:color w:val="000000"/>
          <w:sz w:val="24"/>
        </w:rPr>
        <w:t>. Client and its Affiliates and/or third-party service providers shall be responsible for all obligations related to performing collections activity on past due Credit Card Accounts. Such debt collection activity shall be conducted in accordance with Applicable Law, and Client’s policies and procedures under which it will conduct such debt collection activity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4.5    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xml:space="preserve">)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directly receive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required to facilitate such Processing Services, prior to Client commencing such services directly.</w:t>
      </w:r>
    </w:p>
    <w:p>
      <w:pPr>
        <w:pStyle w:val="TextBody"/>
        <w:bidi w:val="0"/>
        <w:spacing w:lineRule="auto" w:line="319" w:before="0" w:after="240"/>
        <w:ind w:left="0" w:right="0" w:hanging="720"/>
        <w:jc w:val="both"/>
        <w:rPr/>
      </w:pPr>
      <w:r>
        <w:rPr>
          <w:rFonts w:ascii="Times New Roman;serif" w:hAnsi="Times New Roman;serif"/>
          <w:b/>
          <w:color w:val="000000"/>
          <w:sz w:val="24"/>
        </w:rPr>
        <w:t>4.6    </w:t>
      </w:r>
      <w:r>
        <w:rPr>
          <w:rFonts w:ascii="Times New Roman;serif" w:hAnsi="Times New Roman;serif"/>
          <w:b w:val="false"/>
          <w:color w:val="000000"/>
          <w:sz w:val="24"/>
          <w:u w:val="single"/>
        </w:rPr>
        <w:t>Processor System Service Interruptions</w:t>
      </w:r>
      <w:r>
        <w:rPr>
          <w:rFonts w:ascii="Times New Roman;serif" w:hAnsi="Times New Roman;serif"/>
          <w:b w:val="false"/>
          <w:color w:val="000000"/>
          <w:sz w:val="24"/>
        </w:rPr>
        <w:t>. In the event that Processor experiences any Service Interruption, Client shall inform Bank of such Service Interruption within twenty-</w:t>
      </w:r>
    </w:p>
    <w:p>
      <w:pPr>
        <w:pStyle w:val="TextBody"/>
        <w:bidi w:val="0"/>
        <w:spacing w:before="0" w:after="0"/>
        <w:jc w:val="center"/>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tLeast"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3.10(c) of the Agreement. Failure to adhere to any of the requirements in this Section 4.6 shall be subject to termination of the Agreement or this Addendum by Bank.</w:t>
      </w:r>
    </w:p>
    <w:p>
      <w:pPr>
        <w:pStyle w:val="TextBody"/>
        <w:bidi w:val="0"/>
        <w:spacing w:lineRule="auto" w:line="319" w:before="0" w:after="240"/>
        <w:ind w:left="0" w:right="0" w:hanging="720"/>
        <w:jc w:val="both"/>
        <w:rPr/>
      </w:pPr>
      <w:r>
        <w:rPr>
          <w:rFonts w:ascii="Times New Roman;serif" w:hAnsi="Times New Roman;serif"/>
          <w:b/>
          <w:color w:val="000000"/>
          <w:sz w:val="24"/>
        </w:rPr>
        <w:t>4.7    </w:t>
      </w:r>
      <w:r>
        <w:rPr>
          <w:rFonts w:ascii="Times New Roman;serif" w:hAnsi="Times New Roman;serif"/>
          <w:b w:val="false"/>
          <w:color w:val="000000"/>
          <w:sz w:val="24"/>
          <w:u w:val="single"/>
        </w:rPr>
        <w:t>No Extensions of Credit Exceeding Secured Account Balance</w:t>
      </w:r>
      <w:r>
        <w:rPr>
          <w:rFonts w:ascii="Times New Roman;serif" w:hAnsi="Times New Roman;serif"/>
          <w:b w:val="false"/>
          <w:color w:val="000000"/>
          <w:sz w:val="24"/>
        </w:rPr>
        <w:t>. Client or Processor shall not authorize any Card transaction for any Customer which would result in Customer’s Credit Card Account balance (including, but not limited to, Bank’s aggregate outstanding extensions of credit to Customer under the Program, accrued finance charges, accrued penalty fees and/or any other accrued Credit Card Account fees) to exceed the deposit amount in such Customer’s Secured Account and, as applicable, the available credit in the Line of Credit Account.</w:t>
      </w:r>
    </w:p>
    <w:p>
      <w:pPr>
        <w:pStyle w:val="TextBody"/>
        <w:bidi w:val="0"/>
        <w:spacing w:lineRule="auto" w:line="319" w:before="0" w:after="240"/>
        <w:ind w:left="0" w:right="0" w:hanging="720"/>
        <w:jc w:val="both"/>
        <w:rPr/>
      </w:pPr>
      <w:r>
        <w:rPr>
          <w:rFonts w:ascii="Times New Roman;serif" w:hAnsi="Times New Roman;serif"/>
          <w:b/>
          <w:color w:val="000000"/>
          <w:sz w:val="24"/>
        </w:rPr>
        <w:t>4.8    </w:t>
      </w:r>
      <w:r>
        <w:rPr>
          <w:rFonts w:ascii="Times New Roman;serif" w:hAnsi="Times New Roman;serif"/>
          <w:b w:val="false"/>
          <w:color w:val="000000"/>
          <w:sz w:val="24"/>
          <w:u w:val="single"/>
        </w:rPr>
        <w:t>Application Fraud</w:t>
      </w:r>
      <w:r>
        <w:rPr>
          <w:rFonts w:ascii="Times New Roman;serif" w:hAnsi="Times New Roman;serif"/>
          <w:b w:val="false"/>
          <w:color w:val="000000"/>
          <w:sz w:val="24"/>
        </w:rPr>
        <w:t>. Client agrees that it shall be responsible for, and liable to Bank, for all losses arising out of any fraudulent Application, up to and including the full amount of any credit extended by Bank in connection such fraudulent Application. Client further agrees that it shall be responsible for, and liable to Bank, for claims from a consumer related to any fraudulent Application submitted on their behalf, except to the extent such claim arise out of Bank’s (i) error or omission, gross negligence, willful misconduct or bad faith, or (ii) the failure of Bank to comply with, or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in connection with a Credit Builder Account or Card.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DISTRIBUTION OF CARDS AND CUSTOMER DISCLOSURES</w:t>
      </w:r>
    </w:p>
    <w:p>
      <w:pPr>
        <w:pStyle w:val="TextBody"/>
        <w:bidi w:val="0"/>
        <w:spacing w:lineRule="auto" w:line="319" w:before="0" w:after="240"/>
        <w:ind w:left="0" w:right="0" w:hanging="720"/>
        <w:jc w:val="both"/>
        <w:rPr/>
      </w:pPr>
      <w:r>
        <w:rPr>
          <w:rFonts w:ascii="Times New Roman;serif" w:hAnsi="Times New Roman;serif"/>
          <w:b/>
          <w:color w:val="000000"/>
          <w:sz w:val="24"/>
        </w:rPr>
        <w:t>5.1    </w:t>
      </w:r>
      <w:r>
        <w:rPr>
          <w:rFonts w:ascii="Times New Roman;serif" w:hAnsi="Times New Roman;serif"/>
          <w:b w:val="false"/>
          <w:color w:val="000000"/>
          <w:sz w:val="24"/>
          <w:u w:val="single"/>
        </w:rPr>
        <w:t>Card Production:</w:t>
      </w:r>
      <w:r>
        <w:rPr>
          <w:color w:val="000000"/>
        </w:rPr>
        <w:t xml:space="preserve"> </w:t>
      </w:r>
      <w:r>
        <w:rPr>
          <w:rFonts w:ascii="Times New Roman;serif" w:hAnsi="Times New Roman;serif"/>
          <w:b w:val="false"/>
          <w:color w:val="000000"/>
          <w:sz w:val="24"/>
        </w:rPr>
        <w:t xml:space="preserve">Client shall be responsible for, including all expenses associated with, the manufacturing and printing of all Cards and the applicable Customer Disclosures as </w:t>
      </w:r>
    </w:p>
    <w:p>
      <w:pPr>
        <w:pStyle w:val="TextBody"/>
        <w:bidi w:val="0"/>
        <w:spacing w:before="0" w:after="0"/>
        <w:jc w:val="center"/>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approved by Bank from time to time. All such Cards and Customer Disclosures shall comply with Applicable Law and identify Bank as issuer. Any design for Cards and Customer Disclosures shall be subject to Bank’s prior approval, which shall not be unreasonably withheld or delayed.</w:t>
      </w:r>
    </w:p>
    <w:p>
      <w:pPr>
        <w:pStyle w:val="TextBody"/>
        <w:bidi w:val="0"/>
        <w:spacing w:before="0" w:after="0"/>
        <w:jc w:val="center"/>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5.2    </w:t>
      </w:r>
      <w:r>
        <w:rPr>
          <w:rFonts w:ascii="Times New Roman;serif" w:hAnsi="Times New Roman;serif"/>
          <w:b w:val="false"/>
          <w:color w:val="000000"/>
          <w:sz w:val="24"/>
          <w:u w:val="single"/>
        </w:rPr>
        <w:t>Card 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lineRule="auto" w:line="333" w:before="0" w:after="240"/>
        <w:ind w:left="0" w:right="0" w:hanging="720"/>
        <w:jc w:val="both"/>
        <w:rPr/>
      </w:pPr>
      <w:r>
        <w:rPr>
          <w:rFonts w:ascii="Times New Roman;serif" w:hAnsi="Times New Roman;serif"/>
          <w:b/>
          <w:color w:val="000000"/>
          <w:sz w:val="24"/>
        </w:rPr>
        <w:t>5.3    </w:t>
      </w:r>
      <w:r>
        <w:rPr>
          <w:rFonts w:ascii="Times New Roman;serif" w:hAnsi="Times New Roman;serif"/>
          <w:b w:val="false"/>
          <w:color w:val="000000"/>
          <w:sz w:val="24"/>
          <w:u w:val="single"/>
        </w:rPr>
        <w:t>Card Activation</w:t>
      </w:r>
      <w:r>
        <w:rPr>
          <w:rFonts w:ascii="Times New Roman;serif" w:hAnsi="Times New Roman;serif"/>
          <w:b w:val="false"/>
          <w:color w:val="000000"/>
          <w:sz w:val="24"/>
        </w:rPr>
        <w:t>. Cards may be activated by Customers by: (i) calling an interactive voice response unit (“IVRU”), (ii) accessing a webpage, or (iii) as otherwise described and approved in the applicable Program Authorization Letter.</w:t>
      </w:r>
    </w:p>
    <w:p>
      <w:pPr>
        <w:pStyle w:val="TextBody"/>
        <w:bidi w:val="0"/>
        <w:spacing w:lineRule="auto" w:line="333" w:before="0" w:after="240"/>
        <w:ind w:left="0" w:right="0" w:hanging="720"/>
        <w:jc w:val="both"/>
        <w:rPr/>
      </w:pPr>
      <w:r>
        <w:rPr>
          <w:rFonts w:ascii="Times New Roman;serif" w:hAnsi="Times New Roman;serif"/>
          <w:b/>
          <w:color w:val="000000"/>
          <w:sz w:val="24"/>
        </w:rPr>
        <w:t>5.4    </w:t>
      </w:r>
      <w:r>
        <w:rPr>
          <w:rFonts w:ascii="Times New Roman;serif" w:hAnsi="Times New Roman;serif"/>
          <w:b w:val="false"/>
          <w:color w:val="000000"/>
          <w:sz w:val="24"/>
          <w:u w:val="single"/>
        </w:rPr>
        <w:t>Modifications</w:t>
      </w:r>
      <w:r>
        <w:rPr>
          <w:rFonts w:ascii="Times New Roman;serif" w:hAnsi="Times New Roman;serif"/>
          <w:b w:val="false"/>
          <w:color w:val="000000"/>
          <w:sz w:val="24"/>
        </w:rPr>
        <w:t>.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replacing any Card Packs or printed materials with amended Customer Disclosures. Unless otherwise agreed, all costs and expenses associated therewith shall be borne solely by Client.</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PROGRAM ACCOUNTING AND FLOW OF FUNDS</w:t>
      </w:r>
    </w:p>
    <w:p>
      <w:pPr>
        <w:pStyle w:val="TextBody"/>
        <w:bidi w:val="0"/>
        <w:spacing w:lineRule="auto" w:line="333" w:before="0" w:after="240"/>
        <w:ind w:left="0" w:right="0" w:hanging="720"/>
        <w:jc w:val="both"/>
        <w:rPr/>
      </w:pPr>
      <w:r>
        <w:rPr>
          <w:color w:val="000000"/>
        </w:rPr>
        <w:t>    </w:t>
      </w:r>
      <w:r>
        <w:rPr>
          <w:rFonts w:ascii="Times New Roman;serif" w:hAnsi="Times New Roman;serif"/>
          <w:b w:val="false"/>
          <w:color w:val="000000"/>
          <w:sz w:val="24"/>
          <w:u w:val="single"/>
        </w:rPr>
        <w:t>Program Accounting and Flow of Funds</w:t>
      </w:r>
      <w:r>
        <w:rPr>
          <w:rFonts w:ascii="Times New Roman;serif" w:hAnsi="Times New Roman;serif"/>
          <w:b w:val="false"/>
          <w:color w:val="000000"/>
          <w:sz w:val="24"/>
        </w:rPr>
        <w:t xml:space="preserve">. All accounting processes and flow of funds shall be as further set forth in </w:t>
      </w:r>
      <w:r>
        <w:rPr>
          <w:rFonts w:ascii="Times New Roman;serif" w:hAnsi="Times New Roman;serif"/>
          <w:b/>
          <w:color w:val="000000"/>
          <w:sz w:val="24"/>
        </w:rPr>
        <w:t>Schedule F</w:t>
      </w:r>
      <w:r>
        <w:rPr>
          <w:rFonts w:ascii="Times New Roman;serif" w:hAnsi="Times New Roman;serif"/>
          <w:b w:val="false"/>
          <w:color w:val="000000"/>
          <w:sz w:val="24"/>
        </w:rPr>
        <w:t>, or as set forth in applicable Schedules to the applicable Program Authorization Letter, and shall include, but not be limited to, delivery of Customer payments to Bank, timing of charge-off for past due Credit Card Accounts and Line of Credit Accounts, the establishment of a Client-funded reserve account at Bank and payment of charged-off Credit Card Accounts and Line of Credit Accounts by Client to Bank.</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    CLIENT REPRESENTATION AND WARRANTIES</w:t>
      </w:r>
    </w:p>
    <w:p>
      <w:pPr>
        <w:pStyle w:val="TextBody"/>
        <w:bidi w:val="0"/>
        <w:spacing w:lineRule="auto" w:line="333" w:before="0" w:after="240"/>
        <w:ind w:left="0" w:right="0" w:hanging="720"/>
        <w:jc w:val="both"/>
        <w:rPr/>
      </w:pPr>
      <w:r>
        <w:rPr>
          <w:rFonts w:ascii="Times New Roman;serif" w:hAnsi="Times New Roman;serif"/>
          <w:b/>
          <w:color w:val="000000"/>
          <w:sz w:val="24"/>
        </w:rPr>
        <w:t>7.1.    </w:t>
      </w:r>
      <w:r>
        <w:rPr>
          <w:rFonts w:ascii="Times New Roman;serif" w:hAnsi="Times New Roman;serif"/>
          <w:b w:val="false"/>
          <w:color w:val="000000"/>
          <w:sz w:val="24"/>
        </w:rPr>
        <w:t>Client hereby represents and warrants to Bank as of each extension of credit by Bank under this Addendum:</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For each related Credit Builder Account: to the best of Client’s knowledge, all information in the related Application is true and correct; all required disclosures to Applicants and Customers have been delivered in compliance with Applicable Law; and assuming the due authorization, execution and delivery thereof by each Customer, the Account Agreement and any other Credit Builder Account documents are genuine and legally binding and enforceable, conform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requirements of the Program and were prepared in conformity with Client’s policies and Applicable Law, with all required disclosures to Customers delivered in compliance with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For each Credit Builder Account: Client’s services with respect to such Credit Builder Account were performed in compliance with the Credit Underwriting Standards; Client used the form of Application (as amended from time to time in accordance with Section 3) approved by Bank; and such Credit Builder Account is evidenced by an Account Agreement that is in the form approved in accordance with Section 3.</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Each approved Customer is eligible for the applicable Credit Builder Account under the applicable Credit Underwriting Standards; or has otherwise been approved for a Credit Builder Account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In the event that Client provides to Bank any information regarding an Applicant or Customer that is not an existing customer of Bank (including, but not limited to, customers of other Client financial institution partners), Client hereby represents and warrants to Bank that such information: (i) is materially accurate to Client’s knowledge; (ii) Client has the requisite authority under Applicable Law and its agreements with such other financial institution partners to share such information with Bank; and (iii) Bank, under Applicable Law and Client’s agreements with such other financial institution partners, is authorized use such information for the purposes of fulfilling Bank’s obligations under Applicable Law and this Addendum.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    GENERAL PROGRAM PROVISIONS</w:t>
      </w:r>
    </w:p>
    <w:p>
      <w:pPr>
        <w:pStyle w:val="TextBody"/>
        <w:bidi w:val="0"/>
        <w:spacing w:lineRule="auto" w:line="333" w:before="0" w:after="240"/>
        <w:ind w:left="0" w:right="0" w:hanging="720"/>
        <w:jc w:val="both"/>
        <w:rPr/>
      </w:pPr>
      <w:r>
        <w:rPr>
          <w:rFonts w:ascii="Times New Roman;serif" w:hAnsi="Times New Roman;serif"/>
          <w:b/>
          <w:color w:val="000000"/>
          <w:sz w:val="24"/>
        </w:rPr>
        <w:t>8.1.    </w:t>
      </w:r>
      <w:r>
        <w:rPr>
          <w:rFonts w:ascii="Times New Roman;serif" w:hAnsi="Times New Roman;serif"/>
          <w:b w:val="false"/>
          <w:color w:val="000000"/>
          <w:sz w:val="24"/>
          <w:u w:val="single"/>
        </w:rPr>
        <w:t>Secured Account Funding</w:t>
      </w:r>
      <w:r>
        <w:rPr>
          <w:rFonts w:ascii="Times New Roman;serif" w:hAnsi="Times New Roman;serif"/>
          <w:b w:val="false"/>
          <w:color w:val="000000"/>
          <w:sz w:val="24"/>
        </w:rPr>
        <w: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Funding Mechanisms.</w:t>
      </w:r>
      <w:r>
        <w:rPr>
          <w:color w:val="000000"/>
        </w:rPr>
        <w:t xml:space="preserve"> </w:t>
      </w:r>
      <w:r>
        <w:rPr>
          <w:rFonts w:ascii="Times New Roman;serif" w:hAnsi="Times New Roman;serif"/>
          <w:b w:val="false"/>
          <w:color w:val="000000"/>
          <w:sz w:val="24"/>
        </w:rPr>
        <w:t xml:space="preserve">All Networks and mechanisms for funding Secured Accounts and Program Accounts will be as set forth in this Addendum or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No funding mechanism may be utilized or altered unless approved by Bank in writing.</w:t>
      </w:r>
    </w:p>
    <w:p>
      <w:pPr>
        <w:pStyle w:val="TextBody"/>
        <w:bidi w:val="0"/>
        <w:spacing w:lineRule="auto" w:line="333" w:before="0" w:after="240"/>
        <w:ind w:left="0" w:right="0" w:hanging="720"/>
        <w:jc w:val="both"/>
        <w:rPr/>
      </w:pPr>
      <w:r>
        <w:rPr>
          <w:rFonts w:ascii="Times New Roman;serif" w:hAnsi="Times New Roman;serif"/>
          <w:b/>
          <w:color w:val="000000"/>
          <w:sz w:val="24"/>
        </w:rPr>
        <w:t>8.2.    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Bank shall collect all program revenues generated by the Program, and Bank shall pay Client the compensation set forth in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as consideration for Client’s servicing of the Program.</w:t>
      </w:r>
    </w:p>
    <w:p>
      <w:pPr>
        <w:pStyle w:val="TextBody"/>
        <w:bidi w:val="0"/>
        <w:spacing w:lineRule="auto" w:line="333" w:before="0" w:after="240"/>
        <w:ind w:left="0" w:right="0" w:hanging="720"/>
        <w:jc w:val="both"/>
        <w:rPr/>
      </w:pPr>
      <w:r>
        <w:rPr>
          <w:rFonts w:ascii="Times New Roman;serif" w:hAnsi="Times New Roman;serif"/>
          <w:b/>
          <w:color w:val="000000"/>
          <w:sz w:val="24"/>
        </w:rPr>
        <w:t>8.3.    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ind w:left="0" w:right="0" w:hanging="720"/>
        <w:jc w:val="both"/>
        <w:rPr/>
      </w:pPr>
      <w:r>
        <w:rPr>
          <w:rFonts w:ascii="Times New Roman;serif" w:hAnsi="Times New Roman;serif"/>
          <w:b/>
          <w:color w:val="000000"/>
          <w:sz w:val="24"/>
        </w:rPr>
        <w:t>8.4.    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To the extent required by Applicable Law, Bank shall facilitate and shall be responsible for compliance with state unclaimed property laws as they relate to the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Builder Accounts, provided Client and Processor provide accurate and timely reporting required by Bank to do so. Bank represents it has adequate reporting systems established to identify Credit Builder Accounts that would meet the criteria under the various state unclaimed property laws, and will facilitate the reporting and remittance of funds as required.</w:t>
      </w:r>
    </w:p>
    <w:p>
      <w:pPr>
        <w:pStyle w:val="TextBody"/>
        <w:bidi w:val="0"/>
        <w:spacing w:before="0" w:after="0"/>
        <w:jc w:val="center"/>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    TERM AND TERMINATION</w:t>
      </w:r>
    </w:p>
    <w:p>
      <w:pPr>
        <w:pStyle w:val="TextBody"/>
        <w:bidi w:val="0"/>
        <w:spacing w:lineRule="auto" w:line="333" w:before="0" w:after="240"/>
        <w:ind w:left="0" w:right="0" w:hanging="720"/>
        <w:jc w:val="both"/>
        <w:rPr/>
      </w:pPr>
      <w:r>
        <w:rPr>
          <w:rFonts w:ascii="Times New Roman;serif" w:hAnsi="Times New Roman;serif"/>
          <w:b/>
          <w:color w:val="000000"/>
          <w:sz w:val="24"/>
        </w:rPr>
        <w:t>9.1.    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33" w:before="0" w:after="240"/>
        <w:ind w:left="0" w:right="0" w:hanging="720"/>
        <w:jc w:val="both"/>
        <w:rPr/>
      </w:pPr>
      <w:r>
        <w:rPr>
          <w:rFonts w:ascii="Times New Roman;serif" w:hAnsi="Times New Roman;serif"/>
          <w:b/>
          <w:color w:val="000000"/>
          <w:sz w:val="24"/>
        </w:rPr>
        <w:t>9.2.    </w:t>
      </w:r>
      <w:r>
        <w:rPr>
          <w:rFonts w:ascii="Times New Roman;serif" w:hAnsi="Times New Roman;serif"/>
          <w:b w:val="false"/>
          <w:color w:val="000000"/>
          <w:sz w:val="24"/>
        </w:rPr>
        <w:t>Client Account Transfer Option. Upon the termination or expiration of this Addendum, Client shall have the right, exercisable by providing notice to Bank within [***] prior to the termination, to transfer all of the Credit Builder Accounts or Programs and direct their transfer to a successor qualified financial institution (the “Successor Bank”) (the “Account Transfer Option”).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Credit Builder Account balances to the Successor Bank at closing. In connection with the transfer of such Credit Builder Account balances, Client shall pay Bank the fees as set forth in Exhibit A – Schedule 2 to the Agreement; provided, however, that Client may elect to discontinue the services described in this Section 9.2 upon [***] written notice to Bank and, upon the effectiveness of such notice, the obligations of Bank and Client under this Section 9.2 shall terminate.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Credit Builder Account funds on deposit at Bank to the Successor Bank, which shall be effected at the par balance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Credit Builder Accounts as of the date of transfer (i.e. on the closing date the Bank shall transfer to the Successor Bank an amount in immediately available funds equal to the balances of the Credit Builder Accounts being transferred).</w:t>
      </w:r>
    </w:p>
    <w:p>
      <w:pPr>
        <w:pStyle w:val="TextBody"/>
        <w:bidi w:val="0"/>
        <w:spacing w:before="0" w:after="0"/>
        <w:jc w:val="center"/>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Credit Builder Accounts, Account Agreements, Customer information, and Bank’s relationship with each Customer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9.2 to such Successor Bank (excluding those filings and approvals required to be made by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9.2.</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    subject to the payment of fees set forth in Exhibit A – Schedule 2 to the Agreement, continue to receive recurring ACH credits to Credit Builder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    subject to the payment of fees set forth in Exhibit A – Schedule 2 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the new account at the Successor Bank (and Company shall, in such event, provide Bank with such information as Bank may reasonably require in order to perform such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If Client exercises the Account Transfer Option, Client shall not issue any new Program collateral or other materials that contains the Bank’s Marks following transfer of the Credit Builder Accounts to the Successor Bank. Following transfer of the Credit Builder Accounts to Successor Bank, Client shall have limited, non-exclusive, royalty free license to continue to use Bank’s Marks on all existing </w:t>
      </w:r>
    </w:p>
    <w:p>
      <w:pPr>
        <w:pStyle w:val="TextBody"/>
        <w:bidi w:val="0"/>
        <w:spacing w:before="0" w:after="0"/>
        <w:jc w:val="center"/>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Cards until such existing Cards expire or [***] following the transfer of the Credit Builder Accounts, whichever is sooner. For the avoidance of doubt, Client shall not issue any new cards with Bank Marks following the transfer of the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Bank shall cease use of any Program collateral or other materials that contain Client’s Marks following the transfer of the Credit Builder Accounts to Successor Bank.</w:t>
      </w:r>
    </w:p>
    <w:p>
      <w:pPr>
        <w:pStyle w:val="TextBody"/>
        <w:bidi w:val="0"/>
        <w:spacing w:lineRule="auto" w:line="333" w:before="0" w:after="240"/>
        <w:ind w:left="0" w:right="0" w:hanging="720"/>
        <w:jc w:val="both"/>
        <w:rPr/>
      </w:pPr>
      <w:r>
        <w:rPr>
          <w:rFonts w:ascii="Times New Roman;serif" w:hAnsi="Times New Roman;serif"/>
          <w:b/>
          <w:color w:val="000000"/>
          <w:sz w:val="24"/>
        </w:rPr>
        <w:t>9.3.    </w:t>
      </w:r>
      <w:r>
        <w:rPr>
          <w:rFonts w:ascii="Times New Roman;serif" w:hAnsi="Times New Roman;serif"/>
          <w:b w:val="false"/>
          <w:color w:val="000000"/>
          <w:sz w:val="24"/>
        </w:rPr>
        <w:t>Bank Retention or Termination.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of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Credit Builder Accounts are terminated, but in no event exceeding [***] from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to follow]</w:t>
      </w:r>
    </w:p>
    <w:p>
      <w:pPr>
        <w:pStyle w:val="TextBody"/>
        <w:bidi w:val="0"/>
        <w:spacing w:before="0" w:after="0"/>
        <w:jc w:val="center"/>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Addendum to be executed by their duly authorized officers as of December 6, 2023.</w:t>
      </w:r>
    </w:p>
    <w:tbl>
      <w:tblPr>
        <w:tblW w:w="5145" w:type="dxa"/>
        <w:jc w:val="left"/>
        <w:tblInd w:w="0" w:type="dxa"/>
        <w:tblLayout w:type="fixed"/>
        <w:tblCellMar>
          <w:top w:w="28" w:type="dxa"/>
          <w:left w:w="28" w:type="dxa"/>
          <w:bottom w:w="28" w:type="dxa"/>
          <w:right w:w="28" w:type="dxa"/>
        </w:tblCellMar>
      </w:tblPr>
      <w:tblGrid>
        <w:gridCol w:w="124"/>
        <w:gridCol w:w="109"/>
        <w:gridCol w:w="109"/>
        <w:gridCol w:w="212"/>
        <w:gridCol w:w="212"/>
        <w:gridCol w:w="212"/>
        <w:gridCol w:w="212"/>
        <w:gridCol w:w="212"/>
        <w:gridCol w:w="212"/>
        <w:gridCol w:w="351"/>
        <w:gridCol w:w="351"/>
        <w:gridCol w:w="351"/>
        <w:gridCol w:w="351"/>
        <w:gridCol w:w="351"/>
        <w:gridCol w:w="351"/>
        <w:gridCol w:w="351"/>
        <w:gridCol w:w="351"/>
        <w:gridCol w:w="3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color w:val="000000"/>
                <w:sz w:val="24"/>
              </w:rPr>
              <w:t>CLIENT</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VP Banking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CREDIT UNDERWRITING STANDARDS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pPr>
      <w:r>
        <w:rPr>
          <w:rFonts w:ascii="Times New Roman;serif" w:hAnsi="Times New Roman;serif"/>
          <w:b/>
          <w:color w:val="000000"/>
          <w:sz w:val="24"/>
        </w:rPr>
        <w:t xml:space="preserve">Base Credit Builder Eligibility </w:t>
      </w:r>
      <w:r>
        <w:rPr>
          <w:rFonts w:ascii="Times New Roman;serif" w:hAnsi="Times New Roman;serif"/>
          <w:b/>
          <w:i/>
          <w:color w:val="000000"/>
          <w:sz w:val="24"/>
        </w:rPr>
        <w:t xml:space="preserve">&amp; </w:t>
      </w:r>
      <w:r>
        <w:rPr>
          <w:rFonts w:ascii="Times New Roman;serif" w:hAnsi="Times New Roman;serif"/>
          <w:b/>
          <w:color w:val="000000"/>
          <w:sz w:val="24"/>
        </w:rPr>
        <w:t>Line Management Criteria</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on Credit Builder</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SMLoC Eligibility &amp; Line Assignment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before="0" w:after="240"/>
        <w:jc w:val="center"/>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Accounting and Funds Flow</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FIRST AMENDMENT TO THE MASTER SERVICES AGREEMENT</w:t>
      </w:r>
    </w:p>
    <w:p>
      <w:pPr>
        <w:pStyle w:val="TextBody"/>
        <w:bidi w:val="0"/>
        <w:spacing w:lineRule="auto" w:line="333" w:before="0" w:after="480"/>
        <w:ind w:left="0" w:right="0" w:firstLine="720"/>
        <w:jc w:val="left"/>
        <w:rPr/>
      </w:pPr>
      <w:r>
        <w:rPr>
          <w:rFonts w:ascii="Times New Roman;serif" w:hAnsi="Times New Roman;serif"/>
          <w:b w:val="false"/>
          <w:color w:val="000000"/>
          <w:sz w:val="24"/>
        </w:rPr>
        <w:t>This First Amendment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to the Master Services Agreement dated June 9, 2023, effective as of July 1, 2023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on January 6, 2025 (the “</w:t>
      </w:r>
      <w:r>
        <w:rPr>
          <w:rFonts w:ascii="Times New Roman;serif" w:hAnsi="Times New Roman;serif"/>
          <w:b/>
          <w:color w:val="000000"/>
          <w:sz w:val="24"/>
        </w:rPr>
        <w:t>First Amendment Effective Date</w:t>
      </w:r>
      <w:r>
        <w:rPr>
          <w:color w:val="000000"/>
        </w:rPr>
        <w:t>”</w:t>
      </w:r>
      <w:r>
        <w:rPr>
          <w:rFonts w:ascii="Times New Roman;serif" w:hAnsi="Times New Roman;serif"/>
          <w:b w:val="false"/>
          <w:color w:val="000000"/>
          <w:sz w:val="24"/>
        </w:rPr>
        <w:t xml:space="preserve">), and is made by and between </w:t>
      </w:r>
      <w:r>
        <w:rPr>
          <w:rFonts w:ascii="Times New Roman;serif" w:hAnsi="Times New Roman;serif"/>
          <w:b/>
          <w:color w:val="000000"/>
          <w:sz w:val="24"/>
        </w:rPr>
        <w:t>Chime Financial, Inc.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345 N Reid Pl, Sioux Falls, 57103.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in accordance with the terms and conditions set forth in this First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pPr>
      <w:r>
        <w:rPr>
          <w:rFonts w:ascii="Times New Roman;serif" w:hAnsi="Times New Roman;serif"/>
          <w:b/>
          <w:color w:val="000000"/>
          <w:sz w:val="24"/>
        </w:rPr>
        <w:t>1.</w:t>
      </w:r>
      <w:r>
        <w:rPr>
          <w:rFonts w:ascii="Times New Roman;serif" w:hAnsi="Times New Roman;serif"/>
          <w:b w:val="false"/>
          <w:color w:val="000000"/>
          <w:sz w:val="24"/>
        </w:rPr>
        <w:t>Section 1 of the Agreement is hereby amended by adding the following definitions: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Advanced Stride ACH Funds” means the amount of funds Bank has transferred to Stride Bank, N.A. in connection with a Customer’s Secured Deposit Account (i.e. Credit Builder Account) held at Stride Bank, N.A., where such funds have been made available by Bank to Customer pursuant to an early ACH transaction, but for which Bank has not yet received settlement from ACH.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Bank-Funded Overdrafts and Non-Interest-Bearing Liquidity Extensions” means the balances held on Bank’s balance sheet related to the Asset Based Programs.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Chime Capital MSA” means the Master Services Agreement dated June 9, 2023, and effective as of July 1, 2023, executed between Bank and Chime Capital, LLC, as may be amended from time to time.</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Non-Cash Secured Assets” means assets that are not originated under the Secured Credit Addendum 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Projected Stressed Loss Liquidity Event” shall be defined as follows:</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from the First Amendment Effective Date until [***], Stressed Loss Liquidity Event shall mean: if [***] of expected losses for Liquidity Products (as defined below) for [***]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 and,</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from [***] and thereafter, Stressed Loss Liquidity Event shall mean if [***] of expected losses for Liquidity Products (as defined below) for [***] on a rolling basis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Purchased MyPay Program Receivables” means MyPay program receivables purchased by Bank from Client’s other partner banks.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means, for the time period the Advanced Stride ACH Funds remain unsettled with Bank, the difference between the amount of settled funds that a Customer holds in their Bank-issued demand deposit account and the Advanced Stride ACH Funds; provided, however, that a Unfunded Credit Builder Transfer shall only be applicable if the amount of the Advanced Stride ACH Funds is greater than the amount of funds in such Customer’s DDA at the time of such transfer. For clarity, the applicable transaction codes for ‘Unfunded Credit Builder Transfers’ are listed in the ‘Notes’ column of the ‘Unfunded Credit Builder Transfer’ row in Exhibit A - Schedule 2: ACH Processing Fees.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Fee” shall be calculated as, [***].</w:t>
      </w:r>
    </w:p>
    <w:p>
      <w:pPr>
        <w:pStyle w:val="TextBody"/>
        <w:bidi w:val="0"/>
        <w:spacing w:lineRule="auto" w:line="333" w:before="0" w:after="240"/>
        <w:ind w:left="0" w:right="0" w:hanging="360"/>
        <w:jc w:val="left"/>
        <w:rPr/>
      </w:pPr>
      <w:r>
        <w:rPr>
          <w:rFonts w:ascii="Times New Roman;serif" w:hAnsi="Times New Roman;serif"/>
          <w:b/>
          <w:color w:val="000000"/>
          <w:sz w:val="24"/>
        </w:rPr>
        <w:t>2.</w:t>
      </w:r>
      <w:r>
        <w:rPr>
          <w:rFonts w:ascii="Times New Roman;serif" w:hAnsi="Times New Roman;serif"/>
          <w:b w:val="false"/>
          <w:color w:val="000000"/>
          <w:sz w:val="24"/>
        </w:rPr>
        <w:t>Section 2.10 (a) of the Agreement is hereby deleted in its entirety and in lieu thereof, is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 xml:space="preserve">(a) Asset Based Program Thresholds. Subject to the terms and conditions in this Agreement, from and after the First Amendment Effective Date and during the Term of this Agreement, any Renewal Term, and any Wind-Down Period, if applicable, Bank agrees that it shall originate and </w:t>
      </w:r>
    </w:p>
    <w:p>
      <w:pPr>
        <w:pStyle w:val="TextBody"/>
        <w:bidi w:val="0"/>
        <w:spacing w:before="0" w:after="0"/>
        <w:jc w:val="center"/>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val="false"/>
          <w:color w:val="000000"/>
          <w:sz w:val="24"/>
        </w:rPr>
        <w:t>hold Accounts originated under any Asset Based Program on its balance sheet, including on an aggregated basis all Client Affiliates’ Asset Based Programs, not to exceed on an aggregated basis (and measured on the last day of a calendar quarter) two hundred percent (200%) of Bank’s Tier 1 Capital, with Non-Cash Secured Assets not to exceed on an aggregate basis (and measured on the last day of a calendar quarter) one hundred twenty five percent (125%) of Bank’s Tier 1 Capital (the “</w:t>
      </w:r>
      <w:r>
        <w:rPr>
          <w:rFonts w:ascii="Times New Roman;serif" w:hAnsi="Times New Roman;serif"/>
          <w:b/>
          <w:color w:val="000000"/>
          <w:sz w:val="24"/>
        </w:rPr>
        <w:t>Asset Based Program Threshold</w:t>
      </w:r>
      <w:r>
        <w:rPr>
          <w:color w:val="000000"/>
        </w:rPr>
        <w:t xml:space="preserve"> </w:t>
      </w:r>
      <w:r>
        <w:rPr>
          <w:rFonts w:ascii="Times New Roman;serif" w:hAnsi="Times New Roman;serif"/>
          <w:b/>
          <w:color w:val="000000"/>
          <w:sz w:val="24"/>
        </w:rPr>
        <w:t>Limit</w:t>
      </w:r>
      <w:r>
        <w:rPr>
          <w:color w:val="000000"/>
        </w:rPr>
        <w:t>”</w:t>
      </w:r>
      <w:r>
        <w:rPr>
          <w:rFonts w:ascii="Times New Roman;serif" w:hAnsi="Times New Roman;serif"/>
          <w:b w:val="false"/>
          <w:color w:val="000000"/>
          <w:sz w:val="24"/>
        </w:rPr>
        <w:t>). Bank shall provide Client, on a quarterly basis, a good faith [***] Tier 1 Capital forecast (the “Tier 1 Forecast”); provided, that the Tier 1 Forecast period shall be within the same forecast period as the Program Volume Forecast provided to Bank by Client. For the avoidance of doubt, Purchased MyPay Program Receivables, shall be included in the Asset Based Program Threshold Limit. For the further avoidance of doubt, the Asset Based Program Threshold Limit set forth in this Section 2.10(a) shall include any Asset Based Program Threshold Limit set forth in the Chime Capital MSA, and Client (on behalf of itself and its wholly-owned subsidiary Chime Capital, LLC) acknowledges that any Asset Based Program Threshold Limit set forth in the Chime Capital MSA shall not be interpreted to be in addition to the Asset Based Program Threshold Limit set forth in this Section 2.10(a). The Parties acknowledge and agree that, within [***] of First Amendment Effective Date, the Parties will work together in good faith to identify and develop a mutually agreed upon plan to build capital market outlets for loans and other non-credit liquidity products originated by Bank under an Asset Based Program, including but not limited to, asset sales and asset-backed securitizations. The Parties agree to restructure pricing and product terms for products distributed through such capital market outlets as necessary to reflect market rate structure, and such that products qualify for appropriate true-lender and true-sale accounting treatment. For the avoidance of doubt, no Accounts originated under an Asset Based Program shall be sold, securitized, or otherwise transfer or change economic ownership except and until as may be provided under this Agreement or as otherwise agreed in writing by Bank and Client, and subject to any terms and conditions set forth therein.</w:t>
      </w:r>
    </w:p>
    <w:p>
      <w:pPr>
        <w:pStyle w:val="TextBody"/>
        <w:bidi w:val="0"/>
        <w:spacing w:lineRule="auto" w:line="333" w:before="0" w:after="240"/>
        <w:ind w:left="0" w:right="0" w:hanging="360"/>
        <w:jc w:val="left"/>
        <w:rPr/>
      </w:pPr>
      <w:r>
        <w:rPr>
          <w:rFonts w:ascii="Times New Roman;serif" w:hAnsi="Times New Roman;serif"/>
          <w:b/>
          <w:color w:val="000000"/>
          <w:sz w:val="24"/>
        </w:rPr>
        <w:t>3.</w:t>
      </w:r>
      <w:r>
        <w:rPr>
          <w:rFonts w:ascii="Times New Roman;serif" w:hAnsi="Times New Roman;serif"/>
          <w:b w:val="false"/>
          <w:color w:val="000000"/>
          <w:sz w:val="24"/>
        </w:rPr>
        <w:t>The Parties acknowledge that Section 2 of this First Amendment is subject to approval by Bank’s Board of Directors, and Section 2 of this First Amendment shall not be effective until such approval.</w:t>
      </w:r>
    </w:p>
    <w:p>
      <w:pPr>
        <w:pStyle w:val="TextBody"/>
        <w:bidi w:val="0"/>
        <w:spacing w:lineRule="auto" w:line="333" w:before="0" w:after="240"/>
        <w:ind w:left="0" w:right="0" w:hanging="360"/>
        <w:jc w:val="left"/>
        <w:rPr/>
      </w:pPr>
      <w:r>
        <w:rPr>
          <w:rFonts w:ascii="Times New Roman;serif" w:hAnsi="Times New Roman;serif"/>
          <w:b/>
          <w:color w:val="000000"/>
          <w:sz w:val="24"/>
        </w:rPr>
        <w:t>4.</w:t>
      </w:r>
      <w:r>
        <w:rPr>
          <w:rFonts w:ascii="Times New Roman;serif" w:hAnsi="Times New Roman;serif"/>
          <w:b w:val="false"/>
          <w:color w:val="000000"/>
          <w:sz w:val="24"/>
        </w:rPr>
        <w:t>Section 2.10 (c) of the Agreement is amended by adding the following sentence at the end of the paragraph: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Notwithstanding anything to the contrary herein, the Asset Based Program Threshold Limit may be increased at any time during the Term of this Agreement by mutual written agreement of the Parties.”</w:t>
      </w:r>
    </w:p>
    <w:p>
      <w:pPr>
        <w:pStyle w:val="TextBody"/>
        <w:bidi w:val="0"/>
        <w:spacing w:lineRule="auto" w:line="333" w:before="0" w:after="240"/>
        <w:ind w:left="0" w:right="0" w:hanging="360"/>
        <w:jc w:val="left"/>
        <w:rPr/>
      </w:pPr>
      <w:r>
        <w:rPr>
          <w:rFonts w:ascii="Times New Roman;serif" w:hAnsi="Times New Roman;serif"/>
          <w:b/>
          <w:color w:val="000000"/>
          <w:sz w:val="24"/>
        </w:rPr>
        <w:t>5.</w:t>
      </w:r>
      <w:r>
        <w:rPr>
          <w:rFonts w:ascii="Times New Roman;serif" w:hAnsi="Times New Roman;serif"/>
          <w:b w:val="false"/>
          <w:color w:val="000000"/>
          <w:sz w:val="24"/>
        </w:rPr>
        <w:t>Section 3.20 of the Agreement is hereby deleted in its entirety and in lieu thereof, is replaced with the following:</w:t>
      </w:r>
    </w:p>
    <w:p>
      <w:pPr>
        <w:pStyle w:val="TextBody"/>
        <w:bidi w:val="0"/>
        <w:spacing w:before="0" w:after="0"/>
        <w:jc w:val="center"/>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First Amendment Effective Date, Client shall provide Bank, on a quarterly basis, a reasonable, good faith [***] forecast, of projected Program volumes for such following [***] period (a “</w:t>
      </w:r>
      <w:r>
        <w:rPr>
          <w:rFonts w:ascii="Times New Roman;serif" w:hAnsi="Times New Roman;serif"/>
          <w:b/>
          <w:color w:val="000000"/>
          <w:sz w:val="24"/>
        </w:rPr>
        <w:t>Program Volume Forecast</w:t>
      </w:r>
      <w:r>
        <w:rPr>
          <w:color w:val="000000"/>
        </w:rPr>
        <w:t>”</w:t>
      </w:r>
      <w:r>
        <w:rPr>
          <w:rFonts w:ascii="Times New Roman;serif" w:hAnsi="Times New Roman;serif"/>
          <w:b w:val="false"/>
          <w:color w:val="000000"/>
          <w:sz w:val="24"/>
        </w:rPr>
        <w:t>). Client shall provide each Program Volume Forecast to Bank no later than the last business day of the second month of each quarter (i.e., February, May, August, November). Bank shall review the applicable Program Volume Forecast, and provide written notice to Client of Bank’s acceptance of, or request for changes to, the Program volumes set forth in the applicable Program Volume Forecast no later than the last business day of each quarter. If Bank notifies Client of its acceptance of an applicable Program Volume Forecast, Bank shall commit to originate the Program volumes set forth in such Program Volume Forecast for the [***] following such Program Volume Forecast (“</w:t>
      </w:r>
      <w:r>
        <w:rPr>
          <w:rFonts w:ascii="Times New Roman;serif" w:hAnsi="Times New Roman;serif"/>
          <w:b/>
          <w:color w:val="000000"/>
          <w:sz w:val="24"/>
        </w:rPr>
        <w:t>Program Volume Commitment</w:t>
      </w:r>
      <w:r>
        <w:rPr>
          <w:color w:val="000000"/>
        </w:rPr>
        <w:t>”</w:t>
      </w:r>
      <w:r>
        <w:rPr>
          <w:rFonts w:ascii="Times New Roman;serif" w:hAnsi="Times New Roman;serif"/>
          <w:b w:val="false"/>
          <w:color w:val="000000"/>
          <w:sz w:val="24"/>
        </w:rPr>
        <w:t>). Bank shall have the responsibility to ensure that any Program Volume Commitment does not violate Bank’s approved Asset Based Program Threshold Limit. Notwithstanding anything in this Agreement, Bank may modify the Program Volume Commitment to the extent required by any Regulatory Authority, and in such event, Bank shall notify Client of such modification in writing as soon as commercially practicable upon receiving such Regulatory Authority requirement. Client shall use commercially reasonable efforts to market the Programs to achieve the Program Volume Forecast. In the event a Projected Stressed Loss Liquidity Event is projected to occur, Bank reserves the right to limit Bank’s asset originations solely during the month, and any subsequent following months, in which such Projected Stressed Loss Liquidity Event is projected to occur, until such Projected Stressed Loss Liquidity Event has been rectified. Client shall take all necessary actions to comply with such limitations.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 Client shall not, without providing Bank with notice at least [***] in advance, take any steps that would deliberately decrease the asset originations expected under the Program Volume Forecast. Without limiting the foregoing, should Client become unable to meet the Program Volume Forecast due to a request, direction or any other action by any Regulatory Authority or as may be required to comply by Applicable Law, the Parties agree to use commercially reasonable efforts to resolve such inability and such inability shall not be considered a breach hereunder.”</w:t>
      </w:r>
    </w:p>
    <w:p>
      <w:pPr>
        <w:pStyle w:val="TextBody"/>
        <w:bidi w:val="0"/>
        <w:spacing w:lineRule="auto" w:line="333" w:before="0" w:after="240"/>
        <w:ind w:left="0" w:right="0" w:hanging="360"/>
        <w:jc w:val="left"/>
        <w:rPr/>
      </w:pPr>
      <w:r>
        <w:rPr>
          <w:rFonts w:ascii="Times New Roman;serif" w:hAnsi="Times New Roman;serif"/>
          <w:b/>
          <w:color w:val="000000"/>
          <w:sz w:val="24"/>
        </w:rPr>
        <w:t>6.</w:t>
      </w:r>
      <w:r>
        <w:rPr>
          <w:rFonts w:ascii="Times New Roman;serif" w:hAnsi="Times New Roman;serif"/>
          <w:b w:val="false"/>
          <w:color w:val="000000"/>
          <w:sz w:val="24"/>
        </w:rPr>
        <w:t>Section 3 of the Agreement is amended by adding the following subsection 3.21:</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3.21 </w:t>
      </w:r>
      <w:r>
        <w:rPr>
          <w:rFonts w:ascii="Times New Roman;serif" w:hAnsi="Times New Roman;serif"/>
          <w:b w:val="false"/>
          <w:color w:val="000000"/>
          <w:sz w:val="24"/>
          <w:u w:val="single"/>
        </w:rPr>
        <w:t>Financial Reporting Meetings</w:t>
      </w:r>
      <w:r>
        <w:rPr>
          <w:rFonts w:ascii="Times New Roman;serif" w:hAnsi="Times New Roman;serif"/>
          <w:b w:val="false"/>
          <w:color w:val="000000"/>
          <w:sz w:val="24"/>
        </w:rPr>
        <w:t xml:space="preserve">. Beginning on the First Amendment Effective Date, Client shall, on a quarterly basis, meet with Bank and any of its committees to review and discuss information related to Bank’s balance sheet management strategy, the Program Volume Forecast </w:t>
      </w:r>
    </w:p>
    <w:p>
      <w:pPr>
        <w:pStyle w:val="TextBody"/>
        <w:bidi w:val="0"/>
        <w:spacing w:before="0" w:after="0"/>
        <w:jc w:val="center"/>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and other general financial metrics related to the Program. The Bank shall cause at least two voting members of Bank’s Asset-Liability Committee to be present at such meetings.”</w:t>
      </w:r>
    </w:p>
    <w:p>
      <w:pPr>
        <w:pStyle w:val="TextBody"/>
        <w:bidi w:val="0"/>
        <w:spacing w:lineRule="auto" w:line="333" w:before="0" w:after="240"/>
        <w:ind w:left="0" w:right="0" w:hanging="360"/>
        <w:jc w:val="left"/>
        <w:rPr/>
      </w:pPr>
      <w:r>
        <w:rPr>
          <w:rFonts w:ascii="Times New Roman;serif" w:hAnsi="Times New Roman;serif"/>
          <w:b/>
          <w:color w:val="000000"/>
          <w:sz w:val="24"/>
        </w:rPr>
        <w:t>7.</w:t>
      </w:r>
      <w:r>
        <w:rPr>
          <w:rFonts w:ascii="Times New Roman;serif" w:hAnsi="Times New Roman;serif"/>
          <w:b w:val="false"/>
          <w:color w:val="000000"/>
          <w:sz w:val="24"/>
        </w:rPr>
        <w:t xml:space="preserve">Section 7 of the Agreement is hereby amended by adding the following subsection 7(h): </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7(h) In connection with Bank and Client’s [***] relationship with [***]:</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Bank and Client shall work in good faith to amend the [***] (as amended, the “Amended Client [***] Agreement”) to reflect the updated pricing agreed to by the Parties as documented in the [***] dated [***]. The updated pricing in the Amended Client [***] Agreement shall be applied retroactively to the earlier of: (i) the effective date of the Amended Client [***] Agreement, or (ii) the First Amendment Effective Date.</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Bank shall provide Client with[***] prior written notice of Bank’s [***] agreement with [***] expiring (the “[***] Negotiation Period”). During the [***] Negotiation Period, Bank and Client shall jointly negotiate new pricing terms for Client-related services with [***]. For the avoidance of doubt, during the [***] Negotiation Period, Client may negotiate such new pricing directly with [***]; provided, however, such negotiations shall not be materially adverse to Bank. Upon Bank entering into a new [***] agreement with [***] (“New [***] Agreement”), but in no event later than thirty (30) days thereafter, Bank and Client shall enter into a new amendment to the Amended Client [***] Agreement (“New Amended Client [***] Agreement”) to reflect any updated pricing set forth in the New [***] Agreement, including any costs savings and favorable terms. To the extent that the [***] by and between Bank, Client and [***] (as amended, the “[***]Agreement”) also requires updates to reflect any changes in the New [***] Agreement, the Parties shall work in good faith with [***]to amend the [***] Agreement. Further, any updated pricing in the New Amended Client [***] Agreement shall be applied retroactively to the effective date of the New [***] Agreement. Notwithstanding anything to the contrary herein, in the event Bank has not entered into a New [***] Agreement within [***] of the First Amendment Effective Date, the Parties agree to negotiate in good faith updated pricing in Amended Client [***] Agreement.</w:t>
      </w:r>
    </w:p>
    <w:p>
      <w:pPr>
        <w:pStyle w:val="TextBody"/>
        <w:bidi w:val="0"/>
        <w:spacing w:lineRule="auto" w:line="333" w:before="0" w:after="240"/>
        <w:ind w:left="0" w:right="0" w:hanging="360"/>
        <w:jc w:val="left"/>
        <w:rPr/>
      </w:pPr>
      <w:r>
        <w:rPr>
          <w:rFonts w:ascii="Times New Roman;serif" w:hAnsi="Times New Roman;serif"/>
          <w:b/>
          <w:color w:val="000000"/>
          <w:sz w:val="24"/>
        </w:rPr>
        <w:t>8.</w:t>
      </w:r>
      <w:r>
        <w:rPr>
          <w:rFonts w:ascii="Times New Roman;serif" w:hAnsi="Times New Roman;serif"/>
          <w:b w:val="false"/>
          <w:color w:val="000000"/>
          <w:sz w:val="24"/>
        </w:rPr>
        <w:t>Section 10.1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w:t>
      </w:r>
      <w:r>
        <w:rPr>
          <w:rFonts w:ascii="Times New Roman;serif" w:hAnsi="Times New Roman;serif"/>
          <w:b/>
          <w:color w:val="000000"/>
          <w:sz w:val="24"/>
        </w:rPr>
        <w:t>Successor Bank</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t>
      </w:r>
      <w:r>
        <w:rPr>
          <w:rFonts w:ascii="Times New Roman;serif" w:hAnsi="Times New Roman;serif"/>
          <w:b/>
          <w:color w:val="000000"/>
          <w:sz w:val="24"/>
        </w:rPr>
        <w:t xml:space="preserve">Wind </w:t>
      </w:r>
    </w:p>
    <w:p>
      <w:pPr>
        <w:pStyle w:val="TextBody"/>
        <w:bidi w:val="0"/>
        <w:spacing w:before="0" w:after="0"/>
        <w:jc w:val="center"/>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Down Period</w:t>
      </w:r>
      <w:r>
        <w:rPr>
          <w:color w:val="000000"/>
        </w:rPr>
        <w:t>”</w:t>
      </w:r>
      <w:r>
        <w:rPr>
          <w:rFonts w:ascii="Times New Roman;serif" w:hAnsi="Times New Roman;serif"/>
          <w:b w:val="false"/>
          <w:color w:val="000000"/>
          <w:sz w:val="24"/>
        </w:rPr>
        <w:t>). Notwithstanding anything to the contrary in each applicable Addendum, if Client elects the Account Transfer Option, Client may, in its sole discretion, elect which Accounts shall be transferred to a Successor Bank and in no event shall Client be required to transfer all of the Accounts to a Successor Bank. Further, any outstanding balances related to Bank-Funded Overdrafts and Non-Interest-Bearing Liquidity Extensions shall remain on Bank’s balance sheet until such balances are either repaid, purchased or written-off in the normal course, unless Client elects to transfer or purchase such outstanding balances. In addition to any payments due from Client to Bank in connection with the Account Transfer Option set forth in each applicable Addendum, Client shall pay Bank a [***] fee per Customer transferring an Account to a Successor Bank (the “</w:t>
      </w:r>
      <w:r>
        <w:rPr>
          <w:rFonts w:ascii="Times New Roman;serif" w:hAnsi="Times New Roman;serif"/>
          <w:b/>
          <w:color w:val="000000"/>
          <w:sz w:val="24"/>
        </w:rPr>
        <w:t>Transfer Fee</w:t>
      </w:r>
      <w:r>
        <w:rPr>
          <w:color w:val="000000"/>
        </w:rPr>
        <w:t>”</w:t>
      </w:r>
      <w:r>
        <w:rPr>
          <w:rFonts w:ascii="Times New Roman;serif" w:hAnsi="Times New Roman;serif"/>
          <w:b w:val="false"/>
          <w:color w:val="000000"/>
          <w:sz w:val="24"/>
        </w:rPr>
        <w:t>) regardless of whether such Customer holds multiple Accounts. For clarity, if a Customer holds a DDA, Savings Account and a Secured Card Account (as each term is defined in each applicable Addendum), Client shall pay Bank a single Transfer Fee for the transfer of all of such Customer’s Accounts.</w:t>
      </w:r>
    </w:p>
    <w:p>
      <w:pPr>
        <w:pStyle w:val="TextBody"/>
        <w:bidi w:val="0"/>
        <w:spacing w:lineRule="auto" w:line="333" w:before="0" w:after="240"/>
        <w:ind w:left="0" w:right="0" w:hanging="360"/>
        <w:jc w:val="left"/>
        <w:rPr/>
      </w:pPr>
      <w:r>
        <w:rPr>
          <w:rFonts w:ascii="Times New Roman;serif" w:hAnsi="Times New Roman;serif"/>
          <w:b/>
          <w:color w:val="000000"/>
          <w:sz w:val="24"/>
        </w:rPr>
        <w:t>9.</w:t>
      </w:r>
      <w:r>
        <w:rPr>
          <w:rFonts w:ascii="Times New Roman;serif" w:hAnsi="Times New Roman;serif"/>
          <w:b w:val="false"/>
          <w:color w:val="000000"/>
          <w:sz w:val="24"/>
        </w:rPr>
        <w:t>Section 18.5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Client agrees to submit to any examination which may be required by any Regulatory Authority with audit and examination 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of Bank and any Regulatory Authority to audit the books and records of any Processor or other third party service provider involved in the Program. Client shall furnish Bank with, at Client’s expense, quarterly financial statements in the form required by Client’s Board of Directors and Applicable Law. Client shall also furnish Bank with its audited financial statements on an annual basis within thirty (30) days of Client’s receipt of such audited financial statements. Additionally, Client will furnish Bank with its annual financial plan on an annual basis; provided that, if Client makes any material revisions to the annual financial plan, it shall provide Bank with such updated annual financial plan. Client shall also provide such other information as Regulatory Authorities, or the Network may from time-to-time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33" w:before="0" w:after="240"/>
        <w:ind w:left="0" w:right="0" w:hanging="360"/>
        <w:jc w:val="left"/>
        <w:rPr/>
      </w:pPr>
      <w:r>
        <w:rPr>
          <w:rFonts w:ascii="Times New Roman;serif" w:hAnsi="Times New Roman;serif"/>
          <w:b/>
          <w:color w:val="000000"/>
          <w:sz w:val="24"/>
        </w:rPr>
        <w:t>10.</w:t>
      </w:r>
      <w:r>
        <w:rPr>
          <w:rFonts w:ascii="Times New Roman;serif" w:hAnsi="Times New Roman;serif"/>
          <w:b/>
          <w:color w:val="000000"/>
          <w:sz w:val="24"/>
          <w:u w:val="single"/>
        </w:rPr>
        <w:t>Exhibit A - Schedule 2:</w:t>
      </w:r>
      <w:r>
        <w:rPr>
          <w:color w:val="000000"/>
          <w:u w:val="single"/>
        </w:rPr>
        <w:t xml:space="preserve"> </w:t>
      </w:r>
      <w:r>
        <w:rPr>
          <w:rFonts w:ascii="Times New Roman;serif" w:hAnsi="Times New Roman;serif"/>
          <w:b w:val="false"/>
          <w:color w:val="000000"/>
          <w:sz w:val="24"/>
          <w:u w:val="single"/>
        </w:rPr>
        <w:t>ACH Processing Fees Advance</w:t>
      </w:r>
      <w:r>
        <w:rPr>
          <w:color w:val="000000"/>
        </w:rPr>
        <w:t xml:space="preserve"> </w:t>
      </w:r>
      <w:r>
        <w:rPr>
          <w:rFonts w:ascii="Times New Roman;serif" w:hAnsi="Times New Roman;serif"/>
          <w:b w:val="false"/>
          <w:color w:val="000000"/>
          <w:sz w:val="24"/>
        </w:rPr>
        <w:t>is hereby amended [***] as follows: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1: </w:t>
      </w:r>
      <w:r>
        <w:rPr>
          <w:rFonts w:ascii="Times New Roman;serif" w:hAnsi="Times New Roman;serif"/>
          <w:b w:val="false"/>
          <w:color w:val="000000"/>
          <w:sz w:val="24"/>
        </w:rPr>
        <w:t>Unfunded Credit Builder Transfers Rate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Unfunded Credit Builder Transfer and Transfer Fee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240"/>
        <w:ind w:left="0" w:right="0" w:hanging="360"/>
        <w:jc w:val="both"/>
        <w:rPr/>
      </w:pPr>
      <w:r>
        <w:rPr>
          <w:rFonts w:ascii="Times New Roman;serif" w:hAnsi="Times New Roman;serif"/>
          <w:b/>
          <w:color w:val="000000"/>
          <w:sz w:val="24"/>
        </w:rPr>
        <w:t>11.</w:t>
      </w:r>
      <w:r>
        <w:rPr>
          <w:rFonts w:ascii="Times New Roman;serif" w:hAnsi="Times New Roman;serif"/>
          <w:b w:val="false"/>
          <w:color w:val="000000"/>
          <w:sz w:val="24"/>
        </w:rPr>
        <w:t>Exhibit A - Schedule 3: Bank Services Fees and Pass-Through Expenses of the Agreement is hereby amended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12.</w:t>
      </w:r>
      <w:r>
        <w:rPr>
          <w:rFonts w:ascii="Times New Roman;serif" w:hAnsi="Times New Roman;serif"/>
          <w:b w:val="false"/>
          <w:color w:val="000000"/>
          <w:sz w:val="24"/>
        </w:rPr>
        <w:t>Exhibit A - Schedule 6: Bank-funded Credit and Liquidity Products is hereby replaced in its entirety with the amended and restated Exhibit A - Schedule 6: Bank-funded Credit and Liquidity Products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13.</w:t>
      </w:r>
      <w:r>
        <w:rPr>
          <w:rFonts w:ascii="Times New Roman;serif" w:hAnsi="Times New Roman;serif"/>
          <w:b w:val="false"/>
          <w:color w:val="000000"/>
          <w:sz w:val="24"/>
        </w:rPr>
        <w:t>Exhibit A of the Agreement is hereby amended by adding the following subsection 4 and adding a new Exhibit A - Schedule 7: Secured Credit Discount Calculation attached hereto:</w:t>
      </w:r>
    </w:p>
    <w:p>
      <w:pPr>
        <w:pStyle w:val="TextBody"/>
        <w:bidi w:val="0"/>
        <w:spacing w:lineRule="atLeast"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  [***]</w:t>
      </w:r>
    </w:p>
    <w:p>
      <w:pPr>
        <w:pStyle w:val="TextBody"/>
        <w:bidi w:val="0"/>
        <w:spacing w:before="0" w:after="0"/>
        <w:jc w:val="center"/>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color w:val="000000"/>
          <w:sz w:val="24"/>
        </w:rPr>
        <w:t>14.</w:t>
      </w:r>
      <w:r>
        <w:rPr>
          <w:rFonts w:ascii="Times New Roman;serif" w:hAnsi="Times New Roman;serif"/>
          <w:b w:val="false"/>
          <w:color w:val="000000"/>
          <w:sz w:val="24"/>
        </w:rPr>
        <w:t>Exhibit A of the Agreement is hereby amended by adding a new Exhibit A - Schedule 8: Unencumbered Asset Calculation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15.</w:t>
      </w:r>
      <w:r>
        <w:rPr>
          <w:rFonts w:ascii="Times New Roman;serif" w:hAnsi="Times New Roman;serif"/>
          <w:b w:val="false"/>
          <w:color w:val="000000"/>
          <w:sz w:val="24"/>
        </w:rPr>
        <w:t>Schedule E of the Private Label DDA Addendum to the Agreement is hereby amended by adding the following line item:</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16.</w:t>
      </w:r>
      <w:r>
        <w:rPr>
          <w:rFonts w:ascii="Times New Roman;serif" w:hAnsi="Times New Roman;serif"/>
          <w:b w:val="false"/>
          <w:color w:val="000000"/>
          <w:sz w:val="24"/>
        </w:rPr>
        <w:t>Miscellaneous. This First Amendment constitutes the entire agreement between Client and Bank concerning the subject matter of this First Amendment. Except as explicitly amended by this First Amendment, all of the terms and conditions of the Agreement shall remain in full force and effect. This First Amendment may be executed in any number of counterparts, each of which when so executed and delivered shall be deemed an original and all of which counterparts, taken together, shall constitute one and the same instrument. Delivery of an executed counterpart of this First Amendment by telefacsimile shall be equally as effective as delivery of an original executed counterpart of this First Amendment.</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First Amendment.</w:t>
      </w:r>
    </w:p>
    <w:tbl>
      <w:tblPr>
        <w:tblW w:w="8525" w:type="dxa"/>
        <w:jc w:val="left"/>
        <w:tblInd w:w="0" w:type="dxa"/>
        <w:tblLayout w:type="fixed"/>
        <w:tblCellMar>
          <w:top w:w="28" w:type="dxa"/>
          <w:left w:w="28" w:type="dxa"/>
          <w:bottom w:w="28" w:type="dxa"/>
          <w:right w:w="28" w:type="dxa"/>
        </w:tblCellMar>
      </w:tblPr>
      <w:tblGrid>
        <w:gridCol w:w="268"/>
        <w:gridCol w:w="236"/>
        <w:gridCol w:w="236"/>
        <w:gridCol w:w="236"/>
        <w:gridCol w:w="236"/>
        <w:gridCol w:w="236"/>
        <w:gridCol w:w="373"/>
        <w:gridCol w:w="373"/>
        <w:gridCol w:w="373"/>
        <w:gridCol w:w="651"/>
        <w:gridCol w:w="651"/>
        <w:gridCol w:w="693"/>
        <w:gridCol w:w="109"/>
        <w:gridCol w:w="109"/>
        <w:gridCol w:w="109"/>
        <w:gridCol w:w="259"/>
        <w:gridCol w:w="259"/>
        <w:gridCol w:w="259"/>
        <w:gridCol w:w="259"/>
        <w:gridCol w:w="259"/>
        <w:gridCol w:w="259"/>
        <w:gridCol w:w="259"/>
        <w:gridCol w:w="259"/>
        <w:gridCol w:w="259"/>
        <w:gridCol w:w="382"/>
        <w:gridCol w:w="382"/>
        <w:gridCol w:w="541"/>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456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6: Bank-funded Credit and Liquidity Products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60407"/>
          <w:sz w:val="24"/>
        </w:rPr>
      </w:pPr>
      <w:r>
        <w:rPr>
          <w:rFonts w:ascii="Times New Roman;serif" w:hAnsi="Times New Roman;serif"/>
          <w:b/>
          <w:color w:val="060407"/>
          <w:sz w:val="24"/>
        </w:rPr>
        <w:t>Table 2:</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3: </w:t>
      </w:r>
      <w:r>
        <w:rPr>
          <w:rFonts w:ascii="Times New Roman;serif" w:hAnsi="Times New Roman;serif"/>
          <w:b w:val="false"/>
          <w:color w:val="000000"/>
          <w:sz w:val="24"/>
        </w:rPr>
        <w:t>Total Program Balance Premium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Exhibit A - Schedule 7: Secured Credit Discount Calculation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Secured Credit Discount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8: Unencumbered Asset Calculation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0"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SECOND AMENDMENT TO THE MASTER SERVICES AGREEMENT</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Second Amendment (“</w:t>
      </w:r>
      <w:r>
        <w:rPr>
          <w:rFonts w:ascii="Times New Roman;serif" w:hAnsi="Times New Roman;serif"/>
          <w:b/>
          <w:color w:val="000000"/>
          <w:sz w:val="22"/>
        </w:rPr>
        <w:t>Second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dated as of February 27, 2025 and effective as of January 1, 2025 (the “</w:t>
      </w:r>
      <w:r>
        <w:rPr>
          <w:rFonts w:ascii="Times New Roman;serif" w:hAnsi="Times New Roman;serif"/>
          <w:b/>
          <w:color w:val="000000"/>
          <w:sz w:val="22"/>
        </w:rPr>
        <w:t>Second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 xml:space="preserve">Chime Financial, Inc.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 xml:space="preserve">The Bancorp Bank, N.A.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Suite 700,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 Capitalized terms used herein but not defined have the meanings given to them in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Second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pPr>
      <w:r>
        <w:rPr>
          <w:rFonts w:ascii="Times New Roman;serif" w:hAnsi="Times New Roman;serif"/>
          <w:b/>
          <w:color w:val="000000"/>
          <w:sz w:val="22"/>
        </w:rPr>
        <w:t>1.    </w:t>
      </w:r>
      <w:r>
        <w:rPr>
          <w:rFonts w:ascii="Times New Roman;serif" w:hAnsi="Times New Roman;serif"/>
          <w:b w:val="false"/>
          <w:color w:val="000000"/>
          <w:sz w:val="22"/>
        </w:rPr>
        <w:t>The definition of “Purchased MyPay Program Receivables” in Section 1 of the Agreement is deleted and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2"/>
        </w:rPr>
        <w:t>Purchased MyPay Program Receivables” means MyPay program receivables purchased by Bank from Client’s other partner banks or from Client or any of Client’s Affiliates.</w:t>
      </w:r>
    </w:p>
    <w:p>
      <w:pPr>
        <w:pStyle w:val="TextBody"/>
        <w:bidi w:val="0"/>
        <w:spacing w:lineRule="auto" w:line="333" w:before="0" w:after="240"/>
        <w:ind w:left="0" w:right="0" w:hanging="360"/>
        <w:jc w:val="left"/>
        <w:rPr/>
      </w:pPr>
      <w:r>
        <w:rPr>
          <w:rFonts w:ascii="Times New Roman;serif" w:hAnsi="Times New Roman;serif"/>
          <w:b/>
          <w:color w:val="000000"/>
          <w:sz w:val="22"/>
        </w:rPr>
        <w:t>2.    </w:t>
      </w:r>
      <w:r>
        <w:rPr>
          <w:rFonts w:ascii="Times New Roman;serif" w:hAnsi="Times New Roman;serif"/>
          <w:b w:val="false"/>
          <w:color w:val="000000"/>
          <w:sz w:val="22"/>
        </w:rPr>
        <w:t>Section 6 of the Secured Credit Card Addendum to the Agreement is deleted and replaced with the following:</w:t>
      </w:r>
    </w:p>
    <w:p>
      <w:pPr>
        <w:pStyle w:val="TextBody"/>
        <w:bidi w:val="0"/>
        <w:spacing w:lineRule="auto" w:line="333" w:before="0" w:after="240"/>
        <w:jc w:val="left"/>
        <w:rPr/>
      </w:pPr>
      <w:r>
        <w:rPr>
          <w:rFonts w:ascii="Times New Roman;serif" w:hAnsi="Times New Roman;serif"/>
          <w:b/>
          <w:color w:val="000000"/>
          <w:sz w:val="22"/>
        </w:rPr>
        <w:t>6.</w:t>
      </w:r>
      <w:r>
        <w:rPr>
          <w:color w:val="000000"/>
        </w:rPr>
        <w:t>    </w:t>
      </w:r>
      <w:r>
        <w:rPr>
          <w:rFonts w:ascii="Times New Roman;serif" w:hAnsi="Times New Roman;serif"/>
          <w:b/>
          <w:color w:val="000000"/>
          <w:sz w:val="22"/>
        </w:rPr>
        <w:t>PROGRAM ACCOUNTING AND FLOW OF FUNDS</w:t>
      </w:r>
    </w:p>
    <w:p>
      <w:pPr>
        <w:pStyle w:val="TextBody"/>
        <w:bidi w:val="0"/>
        <w:spacing w:lineRule="auto" w:line="333" w:before="0" w:after="240"/>
        <w:jc w:val="left"/>
        <w:rPr/>
      </w:pPr>
      <w:r>
        <w:rPr>
          <w:rFonts w:ascii="Times New Roman;serif" w:hAnsi="Times New Roman;serif"/>
          <w:b w:val="false"/>
          <w:color w:val="000000"/>
          <w:sz w:val="22"/>
        </w:rPr>
        <w:t xml:space="preserve">Program Accounting and Flow of Funds. All accounting processes and flow of funds shall be as further set forth in </w:t>
      </w:r>
      <w:r>
        <w:rPr>
          <w:rFonts w:ascii="Times New Roman;serif" w:hAnsi="Times New Roman;serif"/>
          <w:b/>
          <w:color w:val="000000"/>
          <w:sz w:val="22"/>
        </w:rPr>
        <w:t>Schedule F</w:t>
      </w:r>
      <w:r>
        <w:rPr>
          <w:rFonts w:ascii="Times New Roman;serif" w:hAnsi="Times New Roman;serif"/>
          <w:b w:val="false"/>
          <w:color w:val="000000"/>
          <w:sz w:val="22"/>
        </w:rPr>
        <w:t>, as set forth in applicable Schedules to the applicable Program Authorization Letter, or in the Participation Agreement between Bank and Client, and shall include, but not be limited to, delivery of Customer payments to Bank, repayment or purchase of Credit Card Accounts and Line of Credit Accounts by Client (including a purchase of a participation interest in such Credit Card Account or Line of Credit Account), and the establishment of a Client-funded reserve account at Bank.</w:t>
      </w:r>
    </w:p>
    <w:p>
      <w:pPr>
        <w:pStyle w:val="TextBody"/>
        <w:bidi w:val="0"/>
        <w:spacing w:lineRule="auto" w:line="333" w:before="0" w:after="240"/>
        <w:ind w:left="0" w:right="0" w:hanging="360"/>
        <w:jc w:val="left"/>
        <w:rPr/>
      </w:pPr>
      <w:r>
        <w:rPr>
          <w:rFonts w:ascii="Times New Roman;serif" w:hAnsi="Times New Roman;serif"/>
          <w:b/>
          <w:color w:val="000000"/>
          <w:sz w:val="22"/>
        </w:rPr>
        <w:t>3.    </w:t>
      </w:r>
      <w:r>
        <w:rPr>
          <w:rFonts w:ascii="Times New Roman;serif" w:hAnsi="Times New Roman;serif"/>
          <w:b w:val="false"/>
          <w:color w:val="000000"/>
          <w:sz w:val="22"/>
        </w:rPr>
        <w:t xml:space="preserve">Client and Bank hereby replace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 xml:space="preserve">of the Secured Credit Card Addendum to the Agreement in its entirety with the amended and restated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60655"/>
                <wp:effectExtent l="0" t="0" r="0" b="0"/>
                <wp:wrapNone/>
                <wp:docPr id="341" name="Frame3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color w:val="000000"/>
          <w:sz w:val="22"/>
        </w:rPr>
        <w:t>4.    </w:t>
      </w:r>
      <w:r>
        <w:rPr>
          <w:rFonts w:ascii="Times New Roman;serif" w:hAnsi="Times New Roman;serif"/>
          <w:b w:val="false"/>
          <w:color w:val="000000"/>
          <w:sz w:val="22"/>
        </w:rPr>
        <w:t>Miscellaneous. This Second Amendment constitutes the entire agreement between Client and Bank concerning the subject matter of this Second Amendment. Except as explicitly amended by this Second Amendment, all of the terms and conditions of the Agreement shall remain in full force and effect. This Second Amendment may be executed in any number of counterparts, each of which when so executed and delivered shall be deemed an original and all of which counterparts, taken together, shall constitute one and the same instrument. Delivery of an executed counterpart of this Second Amendment by telefacsimile shall be equally as effective as delivery of an original executed counterpart of this Second Amendment.</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60655"/>
                <wp:effectExtent l="0" t="0" r="0" b="0"/>
                <wp:wrapNone/>
                <wp:docPr id="342" name="Frame3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Second Amendment.</w:t>
      </w:r>
    </w:p>
    <w:tbl>
      <w:tblPr>
        <w:tblW w:w="5670" w:type="dxa"/>
        <w:jc w:val="left"/>
        <w:tblInd w:w="0" w:type="dxa"/>
        <w:tblLayout w:type="fixed"/>
        <w:tblCellMar>
          <w:top w:w="28" w:type="dxa"/>
          <w:left w:w="28" w:type="dxa"/>
          <w:bottom w:w="28" w:type="dxa"/>
          <w:right w:w="28" w:type="dxa"/>
        </w:tblCellMar>
      </w:tblPr>
      <w:tblGrid>
        <w:gridCol w:w="973"/>
        <w:gridCol w:w="854"/>
        <w:gridCol w:w="858"/>
        <w:gridCol w:w="874"/>
        <w:gridCol w:w="874"/>
        <w:gridCol w:w="1237"/>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 FINANCIAL, INC.</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BANCORP BANK, N.A.</w:t>
            </w:r>
          </w:p>
        </w:tc>
      </w:tr>
      <w:tr>
        <w:trPr/>
        <w:tc>
          <w:tcPr>
            <w:tcW w:w="26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Matthew Newcomb</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Matthew Newcomb</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CFO</w:t>
            </w:r>
          </w:p>
        </w:tc>
        <w:tc>
          <w:tcPr>
            <w:tcW w:w="29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Ryan Harris</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Ryan Harris</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Executive Vice President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60655"/>
                <wp:effectExtent l="0" t="0" r="0" b="0"/>
                <wp:wrapNone/>
                <wp:docPr id="343" name="Frame3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SCHEDULE F</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Program Accounting and Funds Flow</w:t>
      </w:r>
    </w:p>
    <w:p>
      <w:pPr>
        <w:pStyle w:val="TextBody"/>
        <w:bidi w:val="0"/>
        <w:spacing w:lineRule="auto" w:line="333" w:before="0" w:after="24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Establishment of Negative Balance Funding Account</w:t>
      </w:r>
      <w:r>
        <w:rPr>
          <w:rFonts w:ascii="Times New Roman;serif" w:hAnsi="Times New Roman;serif"/>
          <w:b w:val="false"/>
          <w:color w:val="000000"/>
          <w:sz w:val="22"/>
        </w:rPr>
        <w:t>. For purposes of retaining adequate funding to prevent any direct or indirect losses or expenses of any kind incurred on or arising out of any Account including, without limitation, negative balances (including negative balances resulting from transactions authorized by any Account overdraft feature approved by Bank), unauthorized Transactions, chargebacks, force posted Transactions, fraud, unauthorized withdrawals or funds transfers from an Account, identify theft, Funding Failures, or other losses in connection with the Accounts, Bank shall set up and maintain a Bank-owned and Bank-controlled funding account at Bank (“</w:t>
      </w:r>
      <w:r>
        <w:rPr>
          <w:rFonts w:ascii="Times New Roman;serif" w:hAnsi="Times New Roman;serif"/>
          <w:b/>
          <w:color w:val="000000"/>
          <w:sz w:val="22"/>
        </w:rPr>
        <w:t>Negative Balance Funding Account</w:t>
      </w:r>
      <w:r>
        <w:rPr>
          <w:color w:val="000000"/>
        </w:rPr>
        <w:t>”</w:t>
      </w:r>
      <w:r>
        <w:rPr>
          <w:rFonts w:ascii="Times New Roman;serif" w:hAnsi="Times New Roman;serif"/>
          <w:b w:val="false"/>
          <w:color w:val="000000"/>
          <w:sz w:val="22"/>
        </w:rPr>
        <w:t xml:space="preserve">) to be funded by Client in amounts as determined in this Section 2 to </w:t>
      </w:r>
      <w:r>
        <w:rPr>
          <w:rFonts w:ascii="Times New Roman;serif" w:hAnsi="Times New Roman;serif"/>
          <w:b/>
          <w:color w:val="000000"/>
          <w:sz w:val="22"/>
        </w:rPr>
        <w:t>Schedule F</w:t>
      </w:r>
      <w:r>
        <w:rPr>
          <w:rFonts w:ascii="Times New Roman;serif" w:hAnsi="Times New Roman;serif"/>
          <w:b w:val="false"/>
          <w:color w:val="000000"/>
          <w:sz w:val="22"/>
        </w:rPr>
        <w:t>. For the avoidance of doubt, it is expressly understood that the purpose of the Negative Balance Funding Account is to ensure that Client will maintain balances that will be immediately available to fund any negative Cardholder Account balances thereby preventing any direct or indirect losses or expenses of any kind, in any Account at any time. An example for illustration purposes is included below. For clarity, this Negative Balance Funding Account excludes any Negative Balances (as defined below) related to Credit Card Accounts and Secured Deposit Accounts that have otherwise been collected by Bank from Client pursuant to a separate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(a)On the Effective Date, the aggregate negative balance funding (“</w:t>
      </w:r>
      <w:r>
        <w:rPr>
          <w:rFonts w:ascii="Times New Roman;serif" w:hAnsi="Times New Roman;serif"/>
          <w:b/>
          <w:color w:val="000000"/>
          <w:sz w:val="22"/>
        </w:rPr>
        <w:t>Aggregate NBR</w:t>
      </w:r>
      <w:r>
        <w:rPr>
          <w:color w:val="000000"/>
        </w:rPr>
        <w:t>”</w:t>
      </w:r>
      <w:r>
        <w:rPr>
          <w:rFonts w:ascii="Times New Roman;serif" w:hAnsi="Times New Roman;serif"/>
          <w:b w:val="false"/>
          <w:color w:val="000000"/>
          <w:sz w:val="22"/>
        </w:rPr>
        <w:t>) shall be established, which will equal the sum of (i) the end of day balance as of the prior business day in Client’s Fee Revenue Account (“</w:t>
      </w:r>
      <w:r>
        <w:rPr>
          <w:rFonts w:ascii="Times New Roman;serif" w:hAnsi="Times New Roman;serif"/>
          <w:b/>
          <w:color w:val="000000"/>
          <w:sz w:val="22"/>
        </w:rPr>
        <w:t>Synthetic Reserve</w:t>
      </w:r>
      <w:r>
        <w:rPr>
          <w:color w:val="000000"/>
        </w:rPr>
        <w:t>”</w:t>
      </w:r>
      <w:r>
        <w:rPr>
          <w:rFonts w:ascii="Times New Roman;serif" w:hAnsi="Times New Roman;serif"/>
          <w:b w:val="false"/>
          <w:color w:val="000000"/>
          <w:sz w:val="22"/>
        </w:rPr>
        <w:t>) and (ii) the balance, as of the prior business day, in the Negative Balance Funding Reserve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(b)Account (“</w:t>
      </w:r>
      <w:r>
        <w:rPr>
          <w:rFonts w:ascii="Times New Roman;serif" w:hAnsi="Times New Roman;serif"/>
          <w:b/>
          <w:color w:val="000000"/>
          <w:sz w:val="22"/>
        </w:rPr>
        <w:t>Funded NBR</w:t>
      </w:r>
      <w:r>
        <w:rPr>
          <w:color w:val="000000"/>
        </w:rPr>
        <w:t>”</w:t>
      </w:r>
      <w:r>
        <w:rPr>
          <w:rFonts w:ascii="Times New Roman;serif" w:hAnsi="Times New Roman;serif"/>
          <w:b w:val="false"/>
          <w:color w:val="000000"/>
          <w:sz w:val="22"/>
        </w:rPr>
        <w:t>). Bank shall the calculate the difference between (A) the Aggregate NBR and (B) the total Program negative balance reported by Processor as of Processor’s end of day for the prior calendar day (the “</w:t>
      </w:r>
      <w:r>
        <w:rPr>
          <w:rFonts w:ascii="Times New Roman;serif" w:hAnsi="Times New Roman;serif"/>
          <w:b/>
          <w:color w:val="000000"/>
          <w:sz w:val="22"/>
        </w:rPr>
        <w:t>Negative Balance</w:t>
      </w:r>
      <w:r>
        <w:rPr>
          <w:color w:val="000000"/>
        </w:rPr>
        <w:t>”</w:t>
      </w:r>
      <w:r>
        <w:rPr>
          <w:rFonts w:ascii="Times New Roman;serif" w:hAnsi="Times New Roman;serif"/>
          <w:b w:val="false"/>
          <w:color w:val="000000"/>
          <w:sz w:val="22"/>
        </w:rPr>
        <w:t>). If the result is positive (“</w:t>
      </w:r>
      <w:r>
        <w:rPr>
          <w:rFonts w:ascii="Times New Roman;serif" w:hAnsi="Times New Roman;serif"/>
          <w:b/>
          <w:color w:val="000000"/>
          <w:sz w:val="22"/>
        </w:rPr>
        <w:t>Negative Balance Excess</w:t>
      </w:r>
      <w:r>
        <w:rPr>
          <w:color w:val="000000"/>
        </w:rPr>
        <w:t>”</w:t>
      </w:r>
      <w:r>
        <w:rPr>
          <w:rFonts w:ascii="Times New Roman;serif" w:hAnsi="Times New Roman;serif"/>
          <w:b w:val="false"/>
          <w:color w:val="000000"/>
          <w:sz w:val="22"/>
        </w:rPr>
        <w:t>), Bank shall transfer an amount equal to the Negative Balance Excess to Client via wire by 3:00 pm Eastern Time on the Effective Date, resulting in a reduction to the Funded NBR in subsequent periods. If the result is negative (“</w:t>
      </w:r>
      <w:r>
        <w:rPr>
          <w:rFonts w:ascii="Times New Roman;serif" w:hAnsi="Times New Roman;serif"/>
          <w:b/>
          <w:color w:val="000000"/>
          <w:sz w:val="22"/>
        </w:rPr>
        <w:t>Negative Balance Shortfall</w:t>
      </w:r>
      <w:r>
        <w:rPr>
          <w:color w:val="000000"/>
        </w:rPr>
        <w:t>”</w:t>
      </w:r>
      <w:r>
        <w:rPr>
          <w:rFonts w:ascii="Times New Roman;serif" w:hAnsi="Times New Roman;serif"/>
          <w:b w:val="false"/>
          <w:color w:val="000000"/>
          <w:sz w:val="22"/>
        </w:rPr>
        <w:t>), Client shall transfer an amount equal to the Negative Balance Shortfall to Bank via wire by 3:00 pm Eastern Time on the Effective Date, resulting in an addition to the Funded NBR for subsequent periods.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firstLine="720"/>
        <w:jc w:val="left"/>
        <w:rPr/>
      </w:pPr>
      <w:r>
        <w:rPr>
          <w:rFonts w:ascii="Times New Roman;serif" w:hAnsi="Times New Roman;serif"/>
          <w:b w:val="false"/>
          <w:color w:val="000000"/>
          <w:sz w:val="22"/>
        </w:rPr>
        <w:t>(c)On the 28th calendar day of each calendar month (or if such day is a non-business day, then the business day immediately following such day) (the “</w:t>
      </w:r>
      <w:r>
        <w:rPr>
          <w:rFonts w:ascii="Times New Roman;serif" w:hAnsi="Times New Roman;serif"/>
          <w:b/>
          <w:color w:val="000000"/>
          <w:sz w:val="22"/>
        </w:rPr>
        <w:t>True-Up Day</w:t>
      </w:r>
      <w:r>
        <w:rPr>
          <w:color w:val="000000"/>
        </w:rPr>
        <w:t>”</w:t>
      </w:r>
      <w:r>
        <w:rPr>
          <w:rFonts w:ascii="Times New Roman;serif" w:hAnsi="Times New Roman;serif"/>
          <w:b w:val="false"/>
          <w:color w:val="000000"/>
          <w:sz w:val="22"/>
        </w:rPr>
        <w:t>), Bank shall determine the Negative Balance Excess or Negative Balance Shortfall, as the case may be, using the calculations set forth in this Section 2.</w:t>
      </w:r>
    </w:p>
    <w:p>
      <w:pPr>
        <w:pStyle w:val="TextBody"/>
        <w:bidi w:val="0"/>
        <w:spacing w:before="0" w:after="0"/>
        <w:jc w:val="center"/>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60655"/>
                <wp:effectExtent l="0" t="0" r="0" b="0"/>
                <wp:wrapNone/>
                <wp:docPr id="344" name="Frame3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(d)If there is a Negative Balance Excess on the True-Up Day, Bank shall have no obligation to transfer any funds to Client. If there is a Negative Balance Shortfall on the True-Up Day, then Client shall transfer an amount equal to the Negative Balance Shortfall to Bank via wire by 3:00 pm Eastern Time on the True-Up Day.</w: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(e)Without limiting the generality of Section 17 (Set-Off and Other Bank Remedies) of the Agreement, Client hereby authorizes Bank to set-off any funds in the Fee Revenue Account against any Account negative balances described in this Section 2, for the purposes of curing any such Account negative balances.</w:t>
      </w:r>
    </w:p>
    <w:p>
      <w:pPr>
        <w:pStyle w:val="TextBody"/>
        <w:bidi w:val="0"/>
        <w:spacing w:lineRule="auto" w:line="333" w:before="0" w:after="240"/>
        <w:jc w:val="left"/>
        <w:rPr/>
      </w:pPr>
      <w:r>
        <w:rPr>
          <w:rFonts w:ascii="Times New Roman;serif" w:hAnsi="Times New Roman;serif"/>
          <w:b w:val="false"/>
          <w:color w:val="000000"/>
          <w:sz w:val="22"/>
        </w:rPr>
        <w:t xml:space="preserve">For the purposes of this Section 2, “Fee Revenue Account” shall mean the Bank-owned, Bank-controlled account at Bank which holds Program Revenues prior to disbursement to Client as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of the Agreement.</w:t>
      </w:r>
    </w:p>
    <w:p>
      <w:pPr>
        <w:pStyle w:val="TextBody"/>
        <w:bidi w:val="0"/>
        <w:spacing w:lineRule="auto" w:line="333" w:before="0" w:after="24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Security Deposit Account (SDA)</w:t>
      </w:r>
      <w:r>
        <w:rPr>
          <w:rFonts w:ascii="Times New Roman;serif" w:hAnsi="Times New Roman;serif"/>
          <w:b w:val="false"/>
          <w:color w:val="000000"/>
          <w:sz w:val="22"/>
        </w:rPr>
        <w:t>. A Bank-owned, Bank-controlled Program Account shall be set up for Bank’s receipt of Customer Funds that have been deposited to Accounts in order to hold the Customer balances (the “</w:t>
      </w:r>
      <w:r>
        <w:rPr>
          <w:rFonts w:ascii="Times New Roman;serif" w:hAnsi="Times New Roman;serif"/>
          <w:b/>
          <w:color w:val="000000"/>
          <w:sz w:val="22"/>
        </w:rPr>
        <w:t>SDA Account</w:t>
      </w:r>
      <w:r>
        <w:rPr>
          <w:color w:val="000000"/>
        </w:rPr>
        <w:t>”</w:t>
      </w:r>
      <w:r>
        <w:rPr>
          <w:rFonts w:ascii="Times New Roman;serif" w:hAnsi="Times New Roman;serif"/>
          <w:b w:val="false"/>
          <w:color w:val="000000"/>
          <w:sz w:val="22"/>
        </w:rPr>
        <w:t>). The SDA Account shall be set up such that (i) all Customer Funds are held by Bank as deposits of Customers for the purpose of securing credit Transactions initiated by Customers, or as otherwise permitted by this Agreement or the Customer Agreement, and Bank shall be liable to Customers with respect to such Customer Funds not used to secure credit transactions, and (ii) neither Bank nor Client have an equitable interest in the Customer Funds not securing credit transactions.</w:t>
      </w:r>
    </w:p>
    <w:p>
      <w:pPr>
        <w:pStyle w:val="TextBody"/>
        <w:bidi w:val="0"/>
        <w:spacing w:lineRule="auto" w:line="333" w:before="0" w:after="24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Credit Deposit Account (CDA)</w:t>
      </w:r>
      <w:r>
        <w:rPr>
          <w:rFonts w:ascii="Times New Roman;serif" w:hAnsi="Times New Roman;serif"/>
          <w:b w:val="false"/>
          <w:color w:val="000000"/>
          <w:sz w:val="22"/>
        </w:rPr>
        <w:t>. A Bank-owned, Bank-controlled Program Account shall be set up for funding the settlement of card credit activity to the networks (the “</w:t>
      </w:r>
      <w:r>
        <w:rPr>
          <w:rFonts w:ascii="Times New Roman;serif" w:hAnsi="Times New Roman;serif"/>
          <w:b/>
          <w:color w:val="000000"/>
          <w:sz w:val="22"/>
        </w:rPr>
        <w:t>CDA Account</w:t>
      </w:r>
      <w:r>
        <w:rPr>
          <w:color w:val="000000"/>
        </w:rPr>
        <w:t>”</w:t>
      </w:r>
      <w:r>
        <w:rPr>
          <w:rFonts w:ascii="Times New Roman;serif" w:hAnsi="Times New Roman;serif"/>
          <w:b w:val="false"/>
          <w:color w:val="000000"/>
          <w:sz w:val="22"/>
        </w:rPr>
        <w:t>). Each individual customer’s available credit amount to spend on their Credit Builder card will be limited to the funds on deposit in the SDA available to secure such transactions that have not been previously used to secure a credit transaction.</w:t>
      </w:r>
    </w:p>
    <w:p>
      <w:pPr>
        <w:pStyle w:val="TextBody"/>
        <w:bidi w:val="0"/>
        <w:spacing w:lineRule="auto" w:line="333" w:before="0" w:after="24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Adjustment Funding Accounts</w:t>
      </w:r>
      <w:r>
        <w:rPr>
          <w:rFonts w:ascii="Times New Roman;serif" w:hAnsi="Times New Roman;serif"/>
          <w:b w:val="false"/>
          <w:color w:val="000000"/>
          <w:sz w:val="22"/>
        </w:rPr>
        <w:t>. Client-owned Program Accounts shall be established by Client at Bank and funded by Client in an amount sufficient to fund the dispute provisional credits, rewards due to customers, and “Adjustment Credit Amounts” made to customer accounts (“</w:t>
      </w:r>
      <w:r>
        <w:rPr>
          <w:rFonts w:ascii="Times New Roman;serif" w:hAnsi="Times New Roman;serif"/>
          <w:b/>
          <w:color w:val="000000"/>
          <w:sz w:val="22"/>
        </w:rPr>
        <w:t>Adjustment Funding Accounts</w:t>
      </w:r>
      <w:r>
        <w:rPr>
          <w:color w:val="000000"/>
        </w:rPr>
        <w:t>”</w:t>
      </w:r>
      <w:r>
        <w:rPr>
          <w:rFonts w:ascii="Times New Roman;serif" w:hAnsi="Times New Roman;serif"/>
          <w:b w:val="false"/>
          <w:color w:val="000000"/>
          <w:sz w:val="22"/>
        </w:rPr>
        <w:t>). The “</w:t>
      </w:r>
      <w:r>
        <w:rPr>
          <w:rFonts w:ascii="Times New Roman;serif" w:hAnsi="Times New Roman;serif"/>
          <w:b/>
          <w:color w:val="000000"/>
          <w:sz w:val="22"/>
        </w:rPr>
        <w:t>Adjustment Credit Amounts</w:t>
      </w:r>
      <w:r>
        <w:rPr>
          <w:color w:val="000000"/>
        </w:rPr>
        <w:t xml:space="preserve">” </w:t>
      </w:r>
      <w:r>
        <w:rPr>
          <w:rFonts w:ascii="Times New Roman;serif" w:hAnsi="Times New Roman;serif"/>
          <w:b w:val="false"/>
          <w:color w:val="000000"/>
          <w:sz w:val="22"/>
        </w:rPr>
        <w:t xml:space="preserve">include </w:t>
      </w:r>
      <w:r>
        <w:rPr>
          <w:rFonts w:ascii="Times New Roman;serif" w:hAnsi="Times New Roman;serif"/>
          <w:b w:val="false"/>
          <w:color w:val="000000"/>
          <w:sz w:val="24"/>
        </w:rPr>
        <w:t>[***]</w:t>
      </w:r>
      <w:r>
        <w:rPr>
          <w:rFonts w:ascii="Times New Roman;serif" w:hAnsi="Times New Roman;serif"/>
          <w:b w:val="false"/>
          <w:color w:val="000000"/>
          <w:sz w:val="22"/>
        </w:rPr>
        <w:t>. Client grants Bank the right to transfer the Adjustment Credit Amount for the adjustment credit activity each Business Day since the previous Business Day to the Bank-owned Activity or Adjustment Account, as appropriate. Bank will notify Client if the balance in the Adjustment Funding Account is insufficient to cover the Adjustment Credit Amount and will request additional funding. Within one (1) business day of such notice from Bank, Client will initiate a wire or ACH credit in the required amount to post in the Adjustment Funding Accounts. Client is expected to maintain a positive balance in these accounts at all times.</w:t>
      </w:r>
    </w:p>
    <w:p>
      <w:pPr>
        <w:pStyle w:val="TextBody"/>
        <w:bidi w:val="0"/>
        <w:spacing w:lineRule="auto" w:line="333" w:before="0" w:after="240"/>
        <w:ind w:left="0" w:right="0" w:hanging="36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Fee/Revenue Account</w:t>
      </w:r>
      <w:r>
        <w:rPr>
          <w:rFonts w:ascii="Times New Roman;serif" w:hAnsi="Times New Roman;serif"/>
          <w:b w:val="false"/>
          <w:color w:val="000000"/>
          <w:sz w:val="22"/>
        </w:rPr>
        <w:t>. A Bank-owned, Bank-controlled Program Account shall be set up to hold Program Revenues and expenses (the “</w:t>
      </w:r>
      <w:r>
        <w:rPr>
          <w:rFonts w:ascii="Times New Roman;serif" w:hAnsi="Times New Roman;serif"/>
          <w:b/>
          <w:color w:val="000000"/>
          <w:sz w:val="22"/>
        </w:rPr>
        <w:t>Fee/Revenue account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60655"/>
                <wp:effectExtent l="0" t="0" r="0" b="0"/>
                <wp:wrapNone/>
                <wp:docPr id="345" name="Frame3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SpotMe Advance GL</w:t>
      </w:r>
      <w:r>
        <w:rPr>
          <w:rFonts w:ascii="Times New Roman;serif" w:hAnsi="Times New Roman;serif"/>
          <w:b w:val="false"/>
          <w:color w:val="000000"/>
          <w:sz w:val="22"/>
        </w:rPr>
        <w:t>. A Bank-owned GL Program Account shall be set up to hold the receivables for SpotMe advances made to customers. This account shall hold a debit balance equal to the sum of all SpotMe advances not yet repaid by the Customer and has not yet been repaid or purchased by Client (including a purchase of a participation interest in such advance).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60655"/>
                <wp:effectExtent l="0" t="0" r="0" b="0"/>
                <wp:wrapNone/>
                <wp:docPr id="346" name="Frame3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 xml:space="preserve">THIRD AMENDMENT TO THE MASTER SERVICES AGREEMENT </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Third Amendment (“</w:t>
      </w:r>
      <w:r>
        <w:rPr>
          <w:rFonts w:ascii="Times New Roman;serif" w:hAnsi="Times New Roman;serif"/>
          <w:b/>
          <w:color w:val="000000"/>
          <w:sz w:val="22"/>
        </w:rPr>
        <w:t>Third Amendment</w:t>
      </w:r>
      <w:r>
        <w:rPr>
          <w:color w:val="000000"/>
        </w:rPr>
        <w:t>”</w:t>
      </w:r>
      <w:r>
        <w:rPr>
          <w:rFonts w:ascii="Times New Roman;serif" w:hAnsi="Times New Roman;serif"/>
          <w:b w:val="false"/>
          <w:color w:val="000000"/>
          <w:sz w:val="22"/>
        </w:rPr>
        <w:t>) to the Master Services Agreement dated June 9, 2023, effective as of July 1, 2023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March 19, 2025 (the “</w:t>
      </w:r>
      <w:r>
        <w:rPr>
          <w:rFonts w:ascii="Times New Roman;serif" w:hAnsi="Times New Roman;serif"/>
          <w:b/>
          <w:color w:val="000000"/>
          <w:sz w:val="22"/>
        </w:rPr>
        <w:t>Third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Third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1. Schedule I as attached to this Third Amendment is hereby incorporated into the Private Label DDA Addendum to the Master Services Agreement, following Exhibit H.</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2. The parties agree to amend and supplement certain terms and conditions in the Agreement as herein set forth. All terms and conditions not amended and supplemented by this Third Amendment shall remain in full force and effect.</w:t>
      </w:r>
    </w:p>
    <w:p>
      <w:pPr>
        <w:pStyle w:val="TextBody"/>
        <w:bidi w:val="0"/>
        <w:spacing w:lineRule="auto" w:line="333" w:before="0" w:after="24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hereby acknowledge and certify that as of the Third Amendment Effective Date, they are duly authorized to sign on behalf of and legally bind the entities named below by executing this Third Amendment.</w:t>
      </w:r>
    </w:p>
    <w:tbl>
      <w:tblPr>
        <w:tblW w:w="6028" w:type="dxa"/>
        <w:jc w:val="left"/>
        <w:tblInd w:w="0" w:type="dxa"/>
        <w:tblLayout w:type="fixed"/>
        <w:tblCellMar>
          <w:top w:w="28" w:type="dxa"/>
          <w:left w:w="28" w:type="dxa"/>
          <w:bottom w:w="28" w:type="dxa"/>
          <w:right w:w="28" w:type="dxa"/>
        </w:tblCellMar>
      </w:tblPr>
      <w:tblGrid>
        <w:gridCol w:w="1060"/>
        <w:gridCol w:w="930"/>
        <w:gridCol w:w="934"/>
        <w:gridCol w:w="907"/>
        <w:gridCol w:w="907"/>
        <w:gridCol w:w="1290"/>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CHIME FINANCIAL, INC.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BANCORP BANK, N.A.</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Aaron Plante</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Ryan Harris</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VP Banking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Ryan Harris</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60655"/>
                <wp:effectExtent l="0" t="0" r="0" b="0"/>
                <wp:wrapNone/>
                <wp:docPr id="347" name="Frame3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Check Services</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60655"/>
                <wp:effectExtent l="0" t="0" r="0" b="0"/>
                <wp:wrapNone/>
                <wp:docPr id="348" name="Frame3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FOURTH AMENDMENT TO THE MASTER SERVICES AGREEMENT </w:t>
      </w:r>
    </w:p>
    <w:p>
      <w:pPr>
        <w:pStyle w:val="TextBody"/>
        <w:bidi w:val="0"/>
        <w:spacing w:before="0" w:after="0"/>
        <w:jc w:val="center"/>
        <w:rPr/>
      </w:pPr>
      <w:r>
        <w:rPr/>
      </w:r>
    </w:p>
    <w:p>
      <w:pPr>
        <w:pStyle w:val="TextBody"/>
        <w:bidi w:val="0"/>
        <w:spacing w:lineRule="auto" w:line="240" w:before="0" w:after="0"/>
        <w:jc w:val="left"/>
        <w:rPr/>
      </w:pPr>
      <w:r>
        <w:rPr>
          <w:color w:val="000000"/>
        </w:rPr>
        <w:t>    </w:t>
      </w:r>
      <w:r>
        <w:rPr>
          <w:rFonts w:ascii="Times New Roman;serif" w:hAnsi="Times New Roman;serif"/>
          <w:b w:val="false"/>
          <w:color w:val="000000"/>
          <w:sz w:val="22"/>
        </w:rPr>
        <w:t>This Fourth Amendment (“</w:t>
      </w:r>
      <w:r>
        <w:rPr>
          <w:rFonts w:ascii="Times New Roman;serif" w:hAnsi="Times New Roman;serif"/>
          <w:b/>
          <w:color w:val="000000"/>
          <w:sz w:val="22"/>
        </w:rPr>
        <w:t>Fourth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May 8th, 2025 (the “</w:t>
      </w:r>
      <w:r>
        <w:rPr>
          <w:rFonts w:ascii="Times New Roman;serif" w:hAnsi="Times New Roman;serif"/>
          <w:b/>
          <w:color w:val="000000"/>
          <w:sz w:val="22"/>
        </w:rPr>
        <w:t>Fourth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 xml:space="preserve">.” Any capitalized terms not otherwise defined herein shall have the meaning set forth in the Agreement.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Fourth Amendment to the Agreement.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1.The Parties acknowledge and agree that the Secured Credit Card Addendum covers any secured card offered under the Secured Credit Card Addendum. Further, the Secured Credit Card Addendum covers the Credit Card Accounts, Line of Credit Accounts, and Secured Accounts opened pursuant to the Credit Builder Program. As such, going forward all references to “Credit Builder Account” within the Secured Credit Card Addendum, shall now be referencing “Secured Card Account”.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    Sections 3.15 and 3.19 of the Agreement are hereby deleted in their entirety and in lieu thereof, are replaced with the following.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3.15 Model Risk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Where the Client utilizes a model as defined by OCC Bulletin 2011-12, “Sound Practices for Model Risk Management: Supervisory Guidance on Model Risk Management” to provide Bank sponsored Programs, the following apply: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(a) Client shall maintain a documented Model Risk Management (“</w:t>
      </w:r>
      <w:r>
        <w:rPr>
          <w:rFonts w:ascii="Times New Roman;serif" w:hAnsi="Times New Roman;serif"/>
          <w:b/>
          <w:color w:val="000000"/>
          <w:sz w:val="22"/>
        </w:rPr>
        <w:t>MRM</w:t>
      </w:r>
      <w:r>
        <w:rPr>
          <w:color w:val="000000"/>
        </w:rPr>
        <w:t>”</w:t>
      </w:r>
      <w:r>
        <w:rPr>
          <w:rFonts w:ascii="Times New Roman;serif" w:hAnsi="Times New Roman;serif"/>
          <w:b w:val="false"/>
          <w:color w:val="000000"/>
          <w:sz w:val="22"/>
        </w:rPr>
        <w:t>) Policy and program</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that assists Bank in adhering to its obligations relating to the oversight and management of risks related to the use of third-party models as outlined in the “Third Party Model and Data” section within the OCC Comptroller’s Handbook for Model Risk Management (Version 1.0, August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2021), as may be amended from time to time. Client will provide all current copies of the MRM Policy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Client must obtain Bank approval prior to utilizing or modifying a model to support any</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products which utilize any balance sheet activity provided by Bank as outlined in Schedule 6 of</w:t>
      </w:r>
    </w:p>
    <w:p>
      <w:pPr>
        <w:pStyle w:val="TextBody"/>
        <w:bidi w:val="0"/>
        <w:spacing w:lineRule="auto" w:line="240" w:before="0" w:after="0"/>
        <w:jc w:val="left"/>
        <w:rPr/>
      </w:pP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to the Agreement or as may be directed by any Regulatory Authority (each, a</w:t>
      </w:r>
    </w:p>
    <w:p>
      <w:pPr>
        <w:pStyle w:val="TextBody"/>
        <w:bidi w:val="0"/>
        <w:spacing w:lineRule="auto" w:line="240" w:before="0" w:after="0"/>
        <w:jc w:val="left"/>
        <w:rPr/>
      </w:pPr>
      <w:r>
        <w:rPr>
          <w:color w:val="000000"/>
        </w:rPr>
        <w:t>“</w:t>
      </w:r>
      <w:r>
        <w:rPr>
          <w:rFonts w:ascii="Times New Roman;serif" w:hAnsi="Times New Roman;serif"/>
          <w:b/>
          <w:color w:val="000000"/>
          <w:sz w:val="22"/>
        </w:rPr>
        <w:t>Qualified MRM Product</w:t>
      </w:r>
      <w:r>
        <w:rPr>
          <w:color w:val="000000"/>
        </w:rPr>
        <w:t>”</w:t>
      </w:r>
      <w:r>
        <w:rPr>
          <w:rFonts w:ascii="Times New Roman;serif" w:hAnsi="Times New Roman;serif"/>
          <w:b w:val="false"/>
          <w:color w:val="000000"/>
          <w:sz w:val="22"/>
        </w:rPr>
        <w:t xml:space="preserve">). Such approval shall not be unduly withheld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Client shall promptly deliver to Bank complete and correct copies of all of the items the Bank</w:t>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requires to perform its own initial and ongoing Due Diligence review of the model and respond to regulator inquiries.</w:t>
      </w:r>
    </w:p>
    <w:p>
      <w:pPr>
        <w:pStyle w:val="TextBody"/>
        <w:bidi w:val="0"/>
        <w:spacing w:before="0" w:after="0"/>
        <w:jc w:val="center"/>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60655"/>
                <wp:effectExtent l="0" t="0" r="0" b="0"/>
                <wp:wrapNone/>
                <wp:docPr id="349" name="Frame3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 Client agrees that to the extent that Bank determines that a model validation is required as it relates to Qualified MRM Products, Client shall select from a list of no fewer than three (3) Bank approved independent third-party providers to complete the model validation or, alternatively, in the event that Bank does not provide a list of three (3) or more Bank approved third-party providers, Client may propose an independent third-party provider to complete the model validation and Bank shall consider in good faith such provider. Bank shall retain final decision and authority regarding the scope of the model validation, as well as receive copies of all validation results, all reports, (including draft reports), and all exhibits and other documentation relied upon for the reports. Client shall be responsible for all expenses associated with the</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independent validation of models and will make Bank a third-party beneficiary of any model validation contract it enters into to complete a model validation required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3.16 Fair and Responsible Banking Services.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A Fair and Responsible Banking Services policy that address making Designated Products,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Fair Credit Reporting Act (FCRA), and the prohibition on Unfair, Deceptive, or Abusive Acts or</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Practices (UDAAP).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Fair and Responsible Banking Services training for new employees as well as periodic training, at least annually, for all employees who are involved in product creation, management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 servicing of Designated Products.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Risk assessment and testing that evaluates risks and provides appropriate oversight throughout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each stage of the product life cycle of Designated Products.</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2"/>
        </w:rPr>
        <w:t>(d) Client shall select from a list of no fewer than three (3) Bank approved independent third party providers, if Bank deems necessary, based on Client’s use of a model (as defined by OCC Bulletin 2011-12), traditional underwriting standards, and/or a decision tree, whether or not defined as model; third-party consultant, assessor, or qualified individual (a “</w:t>
      </w:r>
      <w:r>
        <w:rPr>
          <w:rFonts w:ascii="Times New Roman;serif" w:hAnsi="Times New Roman;serif"/>
          <w:b/>
          <w:color w:val="000000"/>
          <w:sz w:val="22"/>
        </w:rPr>
        <w:t>Consultant</w:t>
      </w:r>
      <w:r>
        <w:rPr>
          <w:color w:val="000000"/>
        </w:rPr>
        <w:t>”</w:t>
      </w:r>
      <w:r>
        <w:rPr>
          <w:rFonts w:ascii="Times New Roman;serif" w:hAnsi="Times New Roman;serif"/>
          <w:b w:val="false"/>
          <w:color w:val="000000"/>
          <w:sz w:val="22"/>
        </w:rPr>
        <w:t xml:space="preserve">), to complete a fair lending analysis that includes statistical analysis (including regression testing, if appropriate) or other industry appropriate analyses to evaluate potential disparate impact on a traditionally protected class. Alternatively, in the event that Bank does not provide a list of three (3) or more Bank approved third-party providers, Client may propose an independent third-party provider to complete the fair lending analysis and Bank shall consider in good faith such provider. Bank shall retain final decision and authority regarding the scope of the fair lending analysis, as well as receive copies of all results, all reports (including draft reports), and </w:t>
      </w:r>
    </w:p>
    <w:p>
      <w:pPr>
        <w:pStyle w:val="TextBody"/>
        <w:bidi w:val="0"/>
        <w:spacing w:before="0" w:after="0"/>
        <w:jc w:val="center"/>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60655"/>
                <wp:effectExtent l="0" t="0" r="0" b="0"/>
                <wp:wrapNone/>
                <wp:docPr id="350" name="Frame3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all exhibits and other documentation relied upon for the reports. Client shall be responsible for all expenses associated with the fair lending analysis and will make Bank a third-party beneficiary of any fair lending analysis contract it enters into to complete a fair lending analysis deemed necessary by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For purposes of this Agreement, the term “Designated Products” shall include, without limitation, any secured cards, SpotMe, MyPay,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 Client shall provide all current copies of the Fair and Responsible Banking Services risk management program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 Client must work with Bank to resolve identified deficiencies in a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3.Section 3.20 of the Agreement is hereby renumbered as Section 3.17 of the Agreement.</w:t>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4.Exhibit A - Schedule 7: Secured Credit Discount Calculation of the Agreement is hereby amended by deleting Table 1 in its entirety and in lieu thereof, replacing it with the following: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5.Exhibit A - Schedule 7: Secured Credit Discount Calculation of the Agreement is hereby amended by deleting Table 2 in its entirety and in lieu thereof, replacing it with the following:</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6.Exhibit A - Schedule 7: Secured Credit Discount Calculation of the Agreement is hereby amended by adding the following Table 3: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7.The parties agree to amend and supplement certain terms and conditions in the Agreement as herein set forth. All terms and conditions not amended and supplemented by this Fourth Amendment shall remain in full force and effect.</w:t>
      </w:r>
    </w:p>
    <w:p>
      <w:pPr>
        <w:pStyle w:val="TextBody"/>
        <w:bidi w:val="0"/>
        <w:spacing w:before="0" w:after="240"/>
        <w:ind w:left="0" w:right="0" w:hanging="360"/>
        <w:jc w:val="both"/>
        <w:rPr/>
      </w:pPr>
      <w:r>
        <w:rPr/>
      </w:r>
    </w:p>
    <w:p>
      <w:pPr>
        <w:pStyle w:val="TextBody"/>
        <w:bidi w:val="0"/>
        <w:spacing w:lineRule="auto" w:line="240" w:before="0" w:after="240"/>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60655"/>
                <wp:effectExtent l="0" t="0" r="0" b="0"/>
                <wp:wrapNone/>
                <wp:docPr id="351" name="Frame3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Fourth Amendment.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CHIME FINANCIAL, INC.                 THE BANCORP BANK,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/s/ Aaron Plante        By: /s/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Aaron Plante        Name: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VP, Banking        Title: EVP</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Date: 6/18/2025         Date: 6/20/2025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60655"/>
                <wp:effectExtent l="0" t="0" r="0" b="0"/>
                <wp:wrapNone/>
                <wp:docPr id="352" name="Frame3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THE MASTER SERVICES AGREEMENT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erif" w:hAnsi="Times New Roman;serif"/>
          <w:b w:val="false"/>
          <w:color w:val="000000"/>
          <w:sz w:val="24"/>
        </w:rPr>
        <w:t>This Fifth Amendment (“</w:t>
      </w:r>
      <w:r>
        <w:rPr>
          <w:rFonts w:ascii="Times New Roman;serif" w:hAnsi="Times New Roman;serif"/>
          <w:b/>
          <w:color w:val="000000"/>
          <w:sz w:val="24"/>
        </w:rPr>
        <w:t>Fifth Amendment</w:t>
      </w:r>
      <w:r>
        <w:rPr>
          <w:color w:val="000000"/>
        </w:rPr>
        <w:t>”</w:t>
      </w:r>
      <w:r>
        <w:rPr>
          <w:rFonts w:ascii="Times New Roman;serif" w:hAnsi="Times New Roman;serif"/>
          <w:b w:val="false"/>
          <w:color w:val="000000"/>
          <w:sz w:val="24"/>
        </w:rPr>
        <w:t>) to the Master Services Agreement dated June 9, 2023 effective as of July 1, 2023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on August 5, 2025 (the “</w:t>
      </w:r>
      <w:r>
        <w:rPr>
          <w:rFonts w:ascii="Times New Roman;serif" w:hAnsi="Times New Roman;serif"/>
          <w:b/>
          <w:color w:val="000000"/>
          <w:sz w:val="24"/>
        </w:rPr>
        <w:t>Fifth Amendment Effective Date”</w:t>
      </w:r>
      <w:r>
        <w:rPr>
          <w:rFonts w:ascii="Times New Roman;serif" w:hAnsi="Times New Roman;serif"/>
          <w:b w:val="false"/>
          <w:color w:val="000000"/>
          <w:sz w:val="24"/>
        </w:rPr>
        <w:t xml:space="preserve">), and is made by and between </w:t>
      </w:r>
      <w:r>
        <w:rPr>
          <w:rFonts w:ascii="Times New Roman;serif" w:hAnsi="Times New Roman;serif"/>
          <w:b/>
          <w:color w:val="000000"/>
          <w:sz w:val="24"/>
        </w:rPr>
        <w:t>Chime Financial, Inc.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The Bancorp</w:t>
      </w:r>
      <w:r>
        <w:rPr>
          <w:color w:val="000000"/>
        </w:rPr>
        <w:t xml:space="preserve"> </w:t>
      </w:r>
      <w:r>
        <w:rPr>
          <w:rFonts w:ascii="Times New Roman;serif" w:hAnsi="Times New Roman;serif"/>
          <w:b/>
          <w:color w:val="000000"/>
          <w:sz w:val="24"/>
        </w:rPr>
        <w:t>Bank, N.A.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345 N Reid Pl, Sioux Falls, 57103. Client and Bank are collectively referred to as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Client and Bank entered into the Agreement as of July 1, 2023.        </w:t>
      </w:r>
    </w:p>
    <w:p>
      <w:pPr>
        <w:pStyle w:val="TextBody"/>
        <w:bidi w:val="0"/>
        <w:spacing w:lineRule="auto" w:line="240"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in accordance with the terms and conditions set forth in this Fifth Amendment to the Agreement.                </w:t>
      </w:r>
    </w:p>
    <w:p>
      <w:pPr>
        <w:pStyle w:val="TextBody"/>
        <w:bidi w:val="0"/>
        <w:spacing w:lineRule="auto" w:line="240" w:before="24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3 of the Agreement is hereby amended by adding a new subsection 3.18 as follows:</w:t>
      </w:r>
    </w:p>
    <w:p>
      <w:pPr>
        <w:pStyle w:val="TextBody"/>
        <w:bidi w:val="0"/>
        <w:spacing w:lineRule="auto" w:line="240" w:before="240" w:after="240"/>
        <w:jc w:val="left"/>
        <w:rPr/>
      </w:pPr>
      <w:r>
        <w:rPr>
          <w:color w:val="000000"/>
        </w:rPr>
        <w:t>“</w:t>
      </w:r>
      <w:r>
        <w:rPr>
          <w:rFonts w:ascii="Times New Roman;serif" w:hAnsi="Times New Roman;serif"/>
          <w:b w:val="false"/>
          <w:color w:val="000000"/>
          <w:sz w:val="24"/>
        </w:rPr>
        <w:t xml:space="preserve">3.18 </w:t>
      </w:r>
      <w:r>
        <w:rPr>
          <w:rFonts w:ascii="Times New Roman;serif" w:hAnsi="Times New Roman;serif"/>
          <w:b w:val="false"/>
          <w:color w:val="000000"/>
          <w:sz w:val="24"/>
          <w:u w:val="single"/>
        </w:rPr>
        <w:t>Sales Taxes</w:t>
      </w:r>
      <w:r>
        <w:rPr>
          <w:rFonts w:ascii="Times New Roman;serif" w:hAnsi="Times New Roman;serif"/>
          <w:b w:val="false"/>
          <w:color w:val="000000"/>
          <w:sz w:val="24"/>
        </w:rPr>
        <w:t>. In the event that the Parties mutually determine that sales taxes are required to be collected from Customers in connection with the Program, the Bank shall be responsible for collecting such sales taxes from Customers (in the amounts calculated by Client (or its Bank-approved Subcontractor) pursuant to this Section 3.18) as part of the purchase triggering the sales tax collection obligation. Client (or its Bank-approved Subcontractor) shall be responsible for the sales tax calculation and remittance to the appropriate state and local tax authorities (under Client’s tax ID number(s)), as applicable (the “</w:t>
      </w:r>
      <w:r>
        <w:rPr>
          <w:rFonts w:ascii="Times New Roman;serif" w:hAnsi="Times New Roman;serif"/>
          <w:b/>
          <w:color w:val="000000"/>
          <w:sz w:val="24"/>
        </w:rPr>
        <w:t>Sales Taxes Activities</w:t>
      </w:r>
      <w:r>
        <w:rPr>
          <w:color w:val="000000"/>
        </w:rPr>
        <w:t>”</w:t>
      </w:r>
      <w:r>
        <w:rPr>
          <w:rFonts w:ascii="Times New Roman;serif" w:hAnsi="Times New Roman;serif"/>
          <w:b w:val="false"/>
          <w:color w:val="000000"/>
          <w:sz w:val="24"/>
        </w:rPr>
        <w:t>); provided, that, Bank shall provide commercially reasonable cooperation and assistance with Client’s Sales Taxes Activities, including, but not limited to, providing Client with any information reasonably required by Client to report sales taxes in a timely fashion. Client acknowledges and agrees that its engagement of a third party to conduct the Sales Taxes Activities shall not absolve Client of its obligations hereunder. Client specifically acknowledges and agrees that any Sales Taxes Activities conducted in connection with any Program, whether provided by Client or through a Bank-approved Subcontractor, shall comply with Applicable Law. Notwithstanding anything to the contrary herein, in instances where the Parties mutually determine that the Bank has a legal or regulatory obligation to conduct the Sales Taxes Activities (or a portion thereof), Bank shall assume such obligation (and shall remit applicable sales tax to state and local tax authorities under Bank’s tax ID numbers(s), and Client shall not be responsible for such activities. For the purposes of clarity, Bank and Client have agreed that the sales tax for the purchase of any premium Card including, but not limited to, the metal secured card offered under the Secured Credit Card Addendum will be collected by Bank and remitted to the appropriate state and local tax authorities by Client under Client’s tax ID number(s).”</w:t>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60655"/>
                <wp:effectExtent l="0" t="0" r="0" b="0"/>
                <wp:wrapNone/>
                <wp:docPr id="353" name="Frame3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2.Exhibit A - Schedule 4: Earnings Credits and Discounts on Program Accounts is hereby amended by deleting the first table and replacing it with the following:</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1" w:after="283"/>
        <w:jc w:val="left"/>
        <w:rPr/>
      </w:pPr>
      <w:r>
        <w:rPr/>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3.Exhibit A - Schedule 6: Bank-funded Credit and Liquidity Products is hereby amended by deleting paragraph 2 and replacing it with the following:</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4.The parties agree to amend and supplement certain terms and conditions in the Agreement as herein set forth. All terms and conditions not amended and supplemented by this Fifth Amendment shall remain in full force and effect.</w:t>
      </w:r>
    </w:p>
    <w:p>
      <w:pPr>
        <w:pStyle w:val="TextBody"/>
        <w:bidi w:val="0"/>
        <w:spacing w:before="0" w:after="240"/>
        <w:jc w:val="both"/>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60655"/>
                <wp:effectExtent l="0" t="0" r="0" b="0"/>
                <wp:wrapNone/>
                <wp:docPr id="354" name="Frame3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Fifth Amendment.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CHIME FINANCIAL, INC.                 THE BANCORP BANK,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/s/ Aaron Plante        By: /s/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Aaron Plante        Name: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VP, Banking         Title: EVP</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8/13/2025        Date: 8/13/2025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60655"/>
                <wp:effectExtent l="0" t="0" r="0" b="0"/>
                <wp:wrapNone/>
                <wp:docPr id="355" name="Frame3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SIXTH AMENDMENT TO THE MASTER SERVICES AGREEMENT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Sixth Amendment (“Sixth Amendment”) to the Master Services Agreement dated June 9, 2023 effective as of July 1, 2023 (the “Agreement”) is made and entered into on October 20, 2025 (the “Sixth Amendment Effective Date”), and is made by and between Chime Financial, Inc. (the “Client”) whose principal office is located at 101 California, #500, San Francisco CA 94111 and The Bancorp Bank, N.A. (the “Bank”) a nationally chartered bank with its principal offices at 345 N Reid Pl, Sioux Falls, 57103. Client and Bank are collectively referred to as the “Parties” and are individually referred to as a “Party.” </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Client and Bank entered into the Agreement as of July 1, 2023.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 xml:space="preserve">the Parties wish to amend the Agreement in accordance with the terms and conditions set forth in this Sixth Amendment to the Agreement.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4"/>
        </w:rPr>
        <w:t xml:space="preserve">NOW, THEREFORE, </w:t>
      </w:r>
      <w:r>
        <w:rPr>
          <w:rFonts w:ascii="Times New Roman;serif" w:hAnsi="Times New Roman;serif"/>
          <w:b w:val="false"/>
          <w:color w:val="000000"/>
          <w:sz w:val="24"/>
        </w:rPr>
        <w:t xml:space="preserve">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before="0" w:after="0"/>
        <w:ind w:left="0" w:right="0" w:firstLine="72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1.Any reference to “Credit Builder” shall now be a reference to “Secured Card”. </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“Unfunded Credit Builder Transfer” defined term is hereby retitled to “Unfunded Secured Card Account Transfer”.</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3.The “Unfunded Credit Builder Transfer Fee” defined term is hereby retitled to “Unfunded Secured Card Account Transfer Fee”.</w:t>
      </w:r>
    </w:p>
    <w:p>
      <w:pPr>
        <w:pStyle w:val="TextBody"/>
        <w:bidi w:val="0"/>
        <w:spacing w:lineRule="auto" w:line="319"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4.The parties agree to amend and supplement certain terms and conditions in the Agreement as herein set forth. All terms and conditions not amended and supplemented by this Sixth Amendment shall remain in full force and effect.</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Sixth Amendment.</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CHIME FINANCIAL, INC.                THE BANCORP BANK, N.A</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/s/ Aaron Plante                        By: /s/ Ryan Harris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Aaron Plante                        Name: Ryan Harris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President                         Title: EVP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10/22/2025                        Date: 10/31/2025</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60655"/>
                <wp:effectExtent l="0" t="0" r="0" b="0"/>
                <wp:wrapNone/>
                <wp:docPr id="356" name="Frame3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CHIME FINANCIAL,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(Adopted on February 26, 2025; effective upon effectiveness of the registration statement related to the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Company’s initial public offering)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of Chime Financial, Inc. (together with its affiliates and subsidiaries, the “</w:t>
      </w:r>
      <w:r>
        <w:rPr>
          <w:rFonts w:ascii="Times New Roman;serif" w:hAnsi="Times New Roman;serif"/>
          <w:b/>
          <w:color w:val="000000"/>
          <w:sz w:val="22"/>
        </w:rPr>
        <w:t>Company</w:t>
      </w:r>
      <w:r>
        <w:rPr>
          <w:rFonts w:ascii="Times New Roman;serif" w:hAnsi="Times New Roman;serif"/>
          <w:b w:val="false"/>
          <w:color w:val="000000"/>
          <w:sz w:val="22"/>
        </w:rPr>
        <w:t>,” “</w:t>
      </w:r>
      <w:r>
        <w:rPr>
          <w:rFonts w:ascii="Times New Roman;serif" w:hAnsi="Times New Roman;serif"/>
          <w:b/>
          <w:color w:val="000000"/>
          <w:sz w:val="22"/>
        </w:rPr>
        <w:t>we</w:t>
      </w:r>
      <w:r>
        <w:rPr>
          <w:rFonts w:ascii="Times New Roman;serif" w:hAnsi="Times New Roman;serif"/>
          <w:b w:val="false"/>
          <w:color w:val="000000"/>
          <w:sz w:val="22"/>
        </w:rPr>
        <w:t>,” “</w:t>
      </w:r>
      <w:r>
        <w:rPr>
          <w:rFonts w:ascii="Times New Roman;serif" w:hAnsi="Times New Roman;serif"/>
          <w:b/>
          <w:color w:val="000000"/>
          <w:sz w:val="22"/>
        </w:rPr>
        <w:t>our</w:t>
      </w:r>
      <w:r>
        <w:rPr>
          <w:rFonts w:ascii="Times New Roman;serif" w:hAnsi="Times New Roman;serif"/>
          <w:b w:val="false"/>
          <w:color w:val="000000"/>
          <w:sz w:val="22"/>
        </w:rPr>
        <w:t>,” or “</w:t>
      </w:r>
      <w:r>
        <w:rPr>
          <w:rFonts w:ascii="Times New Roman;serif" w:hAnsi="Times New Roman;serif"/>
          <w:b/>
          <w:color w:val="000000"/>
          <w:sz w:val="22"/>
        </w:rPr>
        <w:t>Chime</w:t>
      </w:r>
      <w:r>
        <w:rPr>
          <w:color w:val="000000"/>
        </w:rPr>
        <w:t>”</w:t>
      </w:r>
      <w:r>
        <w:rPr>
          <w:rFonts w:ascii="Times New Roman;serif" w:hAnsi="Times New Roman;serif"/>
          <w:b w:val="false"/>
          <w:color w:val="000000"/>
          <w:sz w:val="22"/>
        </w:rPr>
        <w:t>) has adopted this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in order to take an active role in the prevention of insider trading violations by our officers, directors, employees, and other related individuals.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Why do we have this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 regular basis we provide you, our employees, with confidential information regarding many aspects of our business. Under federal and state securities laws, it is illegal to trade in the securities of a company while in possession of material nonpublic information about that company. Thus, because our employees will have knowledge of specific confidential information that is not disclosed outside of Chime and which will constitute material nonpublic information, employee trading in our common stock could constitute “insider trading” and violate the law, as could “tipping” (giving material nonpublic information to) others who then trade on the basis of that information. The consequences of insider trading or the tipping of material nonpublic information can be severe. In fact, the person violating the laws, as well as Chime and our individual directors, officers, and other supervisory personnel, may be subject to criminal and civil lawsuits and financial penalties in connection with a violation of the insider trading laws.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Nonpublic information about Chime is subject to your Proprietary Information and Inventions Agreement and any other confidentiality obligations you may be under, and is not to be used or disclosed outside of Chime, except as necessary to perform your job duties. Unauthorized disclosure or use of nonpublic information, including misuse in securities trading, will subject you to disciplinary action, up to and including termination of employment. We have adopted this Policy to comply with the laws governing (i) trading in our common stock while in possession of material nonpublic information concerning Chime and (ii) tipping or disclosing material nonpublic information to outsiders, and in order to prevent the appearance of improper trading or tipping. We reserve the right to prohibit any transaction from being completed to enforce compliance with this Policy.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What is Chime’s policy on Insider Trading?</w:t>
      </w:r>
    </w:p>
    <w:p>
      <w:pPr>
        <w:pStyle w:val="TextBody"/>
        <w:bidi w:val="0"/>
        <w:spacing w:lineRule="auto" w:line="288" w:before="240" w:after="283"/>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2"/>
          <w:u w:val="single"/>
        </w:rPr>
        <w:t>Do not trade on material nonpublic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Whether or not the trading window (as described below) is open and except as discussed in the section titled “</w:t>
      </w:r>
      <w:r>
        <w:rPr>
          <w:rFonts w:ascii="Times New Roman;serif" w:hAnsi="Times New Roman;serif"/>
          <w:b w:val="false"/>
          <w:i/>
          <w:color w:val="000000"/>
          <w:sz w:val="22"/>
        </w:rPr>
        <w:t>Are there any exceptions to this Policy?</w:t>
      </w:r>
      <w:r>
        <w:rPr>
          <w:color w:val="000000"/>
        </w:rPr>
        <w:t xml:space="preserve">” </w:t>
      </w:r>
      <w:r>
        <w:rPr>
          <w:rFonts w:ascii="Times New Roman;serif" w:hAnsi="Times New Roman;serif"/>
          <w:b w:val="false"/>
          <w:color w:val="000000"/>
          <w:sz w:val="22"/>
        </w:rPr>
        <w:t xml:space="preserve">below, you may not, directly or indirectly through others, engage in any transaction involving Chime’s securities </w:t>
      </w:r>
      <w:r>
        <w:rPr>
          <w:rFonts w:ascii="Times New Roman;serif" w:hAnsi="Times New Roman;serif"/>
          <w:b w:val="false"/>
          <w:i/>
          <w:color w:val="000000"/>
          <w:sz w:val="22"/>
        </w:rPr>
        <w:t>while you are aware of</w:t>
      </w:r>
      <w:r>
        <w:rPr>
          <w:color w:val="000000"/>
        </w:rPr>
        <w:t xml:space="preserve"> </w:t>
      </w:r>
      <w:r>
        <w:rPr>
          <w:rFonts w:ascii="Times New Roman;serif" w:hAnsi="Times New Roman;serif"/>
          <w:b w:val="false"/>
          <w:color w:val="000000"/>
          <w:sz w:val="22"/>
        </w:rPr>
        <w:t>material nonpublic information about Chime. Similarly, if you are aware of material nonpublic information about another company through your service with Chime that could be expected to affect the trading price of the securities of another company, you may not, directly or indirectly through others, trade or provide that information to another person in order to trade, in the securities of that other company.</w:t>
      </w:r>
      <w:r>
        <w:rPr>
          <w:color w:val="000000"/>
        </w:rPr>
        <w:t xml:space="preserve"> </w:t>
      </w:r>
      <w:r>
        <w:rPr>
          <w:rFonts w:ascii="Times New Roman;serif" w:hAnsi="Times New Roman;serif"/>
          <w:b w:val="false"/>
          <w:color w:val="000000"/>
          <w:sz w:val="22"/>
        </w:rPr>
        <w:t>It is important to note that “materiality” is different for different companies. Information that is not material to Chime may be material to another company. It is not an excuse that you did not “use” the information in deciding whether or not to engage in the transaction.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2"/>
          <w:u w:val="single"/>
        </w:rPr>
        <w:t xml:space="preserve">Do not disclose material nonpublic information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You may not disclose material nonpublic information concerning Chime or any other company to friends, family members, or any other person or entity not authorized to receive such information, except directly to the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or other government, regulatory, or self-regulatory agency, in each case, in compliance with Chime’s Misconduct Reporting Policy (formerly, Whistleblower Policy). Any nonpublic information you acquire in the course of your service with Chime may only be used for legitimate Chime business purposes. In addition, you are required to handle the nonpublic information of others in accordance with the terms of any relevant nondisclosure agreements, including your Proprietary Information and Inventions Agreement, and any other confidentiality obligations you may be under, and limit your use of the nonpublic information to the purpose for which it was disclosed.</w:t>
      </w:r>
    </w:p>
    <w:p>
      <w:pPr>
        <w:pStyle w:val="TextBody"/>
        <w:bidi w:val="0"/>
        <w:spacing w:lineRule="auto" w:line="288" w:before="24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Even if you are not directly disclosing material nonpublic information, you may not make recommendations or express opinions about securities of a company, Chime or otherwise, based on material nonpublic information about that company. In particular, you may not participate, in any manner other than passive observation, in any Internet “chat” room, message board, or social media platform messaging related to trading in Chime’s securities. You are prohibited from engaging in these actions whether or not you derive any profit or personal benefit from doing so. You should know that third parties are known to contact employees of companies to obtain information about the company under false pretexts.</w:t>
      </w:r>
    </w:p>
    <w:p>
      <w:pPr>
        <w:pStyle w:val="TextBody"/>
        <w:bidi w:val="0"/>
        <w:spacing w:lineRule="auto" w:line="288" w:before="240"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2"/>
          <w:u w:val="single"/>
        </w:rPr>
        <w:t>Do not respond to outside inquiries for information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you receive an inquiry for information from a stock analyst, you should refer the inquiry to Chime’s Investor Relations team. All other inquiries from those outside of Chime should be referred to Chime’s Corporate Affairs team. If you are not sure where to refer an inquiry, please reach out to our General Counsel at generalcounsel@chime.com or his/her designees at trading@chime.com. Responding to a request yourself is a violation of this Policy and, in some circumstances, may be a violation of the law.</w:t>
      </w:r>
    </w:p>
    <w:p>
      <w:pPr>
        <w:pStyle w:val="TextBody"/>
        <w:bidi w:val="0"/>
        <w:spacing w:lineRule="auto" w:line="288" w:before="240" w:after="283"/>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2"/>
          <w:u w:val="single"/>
        </w:rPr>
        <w:t>Take personal responsibility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ultimate responsibility for complying with this Policy and applicable laws rests with you. As we request you do in all aspects of your work with Chime, please use your best judgment at all times and consult with Chime’s General Counsel (the primary “</w:t>
      </w:r>
      <w:r>
        <w:rPr>
          <w:rFonts w:ascii="Times New Roman;serif" w:hAnsi="Times New Roman;serif"/>
          <w:b/>
          <w:color w:val="000000"/>
          <w:sz w:val="22"/>
        </w:rPr>
        <w:t>Compliance Officer</w:t>
      </w:r>
      <w:r>
        <w:rPr>
          <w:color w:val="000000"/>
        </w:rPr>
        <w:t>”</w:t>
      </w:r>
      <w:r>
        <w:rPr>
          <w:rFonts w:ascii="Times New Roman;serif" w:hAnsi="Times New Roman;serif"/>
          <w:b w:val="false"/>
          <w:color w:val="000000"/>
          <w:sz w:val="22"/>
        </w:rPr>
        <w:t xml:space="preserve">) or, where the General Counsel is unavailable, the Chief Financial Officer (who, where the General Counsel is unavailable, shall be a Compliance Officer), and/or your legal and financial advisors, in confidence, if you have questions.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Who does this Policy apply to?</w:t>
      </w:r>
    </w:p>
    <w:p>
      <w:pPr>
        <w:pStyle w:val="TextBody"/>
        <w:bidi w:val="0"/>
        <w:spacing w:lineRule="auto" w:line="288" w:before="220" w:after="283"/>
        <w:ind w:left="0" w:right="0" w:firstLine="720"/>
        <w:jc w:val="both"/>
        <w:rPr/>
      </w:pPr>
      <w:r>
        <w:rPr>
          <w:rFonts w:ascii="Times New Roman;serif" w:hAnsi="Times New Roman;serif"/>
          <w:b w:val="false"/>
          <w:color w:val="000000"/>
          <w:sz w:val="22"/>
        </w:rPr>
        <w:t>This Policy applies to all officers, directors, contractors, consultants, and employees of Chime (or “</w:t>
      </w:r>
      <w:r>
        <w:rPr>
          <w:rFonts w:ascii="Times New Roman;serif" w:hAnsi="Times New Roman;serif"/>
          <w:b/>
          <w:color w:val="000000"/>
          <w:sz w:val="22"/>
        </w:rPr>
        <w:t>you</w:t>
      </w:r>
      <w:r>
        <w:rPr>
          <w:color w:val="000000"/>
        </w:rPr>
        <w:t>”</w:t>
      </w:r>
      <w:r>
        <w:rPr>
          <w:rFonts w:ascii="Times New Roman;serif" w:hAnsi="Times New Roman;serif"/>
          <w:b w:val="false"/>
          <w:color w:val="000000"/>
          <w:sz w:val="22"/>
        </w:rPr>
        <w:t>) upon the commencement of their relationship with Chime. Chime may also determine that other persons should be subject to this Policy.</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References in this Policy to “you” (as well as general references to directors, officers, and employees of Chime) should also be understood to include members of your immediate family, persons with whom you share a household, your dependents, and any other individuals or entities whose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8"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transactions in securities you influence, direct, or control. You are responsible for making sure that these individuals and entities comply with this Policy. </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are expected to comply with this Policy as long as you are employed by Chime, or you hold Chime’s securities, and possess any material nonpublic information about Chime. This means that, even after you cease to be affiliated with Chime, you must continue to abide by the applicable trading restrictions until you no longer have material nonpublic information. In addition, if you are subject to a trading blackout under this Policy at the time you cease to be affiliated with Chime, you are expected to abide by the applicable trading restrictions until at least the end of the relevant blackout period.</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What types of transactions are covered by this Policy?</w:t>
      </w:r>
    </w:p>
    <w:p>
      <w:pPr>
        <w:pStyle w:val="TextBody"/>
        <w:bidi w:val="0"/>
        <w:spacing w:lineRule="auto" w:line="288" w:before="220" w:after="283"/>
        <w:ind w:left="0" w:right="0" w:firstLine="720"/>
        <w:jc w:val="both"/>
        <w:rPr/>
      </w:pPr>
      <w:r>
        <w:rPr>
          <w:rFonts w:ascii="Times New Roman;serif" w:hAnsi="Times New Roman;serif"/>
          <w:b w:val="false"/>
          <w:color w:val="000000"/>
          <w:sz w:val="22"/>
        </w:rPr>
        <w:t xml:space="preserve">This Policy applies to </w:t>
      </w:r>
      <w:r>
        <w:rPr>
          <w:rFonts w:ascii="Times New Roman;serif" w:hAnsi="Times New Roman;serif"/>
          <w:b w:val="false"/>
          <w:i/>
          <w:color w:val="000000"/>
          <w:sz w:val="22"/>
        </w:rPr>
        <w:t>all</w:t>
      </w:r>
      <w:r>
        <w:rPr>
          <w:color w:val="000000"/>
        </w:rPr>
        <w:t xml:space="preserve"> </w:t>
      </w:r>
      <w:r>
        <w:rPr>
          <w:rFonts w:ascii="Times New Roman;serif" w:hAnsi="Times New Roman;serif"/>
          <w:b w:val="false"/>
          <w:color w:val="000000"/>
          <w:sz w:val="22"/>
        </w:rPr>
        <w:t>transactions involving Chime’s securities. This Policy therefore applies to purchases, sales, and other transfers of Chime’s common stock, options, warrants, debt securities, and other securities.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This Policy further applies to any disposition in the form of a gift (including donations) of any securities of the Company. Although there are limited exceptions to this Policy (described in “</w:t>
      </w:r>
      <w:r>
        <w:rPr>
          <w:rFonts w:ascii="Times New Roman;serif" w:hAnsi="Times New Roman;serif"/>
          <w:b w:val="false"/>
          <w:i/>
          <w:color w:val="000000"/>
          <w:sz w:val="22"/>
        </w:rPr>
        <w:t>Are there any exceptions to this Policy</w:t>
      </w:r>
      <w:r>
        <w:rPr>
          <w:rFonts w:ascii="Times New Roman;serif" w:hAnsi="Times New Roman;serif"/>
          <w:b w:val="false"/>
          <w:color w:val="000000"/>
          <w:sz w:val="22"/>
        </w:rPr>
        <w:t>?” below), please note that there are no exceptions from insider trading laws or this Policy based on the size of the transaction (</w:t>
      </w:r>
      <w:r>
        <w:rPr>
          <w:rFonts w:ascii="Times New Roman;serif" w:hAnsi="Times New Roman;serif"/>
          <w:b w:val="false"/>
          <w:i/>
          <w:color w:val="000000"/>
          <w:sz w:val="22"/>
        </w:rPr>
        <w:t>e.g.</w:t>
      </w:r>
      <w:r>
        <w:rPr>
          <w:rFonts w:ascii="Times New Roman;serif" w:hAnsi="Times New Roman;serif"/>
          <w:b w:val="false"/>
          <w:color w:val="000000"/>
          <w:sz w:val="22"/>
        </w:rPr>
        <w:t xml:space="preserve">, this policy applies whether a trade involves one or 10,000 shares of Chime’s common stock). </w:t>
      </w:r>
    </w:p>
    <w:p>
      <w:pPr>
        <w:pStyle w:val="TextBody"/>
        <w:bidi w:val="0"/>
        <w:spacing w:lineRule="auto" w:line="288" w:before="240" w:after="283"/>
        <w:ind w:left="0" w:right="0" w:firstLine="36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Transactions that are Strictly Prohibited or Require Special Consideration</w:t>
      </w:r>
    </w:p>
    <w:p>
      <w:pPr>
        <w:pStyle w:val="TextBody"/>
        <w:bidi w:val="0"/>
        <w:spacing w:lineRule="auto" w:line="288" w:before="240" w:after="283"/>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2"/>
        </w:rPr>
        <w:t>Open orders</w:t>
      </w:r>
      <w:r>
        <w:rPr>
          <w:color w:val="000000"/>
        </w:rPr>
        <w:t xml:space="preserve"> – </w:t>
      </w:r>
      <w:r>
        <w:rPr>
          <w:rFonts w:ascii="Times New Roman;serif" w:hAnsi="Times New Roman;serif"/>
          <w:b w:val="false"/>
          <w:color w:val="000000"/>
          <w:sz w:val="22"/>
        </w:rPr>
        <w:t xml:space="preserve">You should exercise caution when placing open orders, such as limit orders or stop orders, with brokers, particularly where the order is likely to remain outstanding for an extended period of time. </w:t>
      </w:r>
      <w:r>
        <w:rPr>
          <w:rFonts w:ascii="Times New Roman;serif" w:hAnsi="Times New Roman;serif"/>
          <w:b/>
          <w:i/>
          <w:color w:val="000000"/>
          <w:sz w:val="22"/>
        </w:rPr>
        <w:t>Open orders may result in the execution of a trade during a blackout period, which may result in inadvertent insider trading.</w:t>
      </w:r>
      <w:r>
        <w:rPr>
          <w:color w:val="000000"/>
        </w:rPr>
        <w:t xml:space="preserve"> </w:t>
      </w:r>
    </w:p>
    <w:p>
      <w:pPr>
        <w:pStyle w:val="TextBody"/>
        <w:bidi w:val="0"/>
        <w:spacing w:lineRule="auto" w:line="288" w:before="240" w:after="283"/>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2"/>
        </w:rPr>
        <w:t>Short sales</w:t>
      </w:r>
      <w:r>
        <w:rPr>
          <w:color w:val="000000"/>
        </w:rPr>
        <w:t xml:space="preserve"> – </w:t>
      </w:r>
      <w:r>
        <w:rPr>
          <w:rFonts w:ascii="Times New Roman;serif" w:hAnsi="Times New Roman;serif"/>
          <w:b w:val="false"/>
          <w:color w:val="000000"/>
          <w:sz w:val="22"/>
        </w:rPr>
        <w:t>You may not engage in short sales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the sale of a security that must be borrowed to make delivery) or “sell short against the box”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 xml:space="preserve">sell with a delayed delivery) if such sales involve Chime’s securities. Short sales may signal to the market possible bad news about Chime or a general lack of confidence in Chime’s prospects, and an expectation that the value of Chime’s securities will decline. </w:t>
      </w:r>
    </w:p>
    <w:p>
      <w:pPr>
        <w:pStyle w:val="TextBody"/>
        <w:bidi w:val="0"/>
        <w:spacing w:lineRule="auto" w:line="288" w:before="240"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2"/>
        </w:rPr>
        <w:t xml:space="preserve">You may </w:t>
      </w:r>
      <w:r>
        <w:rPr>
          <w:rFonts w:ascii="Times New Roman;serif" w:hAnsi="Times New Roman;serif"/>
          <w:b/>
          <w:color w:val="000000"/>
          <w:sz w:val="22"/>
          <w:u w:val="single"/>
        </w:rPr>
        <w:t>not</w:t>
      </w:r>
      <w:r>
        <w:rPr>
          <w:rFonts w:ascii="Times New Roman;serif" w:hAnsi="Times New Roman;serif"/>
          <w:b w:val="false"/>
          <w:color w:val="000000"/>
          <w:sz w:val="22"/>
        </w:rPr>
        <w:t xml:space="preserve">: </w:t>
      </w:r>
    </w:p>
    <w:p>
      <w:pPr>
        <w:pStyle w:val="TextBody"/>
        <w:bidi w:val="0"/>
        <w:spacing w:lineRule="auto" w:line="288" w:before="240" w:after="283"/>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2"/>
          <w:u w:val="single"/>
        </w:rPr>
        <w:t>Engage in derivative securities or hedging transactions</w:t>
      </w:r>
      <w:r>
        <w:rPr>
          <w:color w:val="000000"/>
        </w:rPr>
        <w:t xml:space="preserve"> – </w:t>
      </w:r>
      <w:r>
        <w:rPr>
          <w:rFonts w:ascii="Times New Roman;serif" w:hAnsi="Times New Roman;serif"/>
          <w:b w:val="false"/>
          <w:color w:val="000000"/>
          <w:sz w:val="22"/>
        </w:rPr>
        <w:t xml:space="preserve">You may not trade in publicly-traded options, such as puts and calls, and other derivative securities with respect to Chime’s securities (other than stock options and other compensatory equity awards issued to you by Chime). This includes any hedging or similar transaction designed to decrease the risks associated with holding Chime’s common stock. </w:t>
      </w:r>
    </w:p>
    <w:p>
      <w:pPr>
        <w:pStyle w:val="TextBody"/>
        <w:bidi w:val="0"/>
        <w:spacing w:lineRule="auto" w:line="288" w:before="240" w:after="283"/>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2"/>
          <w:u w:val="single"/>
        </w:rPr>
        <w:t>Use Chime’s securities as collateral for loans</w:t>
      </w:r>
      <w:r>
        <w:rPr>
          <w:color w:val="000000"/>
        </w:rPr>
        <w:t xml:space="preserve"> – </w:t>
      </w:r>
      <w:r>
        <w:rPr>
          <w:rFonts w:ascii="Times New Roman;serif" w:hAnsi="Times New Roman;serif"/>
          <w:b w:val="false"/>
          <w:color w:val="000000"/>
          <w:sz w:val="22"/>
        </w:rPr>
        <w:t xml:space="preserve">You may not pledge Chime’s securities as collateral for loans.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9"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2"/>
          <w:u w:val="single"/>
        </w:rPr>
        <w:t>Hold Chime’s common stock in margin accounts</w:t>
      </w:r>
      <w:r>
        <w:rPr>
          <w:color w:val="000000"/>
        </w:rPr>
        <w:t xml:space="preserve"> – </w:t>
      </w:r>
      <w:r>
        <w:rPr>
          <w:rFonts w:ascii="Times New Roman;serif" w:hAnsi="Times New Roman;serif"/>
          <w:b w:val="false"/>
          <w:color w:val="000000"/>
          <w:sz w:val="22"/>
        </w:rPr>
        <w:t>You may not hold Chime’s common stock in margin accounts because your broker may sell securities held in the margin account during a blackout period.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WHAT DOES “MATERIAL NONPUBLIC INFORMATION” MEAN?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Information is “material” if a reasonable investor would consider it important in making a decision to buy, sell or retain our common stock. Both positive and negative information may be material. Information is “nonpublic” until it has been widely disseminated to the public (through, for example, a press conference or release) and the public has had a chance to absorb and evaluate 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Examples of information that could be regarded as “material” include the following, although the list is not exclusive: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financial results, financial condition, projections, or forecasts;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plans to launch new products, platform features, or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gain or loss of a substantial business partner;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execution or termination of significant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status of Chime’s progress toward achieving significant goals;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information about new markets we may enter or developments in our existing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changes in regulations or applicable law;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changes in Chime’s auditors;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events regarding the Company’s stock or other securities;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litigation, government investigations, or regulatory inquiries;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technical challenges, such as infrastructure stability or technical scalability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major personnel changes, such as changes in senior management or the Board;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data breaches or other cybersecurity events;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corporate events, such as a pending or proposed acquisition or financing transaction.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Financial information is particularly sensitive. For example, nonpublic information about the results of our operations for even a portion of a quarter might be material in helping an analyst predict our results of operations for the quarter.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Information is “nonpublic” until it has been widely disseminated to the public market and the public has had a chance to absorb and evaluate it. Unless you have seen material information publicly disseminated and a reasonable period of time has elapsed in order to provide the public an opportunity to absorb and evaluate the information, you should assume the information is nonpublic.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 in doubt, you should assume that the information is material and nonpublic. If you have any questions as to whether information should be considered “material” or “nonpublic,” please consult with the Compliance Officer or his/her delegate.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0"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When may I trade in Chime’s common stock?</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Even if you are not in possession of any material nonpublic information, you may only trade in Chime’s common stock if all of the following conditions have been met:</w:t>
      </w:r>
    </w:p>
    <w:p>
      <w:pPr>
        <w:pStyle w:val="TextBody"/>
        <w:bidi w:val="0"/>
        <w:spacing w:lineRule="auto" w:line="288" w:before="160" w:after="283"/>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2"/>
          <w:u w:val="single"/>
        </w:rPr>
        <w:t>Open trading window:</w:t>
      </w:r>
      <w:r>
        <w:rPr>
          <w:color w:val="000000"/>
        </w:rPr>
        <w:t xml:space="preserve"> </w:t>
      </w:r>
      <w:r>
        <w:rPr>
          <w:rFonts w:ascii="Times New Roman;serif" w:hAnsi="Times New Roman;serif"/>
          <w:b w:val="false"/>
          <w:color w:val="000000"/>
          <w:sz w:val="22"/>
        </w:rPr>
        <w:t>You may only engage in transactions involving Chime’s common stock during an open trading window. In addition to regular quarterly blackout periods, there may be additional blackout periods when appropriate due to certain events. We will notify you whenever a special blackout period goes into effect that applies to you. (See “</w:t>
      </w:r>
      <w:r>
        <w:rPr>
          <w:rFonts w:ascii="Times New Roman;serif" w:hAnsi="Times New Roman;serif"/>
          <w:b w:val="false"/>
          <w:i/>
          <w:color w:val="000000"/>
          <w:sz w:val="22"/>
        </w:rPr>
        <w:t>When is our Blackout Period?</w:t>
      </w:r>
      <w:r>
        <w:rPr>
          <w:color w:val="000000"/>
        </w:rPr>
        <w:t xml:space="preserve">” </w:t>
      </w:r>
      <w:r>
        <w:rPr>
          <w:rFonts w:ascii="Times New Roman;serif" w:hAnsi="Times New Roman;serif"/>
          <w:b w:val="false"/>
          <w:color w:val="000000"/>
          <w:sz w:val="22"/>
        </w:rPr>
        <w:t>below.)</w:t>
      </w:r>
    </w:p>
    <w:p>
      <w:pPr>
        <w:pStyle w:val="TextBody"/>
        <w:bidi w:val="0"/>
        <w:spacing w:lineRule="auto" w:line="288" w:before="160" w:after="283"/>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2"/>
          <w:u w:val="single"/>
        </w:rPr>
        <w:t>Pre-clearance</w:t>
      </w:r>
      <w:r>
        <w:rPr>
          <w:rFonts w:ascii="Times New Roman;serif" w:hAnsi="Times New Roman;serif"/>
          <w:b w:val="false"/>
          <w:color w:val="000000"/>
          <w:sz w:val="22"/>
        </w:rPr>
        <w:t>: If you are a member of the Board (“</w:t>
      </w:r>
      <w:r>
        <w:rPr>
          <w:rFonts w:ascii="Times New Roman;serif" w:hAnsi="Times New Roman;serif"/>
          <w:b/>
          <w:color w:val="000000"/>
          <w:sz w:val="22"/>
        </w:rPr>
        <w:t>Directors</w:t>
      </w:r>
      <w:r>
        <w:rPr>
          <w:color w:val="000000"/>
        </w:rPr>
        <w:t>”</w:t>
      </w:r>
      <w:r>
        <w:rPr>
          <w:rFonts w:ascii="Times New Roman;serif" w:hAnsi="Times New Roman;serif"/>
          <w:b w:val="false"/>
          <w:color w:val="000000"/>
          <w:sz w:val="22"/>
        </w:rPr>
        <w:t>) or a member of the executive team (“</w:t>
      </w:r>
      <w:r>
        <w:rPr>
          <w:rFonts w:ascii="Times New Roman;serif" w:hAnsi="Times New Roman;serif"/>
          <w:b/>
          <w:color w:val="000000"/>
          <w:sz w:val="22"/>
        </w:rPr>
        <w:t>Executives</w:t>
      </w:r>
      <w:r>
        <w:rPr>
          <w:color w:val="000000"/>
        </w:rPr>
        <w:t>”</w:t>
      </w:r>
      <w:r>
        <w:rPr>
          <w:rFonts w:ascii="Times New Roman;serif" w:hAnsi="Times New Roman;serif"/>
          <w:b w:val="false"/>
          <w:color w:val="000000"/>
          <w:sz w:val="22"/>
        </w:rPr>
        <w:t>) or a Section 16 officer of Chime, you must receive pre-clearance from the Compliance Officer of your proposed trade. From time to time, Chime may identify other persons who require pre-clearance, and the Compliance Officer will notify you that you are subject to pre-clearance. The Compliance Officer will maintain a list of persons subject to pre-clearance (the “</w:t>
      </w:r>
      <w:r>
        <w:rPr>
          <w:rFonts w:ascii="Times New Roman;serif" w:hAnsi="Times New Roman;serif"/>
          <w:b/>
          <w:color w:val="000000"/>
          <w:sz w:val="22"/>
        </w:rPr>
        <w:t>Pre-Clearance List</w:t>
      </w:r>
      <w:r>
        <w:rPr>
          <w:color w:val="000000"/>
        </w:rPr>
        <w:t>”</w:t>
      </w:r>
      <w:r>
        <w:rPr>
          <w:rFonts w:ascii="Times New Roman;serif" w:hAnsi="Times New Roman;serif"/>
          <w:b w:val="false"/>
          <w:color w:val="000000"/>
          <w:sz w:val="22"/>
        </w:rPr>
        <w:t xml:space="preserve">). The Compliance Officer will determine the manner in which pre-clearance requests are to be submitted and persons on the Pre-Clearance List will be required to certify that they are not in possession of material nonpublic information about the Company. If you are a Compliance Officer, you may not engage in a transaction involving Chime’s common stock unless the other Compliance Officer has pre-cleared the transaction. The Compliance Officer is under no obligation to approve a transaction submitted for pre-clearance and may determine not to permit the transaction. Notwithstanding any pre-clearance, you may not trade in Chime’s securities if you become subject to a trading blackout period or possess material nonpublic information in advance of completing the trade. </w:t>
      </w:r>
    </w:p>
    <w:p>
      <w:pPr>
        <w:pStyle w:val="TextBody"/>
        <w:bidi w:val="0"/>
        <w:spacing w:lineRule="auto" w:line="288" w:before="160"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2"/>
          <w:u w:val="single"/>
        </w:rPr>
        <w:t>10b5-1 Plan</w:t>
      </w:r>
      <w:r>
        <w:rPr>
          <w:rFonts w:ascii="Times New Roman;serif" w:hAnsi="Times New Roman;serif"/>
          <w:b w:val="false"/>
          <w:color w:val="000000"/>
          <w:sz w:val="22"/>
        </w:rPr>
        <w:t>: The SEC has enacted rules that provide an affirmative defense against alleged violations of U.S. federal insider trading laws for transactions made pursuant to trading plans that meet certain requirements, commonly referred to as “10b5-1 trading plans.” These trading plans must be entered into when you are not aware of material nonpublic information, must meet the requirements set forth in Rule 10b5-1 of the Securities Exchange Act of 1934, as amended (“</w:t>
      </w:r>
      <w:r>
        <w:rPr>
          <w:rFonts w:ascii="Times New Roman;serif" w:hAnsi="Times New Roman;serif"/>
          <w:b/>
          <w:color w:val="000000"/>
          <w:sz w:val="22"/>
        </w:rPr>
        <w:t>Rule 10b5-1</w:t>
      </w:r>
      <w:r>
        <w:rPr>
          <w:color w:val="000000"/>
        </w:rPr>
        <w:t>”</w:t>
      </w:r>
      <w:r>
        <w:rPr>
          <w:rFonts w:ascii="Times New Roman;serif" w:hAnsi="Times New Roman;serif"/>
          <w:b w:val="false"/>
          <w:color w:val="000000"/>
          <w:sz w:val="22"/>
        </w:rPr>
        <w:t>), and must meet the guidelines for such 10b5-1 trading plans established by Chime which you may obtain from the Compliance Officer. Transactions made pursuant to a 10b5-1 trading plan are not subject to the restrictions in this Policy, even if you are aware of material nonpublic information at the time of the transaction or a blackout period is in effect.</w:t>
      </w:r>
      <w:r>
        <w:rPr>
          <w:color w:val="000000"/>
          <w:u w:val="single"/>
        </w:rPr>
        <w:t xml:space="preserv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Directors and Section 16 Officers may be required to trade in Chime’s common stock solely via a 10b5-1 trading plan. Executives who are not required to trade via a 10b5-1 trading plan and certain other designated employees are strongly encouraged, should they wish to trade in Chime’s common stock, to do so via a 10b5-1 trading plan. Anyone else desiring to trade via such a plan may also do so in compliance with the specific guidelines established by Chime. Information regarding a trading plan that you may enter may be publicly disclosed, as required by law.</w:t>
      </w:r>
    </w:p>
    <w:p>
      <w:pPr>
        <w:pStyle w:val="TextBody"/>
        <w:bidi w:val="0"/>
        <w:spacing w:lineRule="auto" w:line="288" w:before="160" w:after="283"/>
        <w:ind w:left="0" w:right="0" w:firstLine="720"/>
        <w:jc w:val="both"/>
        <w:rPr/>
      </w:pPr>
      <w:r>
        <w:rPr>
          <w:rFonts w:ascii="Times New Roman;serif" w:hAnsi="Times New Roman;serif"/>
          <w:b w:val="false"/>
          <w:color w:val="000000"/>
          <w:sz w:val="22"/>
        </w:rPr>
        <w:t>If you do not follow the above requirements, you may be subject to disciplinary action, up to and including termination of your relationship with Chime, as well as civil and criminal penalties as described in the section titled “</w:t>
      </w:r>
      <w:r>
        <w:rPr>
          <w:rFonts w:ascii="Times New Roman;serif" w:hAnsi="Times New Roman;serif"/>
          <w:b w:val="false"/>
          <w:i/>
          <w:color w:val="000000"/>
          <w:sz w:val="22"/>
        </w:rPr>
        <w:t>What are the consequences of Insider Trading?</w:t>
      </w:r>
      <w:r>
        <w:rPr>
          <w:color w:val="000000"/>
        </w:rPr>
        <w:t xml:space="preserve">” </w:t>
      </w:r>
      <w:r>
        <w:rPr>
          <w:rFonts w:ascii="Times New Roman;serif" w:hAnsi="Times New Roman;serif"/>
          <w:b w:val="false"/>
          <w:color w:val="000000"/>
          <w:sz w:val="22"/>
        </w:rPr>
        <w:t xml:space="preserve">below.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1"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When is our Blackout Period?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limit the likelihood of trading at times when there is a significant risk of insider trading exposure, Chime has instituted quarterly trading blackout periods and may institute special trading blackout periods from time to time. Whether or not a blackout period is in effect, you must comply with this Policy and may not trade on the basis of material nonpublic information.</w:t>
      </w:r>
    </w:p>
    <w:p>
      <w:pPr>
        <w:pStyle w:val="TextBody"/>
        <w:bidi w:val="0"/>
        <w:spacing w:lineRule="auto" w:line="288"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Quarterly blackout periods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Except as discussed in the section titled “</w:t>
      </w:r>
      <w:r>
        <w:rPr>
          <w:rFonts w:ascii="Times New Roman;serif" w:hAnsi="Times New Roman;serif"/>
          <w:b w:val="false"/>
          <w:i/>
          <w:color w:val="000000"/>
          <w:sz w:val="22"/>
        </w:rPr>
        <w:t>Are there any exceptions to this Policy?</w:t>
      </w:r>
      <w:r>
        <w:rPr>
          <w:color w:val="000000"/>
        </w:rPr>
        <w:t xml:space="preserve">” </w:t>
      </w:r>
      <w:r>
        <w:rPr>
          <w:rFonts w:ascii="Times New Roman;serif" w:hAnsi="Times New Roman;serif"/>
          <w:b w:val="false"/>
          <w:color w:val="000000"/>
          <w:sz w:val="22"/>
        </w:rPr>
        <w:t>Directors, employees and agents may not engage in transactions involving Chime’s common stock during quarterly blackout periods. Quarterly blackout periods begin two (2) weeks before the end of each fiscal quarter and end at the start of the second full trading day following the date of public disclosure of the financial results for that fiscal quarter. This period is a particularly sensitive time for transactions involving Chime’s common stock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lineRule="auto" w:line="288"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Special blackout periods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also implement additional blackout periods when, in the judgment of the Compliance Officer, a trading blackout is warranted. We will generally impose special blackout periods when there are material developments known to us that have not yet been disclosed to the public. For example, we may impose a special blackout period in anticipation of announcing interim earnings guidance or a significant transaction or business development. However, special blackout periods may be declared for any reason.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will notify you in writing or via email if you are subject to a special blackout period. If you receive this notification, you may not disclose to others the fact that you are subject to the special blackout period and may not engage in any transaction involving Chime’s common stock until approved by our Compliance Officer.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ARE THERE ANY EXCEPTIONS TO THIS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Yes, there are limited exceptions to this Policy, which are described below. Please note that there may be instances where you suffer financial harm or other hardship or are otherwise required to forgo a planned transaction because of the restrictions imposed by this Policy. Personal financial emergency or other personal circumstances are not mitigating factors under securities laws and will not excuse a failure to comply with this Policy. </w:t>
      </w:r>
    </w:p>
    <w:p>
      <w:pPr>
        <w:pStyle w:val="TextBody"/>
        <w:bidi w:val="0"/>
        <w:spacing w:lineRule="auto" w:line="288" w:before="240" w:after="283"/>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2"/>
          <w:u w:val="single"/>
        </w:rPr>
        <w:t>Receipt, vesting, and exercise of stock awards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the receipt, vesting, cancellation, repurchase by Chime, or forfeiture of stock options, restricted stock, restricted stock units, or stock appreciation rights or the like issued or offered by Chime, nor do they apply to the exercise of stock options where the purchase price and tax withholding obligations in connection with such stock options are paid in cash or cash equivalents and there is no other associated market activity. However, the trading restrictions do apply to subsequent sales of Chime’s common stock, including any same-day-sale transactions where shares are sold on your behalf on exercise to cover the exercise price and/or tax withholding obligations in connection with your option exercise.</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2"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2"/>
          <w:u w:val="single"/>
        </w:rPr>
        <w:t>Sale or withholding of shares to cover tax withholdings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sell-to-cover transactions where shares are sold on your behalf upon vesting of equity awards or net share withholding with respect to equity awards where shares are withheld by Chime, in either case, in order to satisfy tax withholding obligations, as required by either Chime’s board of directors (or a committee thereof) or the award agreement governing such equity award; however, this exception does not apply to any other market sale for the purposes of paying required withholding.</w:t>
      </w:r>
    </w:p>
    <w:p>
      <w:pPr>
        <w:pStyle w:val="TextBody"/>
        <w:bidi w:val="0"/>
        <w:spacing w:lineRule="auto" w:line="288" w:before="240"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2"/>
          <w:u w:val="single"/>
        </w:rPr>
        <w:t>Purchases from the Chime Employee Stock Purchase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in this Policy do not apply to elections with respect to participation in the Company’s employee stock purchase plan or to purchases of the Company’s common stock under the plan. However, the trading restrictions do apply to subsequent sales of the Company’s common stock.</w:t>
      </w:r>
    </w:p>
    <w:p>
      <w:pPr>
        <w:pStyle w:val="TextBody"/>
        <w:bidi w:val="0"/>
        <w:spacing w:lineRule="auto" w:line="288" w:before="240" w:after="283"/>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2"/>
          <w:u w:val="single"/>
        </w:rPr>
        <w:t>Stock splits, stock dividends and similar transactions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lineRule="auto" w:line="288" w:before="240" w:after="283"/>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2"/>
          <w:u w:val="single"/>
        </w:rPr>
        <w:t>Inheritance or change in form of ownership</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trading restrictions under this Policy do not apply to transfers by will or the laws of descent and distribution or transfers for tax or estate planning purposes in which your beneficial ownership and pecuniary interest in the transferred Chime securities does not change. Some transactions that involve merely a change in the form in which you own securities may be permitted.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2"/>
          <w:u w:val="single"/>
        </w:rPr>
        <w:t>Trades pursuant to a 10b5-1 Trading Plan</w:t>
      </w:r>
    </w:p>
    <w:p>
      <w:pPr>
        <w:pStyle w:val="TextBody"/>
        <w:bidi w:val="0"/>
        <w:spacing w:lineRule="auto" w:line="288" w:before="24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trades made pursuant to a valid 10b5-1 trading plan approved by Chime (see section on 10b5-1 Plan above).</w:t>
      </w:r>
    </w:p>
    <w:p>
      <w:pPr>
        <w:pStyle w:val="TextBody"/>
        <w:bidi w:val="0"/>
        <w:spacing w:lineRule="auto" w:line="288" w:before="240" w:after="283"/>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2"/>
          <w:u w:val="single"/>
        </w:rPr>
        <w:t>Other exceptions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other exception from this Policy must be approved by the Compliance Officer in consultation with the Audit and Risk Committee of the Board.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be aware that even if a transaction falls within one of the exceptions described above, you will need to separately assess whether the transaction complies with applicable law. If you have any questions, please consult with the Compliance Officer.</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What are the consequences of Insider Trading?</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Penalties for violating insider trading laws can include disgorging profit made or loss avoided by trading, paying the loss suffered by the persons who purchased securities from, or sold securities to, the insider tippee, paying civil and/or criminal penalties, and/or serving a jail term. Chime and/or supervisors of the person violating the rules may also be required to pay civil or criminal penalties and could be subject to private lawsuits.</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3"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violation of this Policy is not necessarily a violation of law. In fact, for reasons explained in this Policy, it is not necessary for us to wait for the filing or conclusion of any civil or criminal action against an alleged violator before taking disciplinary action as your employer. In addition, please remember that we may prohibit a transaction from being completed or unwind a transaction to enforce compliance with this Policy and any fees or other costs related to prohibiting or unwinding the transaction will be your responsibility.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What should I do if I suspect that this Policy has been violated?</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Please promptly report violations or suspected violations of this Policy to the Compliance Officer. You may also report via our Whistleblower Hotline at </w:t>
      </w:r>
      <w:r>
        <w:rPr>
          <w:rFonts w:ascii="Times New Roman;serif" w:hAnsi="Times New Roman;serif"/>
          <w:b w:val="false"/>
          <w:color w:val="000000"/>
          <w:sz w:val="22"/>
          <w:shd w:fill="FFFFFF" w:val="clear"/>
        </w:rPr>
        <w:t>chimefinancial.ethicspoint.com</w:t>
      </w:r>
      <w:r>
        <w:rPr>
          <w:color w:val="000000"/>
        </w:rPr>
        <w:t xml:space="preserve"> </w:t>
      </w:r>
      <w:r>
        <w:rPr>
          <w:rFonts w:ascii="Times New Roman;serif" w:hAnsi="Times New Roman;serif"/>
          <w:b w:val="false"/>
          <w:color w:val="000000"/>
          <w:sz w:val="22"/>
        </w:rPr>
        <w:t xml:space="preserve">or by telephone in the U.S.: </w:t>
      </w:r>
      <w:r>
        <w:rPr>
          <w:rFonts w:ascii="Times New Roman;serif" w:hAnsi="Times New Roman;serif"/>
          <w:b w:val="false"/>
          <w:color w:val="000000"/>
          <w:sz w:val="22"/>
          <w:shd w:fill="FFFFFF" w:val="clear"/>
        </w:rPr>
        <w:t>844-988-0460</w:t>
      </w:r>
      <w:r>
        <w:rPr>
          <w:rFonts w:ascii="Times New Roman;serif" w:hAnsi="Times New Roman;serif"/>
          <w:b w:val="false"/>
          <w:color w:val="000000"/>
          <w:sz w:val="22"/>
        </w:rPr>
        <w:t xml:space="preserve">.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Priority of Statutory or Regulatory Trading Restrictions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trading prohibitions and restrictions set forth in this Policy will be superseded by any greater prohibitions or restrictions prescribed by federal or state securities laws and regulations, or contractual restrictions on the sale of securities.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Amendments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Chime is committed to continuously reviewing and updating its policies, and Chime therefore reserves the right to amend this Policy at any time, for any reason, subject to applicable law.</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4"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 (Form S-8 No. 333-287968) pertaining to the 2025 Equity Incentive Plan, 2025 Employee Stock Purchase Plan and Amended and Restated 2012 Stock Option and Grant Plan of Chime Financial, Inc. of our report dated March 5, 2026, with respect to the consolidated financial statements of Chime Financial, Inc. included in this Annual Report (Form 10-K) for the year ended December 31, 2025.</w:t>
      </w:r>
    </w:p>
    <w:p>
      <w:pPr>
        <w:pStyle w:val="TextBody"/>
        <w:bidi w:val="0"/>
        <w:spacing w:lineRule="auto" w:line="300" w:before="0" w:after="160"/>
        <w:jc w:val="both"/>
        <w:rPr>
          <w:color w:val="000000"/>
        </w:rPr>
      </w:pPr>
      <w:r>
        <w:rPr>
          <w:color w:val="000000"/>
        </w:rPr>
        <w:t>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San Francisco, California </w:t>
        <w:br/>
        <w:t>March 5, 2026</w:t>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5"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Britt,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6"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Newcomb,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174" w:type="dxa"/>
        <w:jc w:val="left"/>
        <w:tblInd w:w="0" w:type="dxa"/>
        <w:tblLayout w:type="fixed"/>
        <w:tblCellMar>
          <w:top w:w="28" w:type="dxa"/>
          <w:left w:w="28" w:type="dxa"/>
          <w:bottom w:w="28" w:type="dxa"/>
          <w:right w:w="28" w:type="dxa"/>
        </w:tblCellMar>
      </w:tblPr>
      <w:tblGrid>
        <w:gridCol w:w="222"/>
        <w:gridCol w:w="195"/>
        <w:gridCol w:w="195"/>
        <w:gridCol w:w="195"/>
        <w:gridCol w:w="195"/>
        <w:gridCol w:w="195"/>
        <w:gridCol w:w="195"/>
        <w:gridCol w:w="195"/>
        <w:gridCol w:w="195"/>
        <w:gridCol w:w="109"/>
        <w:gridCol w:w="109"/>
        <w:gridCol w:w="109"/>
        <w:gridCol w:w="109"/>
        <w:gridCol w:w="109"/>
        <w:gridCol w:w="109"/>
        <w:gridCol w:w="109"/>
        <w:gridCol w:w="109"/>
        <w:gridCol w:w="109"/>
        <w:gridCol w:w="256"/>
        <w:gridCol w:w="256"/>
        <w:gridCol w:w="256"/>
        <w:gridCol w:w="256"/>
        <w:gridCol w:w="256"/>
        <w:gridCol w:w="256"/>
        <w:gridCol w:w="256"/>
        <w:gridCol w:w="256"/>
        <w:gridCol w:w="363"/>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1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1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7"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Britt, certify, pursuant to 18 U.S.C. Section 1350, as adopted pursuant to Section 906 of the Sarbanes-Oxley Act of 2002, that the Annual Report on Form 10-K of Chime Financial, Inc. for the fiscal year ended December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Chime Financial, Inc. </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780" w:after="300"/>
        <w:jc w:val="both"/>
        <w:rPr>
          <w:rFonts w:ascii="Times New Roman;serif" w:hAnsi="Times New Roman;serif"/>
          <w:b w:val="false"/>
          <w:color w:val="000000"/>
          <w:sz w:val="20"/>
        </w:rPr>
      </w:pPr>
      <w:r>
        <w:rPr>
          <w:rFonts w:ascii="Times New Roman;serif" w:hAnsi="Times New Roman;serif"/>
          <w:b w:val="false"/>
          <w:color w:val="000000"/>
          <w:sz w:val="20"/>
        </w:rPr>
        <w:t>I, Matthew Newcomb, certify, pursuant to 18 U.S.C. Section 1350, as adopted pursuant to Section 906 of the Sarbanes-Oxley Act of 2002, that the Annual Report on Form 10-K of Chime Financial, Inc. for the fiscal year ended December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Chime Financial, Inc.</w:t>
      </w:r>
    </w:p>
    <w:tbl>
      <w:tblPr>
        <w:tblW w:w="8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97.1</w:t>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8"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CHIME FINANCIAL, INC.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COMPENSATION RECOVERY POLICY</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As adopted on March 26, 2025</w:t>
      </w:r>
    </w:p>
    <w:p>
      <w:pPr>
        <w:pStyle w:val="TextBody"/>
        <w:bidi w:val="0"/>
        <w:spacing w:lineRule="auto" w:line="288" w:before="240" w:after="283"/>
        <w:ind w:left="0" w:right="0" w:firstLine="720"/>
        <w:jc w:val="both"/>
        <w:rPr/>
      </w:pPr>
      <w:r>
        <w:rPr>
          <w:rFonts w:ascii="Times New Roman;serif" w:hAnsi="Times New Roman;serif"/>
          <w:b w:val="false"/>
          <w:color w:val="000000"/>
          <w:sz w:val="22"/>
        </w:rPr>
        <w:t>Chime Financial,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is committed to strong corporate governance. As part of this commitment, the Company’s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has adopted this clawback policy called the Compensation Recovery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The Policy is intended to comply with, and will be interpreted and administered in a manner consistent with, Section 10D of the Securities Exchange Act of 1934 (the “</w:t>
      </w:r>
      <w:r>
        <w:rPr>
          <w:rFonts w:ascii="Times New Roman;serif" w:hAnsi="Times New Roman;serif"/>
          <w:b/>
          <w:color w:val="000000"/>
          <w:sz w:val="22"/>
          <w:shd w:fill="FFFFFF" w:val="clear"/>
        </w:rPr>
        <w:t>Exchange Act</w:t>
      </w:r>
      <w:r>
        <w:rPr>
          <w:color w:val="000000"/>
          <w:shd w:fill="FFFFFF" w:val="clear"/>
        </w:rPr>
        <w:t>”</w:t>
      </w:r>
      <w:r>
        <w:rPr>
          <w:rFonts w:ascii="Times New Roman;serif" w:hAnsi="Times New Roman;serif"/>
          <w:b w:val="false"/>
          <w:color w:val="000000"/>
          <w:sz w:val="22"/>
          <w:shd w:fill="FFFFFF" w:val="clear"/>
        </w:rPr>
        <w:t>), with Exchange Act Rule 10D-1 and with the listing standards of the national securities exchange (the “</w:t>
      </w:r>
      <w:r>
        <w:rPr>
          <w:rFonts w:ascii="Times New Roman;serif" w:hAnsi="Times New Roman;serif"/>
          <w:b/>
          <w:color w:val="000000"/>
          <w:sz w:val="22"/>
          <w:shd w:fill="FFFFFF" w:val="clear"/>
        </w:rPr>
        <w:t>Exchange</w:t>
      </w:r>
      <w:r>
        <w:rPr>
          <w:color w:val="000000"/>
          <w:shd w:fill="FFFFFF" w:val="clear"/>
        </w:rPr>
        <w:t>”</w:t>
      </w:r>
      <w:r>
        <w:rPr>
          <w:rFonts w:ascii="Times New Roman;serif" w:hAnsi="Times New Roman;serif"/>
          <w:b w:val="false"/>
          <w:color w:val="000000"/>
          <w:sz w:val="22"/>
          <w:shd w:fill="FFFFFF" w:val="clear"/>
        </w:rPr>
        <w:t>) on which the securities of the Company are listed,</w:t>
      </w:r>
      <w:r>
        <w:rPr>
          <w:color w:val="FF0000"/>
        </w:rPr>
        <w:t xml:space="preserve"> </w:t>
      </w:r>
      <w:r>
        <w:rPr>
          <w:rFonts w:ascii="Times New Roman;serif" w:hAnsi="Times New Roman;serif"/>
          <w:b w:val="false"/>
          <w:color w:val="000000"/>
          <w:sz w:val="22"/>
          <w:shd w:fill="FFFFFF" w:val="clear"/>
        </w:rPr>
        <w:t xml:space="preserve">including any official interpretive guidance. </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This Policy is effective as of the effective date of the first registration statement that is filed by the Company and declared effective pursuant to Section 12(b) of the Exchange Act with respect to the Company’s securities (the “</w:t>
      </w:r>
      <w:r>
        <w:rPr>
          <w:rFonts w:ascii="Times New Roman;serif" w:hAnsi="Times New Roman;serif"/>
          <w:b/>
          <w:color w:val="000000"/>
          <w:sz w:val="22"/>
          <w:shd w:fill="FFFFFF" w:val="clear"/>
        </w:rPr>
        <w:t>Effective Date</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Persons Covered by the Policy</w:t>
      </w:r>
    </w:p>
    <w:p>
      <w:pPr>
        <w:pStyle w:val="TextBody"/>
        <w:bidi w:val="0"/>
        <w:spacing w:lineRule="auto" w:line="288" w:before="240" w:after="283"/>
        <w:ind w:left="0" w:right="0" w:firstLine="720"/>
        <w:jc w:val="both"/>
        <w:rPr/>
      </w:pPr>
      <w:r>
        <w:rPr>
          <w:rFonts w:ascii="Times New Roman;serif" w:hAnsi="Times New Roman;serif"/>
          <w:b w:val="false"/>
          <w:color w:val="262626"/>
          <w:sz w:val="22"/>
          <w:shd w:fill="FFFFFF" w:val="clear"/>
        </w:rPr>
        <w:t>The Policy is binding and enforceable against all “</w:t>
      </w:r>
      <w:r>
        <w:rPr>
          <w:rFonts w:ascii="Times New Roman;serif" w:hAnsi="Times New Roman;serif"/>
          <w:b/>
          <w:color w:val="262626"/>
          <w:sz w:val="22"/>
          <w:shd w:fill="FFFFFF" w:val="clear"/>
        </w:rPr>
        <w:t>Covered Executives.</w:t>
      </w:r>
      <w:r>
        <w:rPr>
          <w:color w:val="262626"/>
          <w:shd w:fill="FFFFFF" w:val="clear"/>
        </w:rPr>
        <w:t xml:space="preserve">” </w:t>
      </w:r>
      <w:r>
        <w:rPr>
          <w:rFonts w:ascii="Times New Roman;serif" w:hAnsi="Times New Roman;serif"/>
          <w:b w:val="false"/>
          <w:color w:val="262626"/>
          <w:sz w:val="22"/>
          <w:shd w:fill="FFFFFF" w:val="clear"/>
        </w:rPr>
        <w:t>A Covered Executive is each individual who is or was ever designated as an “officer” by the Board in accordance with Exchange Act Rule 16a-1(f) (a “</w:t>
      </w:r>
      <w:r>
        <w:rPr>
          <w:rFonts w:ascii="Times New Roman;serif" w:hAnsi="Times New Roman;serif"/>
          <w:b/>
          <w:color w:val="262626"/>
          <w:sz w:val="22"/>
          <w:shd w:fill="FFFFFF" w:val="clear"/>
        </w:rPr>
        <w:t>Section 16 Officer</w:t>
      </w:r>
      <w:r>
        <w:rPr>
          <w:color w:val="262626"/>
          <w:shd w:fill="FFFFFF" w:val="clear"/>
        </w:rPr>
        <w:t>”</w:t>
      </w:r>
      <w:r>
        <w:rPr>
          <w:rFonts w:ascii="Times New Roman;serif" w:hAnsi="Times New Roman;serif"/>
          <w:b w:val="false"/>
          <w:color w:val="262626"/>
          <w:sz w:val="22"/>
          <w:shd w:fill="FFFFFF" w:val="clear"/>
        </w:rPr>
        <w:t xml:space="preserve">).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 </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Administration of the Policy</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The People, Culture, and Compensation Committee (the “</w:t>
      </w:r>
      <w:r>
        <w:rPr>
          <w:rFonts w:ascii="Times New Roman;serif" w:hAnsi="Times New Roman;serif"/>
          <w:b/>
          <w:color w:val="000000"/>
          <w:sz w:val="22"/>
          <w:shd w:fill="FFFFFF" w:val="clear"/>
        </w:rPr>
        <w:t>Committee</w:t>
      </w:r>
      <w:r>
        <w:rPr>
          <w:color w:val="000000"/>
          <w:shd w:fill="FFFFFF" w:val="clear"/>
        </w:rPr>
        <w:t>”</w:t>
      </w:r>
      <w:r>
        <w:rPr>
          <w:rFonts w:ascii="Times New Roman;serif" w:hAnsi="Times New Roman;serif"/>
          <w:b w:val="false"/>
          <w:color w:val="000000"/>
          <w:sz w:val="22"/>
          <w:shd w:fill="FFFFFF" w:val="clear"/>
        </w:rPr>
        <w:t>) of the Board has full authority to administer the Policy, delegated to it by the Board.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 The Committee shall have authority to adopt rules, regulations and guidelines for administering this Policy.</w:t>
      </w:r>
    </w:p>
    <w:p>
      <w:pPr>
        <w:pStyle w:val="TextBody"/>
        <w:bidi w:val="0"/>
        <w:spacing w:lineRule="auto" w:line="288" w:before="240" w:after="283"/>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making any determination or in taking or not taking any action under this Policy, the Committee may obtain and rely on the advice of experts, including employees of, and professional advisors to, the Company. Any action taken by, or inaction of, the Committee or its delegates relating to or pursuant to this Policy shall be within the absolute discretion of the Committee or its delegates. Such action or inaction of the Committee or its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327660"/>
                <wp:effectExtent l="0" t="0" r="0" b="0"/>
                <wp:wrapNone/>
                <wp:docPr id="369" name="Frame36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delegates shall be conclusive and binding on the Company and any current or former executive officer affected by such action or inaction.</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Accounting Restatements Requiring Application of the Policy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erif" w:hAnsi="Times New Roman;serif"/>
          <w:b/>
          <w:color w:val="000000"/>
          <w:sz w:val="22"/>
        </w:rPr>
        <w:t>Accounting Restatement</w:t>
      </w:r>
      <w:r>
        <w:rPr>
          <w:color w:val="000000"/>
        </w:rPr>
        <w:t>”</w:t>
      </w:r>
      <w:r>
        <w:rPr>
          <w:rFonts w:ascii="Times New Roman;serif" w:hAnsi="Times New Roman;serif"/>
          <w:b w:val="false"/>
          <w:color w:val="000000"/>
          <w:sz w:val="22"/>
        </w:rPr>
        <w:t>), then the Committee must determine the Excess Compensation, if any, that must be recovered. The Company’s obligation to recover Excess Compensation is not dependent on if or when restated financial statements are filed.</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Compensation Covered by the Policy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The Policy applies to certain </w:t>
      </w:r>
      <w:r>
        <w:rPr>
          <w:rFonts w:ascii="Times New Roman;serif" w:hAnsi="Times New Roman;serif"/>
          <w:b/>
          <w:color w:val="000000"/>
          <w:sz w:val="22"/>
        </w:rPr>
        <w:t>Incentive-Based Compensation</w:t>
      </w:r>
      <w:r>
        <w:rPr>
          <w:color w:val="000000"/>
        </w:rPr>
        <w:t xml:space="preserve"> </w:t>
      </w:r>
      <w:r>
        <w:rPr>
          <w:rFonts w:ascii="Times New Roman;serif" w:hAnsi="Times New Roman;serif"/>
          <w:b w:val="false"/>
          <w:color w:val="000000"/>
          <w:sz w:val="22"/>
        </w:rPr>
        <w:t xml:space="preserve">(certain terms used in this Section are defined below) that is </w:t>
      </w:r>
      <w:r>
        <w:rPr>
          <w:rFonts w:ascii="Times New Roman;serif" w:hAnsi="Times New Roman;serif"/>
          <w:b/>
          <w:color w:val="000000"/>
          <w:sz w:val="22"/>
        </w:rPr>
        <w:t>Received</w:t>
      </w:r>
      <w:r>
        <w:rPr>
          <w:color w:val="000000"/>
        </w:rPr>
        <w:t xml:space="preserve"> </w:t>
      </w:r>
      <w:r>
        <w:rPr>
          <w:rFonts w:ascii="Times New Roman;serif" w:hAnsi="Times New Roman;serif"/>
          <w:b w:val="false"/>
          <w:color w:val="000000"/>
          <w:sz w:val="22"/>
        </w:rPr>
        <w:t xml:space="preserve">on or after the Effective Date, during the </w:t>
      </w:r>
      <w:r>
        <w:rPr>
          <w:rFonts w:ascii="Times New Roman;serif" w:hAnsi="Times New Roman;serif"/>
          <w:b/>
          <w:color w:val="000000"/>
          <w:sz w:val="22"/>
        </w:rPr>
        <w:t>Covered Period</w:t>
      </w:r>
      <w:r>
        <w:rPr>
          <w:color w:val="000000"/>
        </w:rPr>
        <w:t xml:space="preserve"> </w:t>
      </w:r>
      <w:r>
        <w:rPr>
          <w:rFonts w:ascii="Times New Roman;serif" w:hAnsi="Times New Roman;serif"/>
          <w:b w:val="false"/>
          <w:color w:val="000000"/>
          <w:sz w:val="22"/>
        </w:rPr>
        <w:t>while the Company has a class of securities listed on a national securities exchange. Such Incentive-Based Compensation is considered “</w:t>
      </w:r>
      <w:r>
        <w:rPr>
          <w:rFonts w:ascii="Times New Roman;serif" w:hAnsi="Times New Roman;serif"/>
          <w:b/>
          <w:color w:val="000000"/>
          <w:sz w:val="22"/>
        </w:rPr>
        <w:t>Clawback Eligible Incentive-Based Compensation</w:t>
      </w:r>
      <w:r>
        <w:rPr>
          <w:color w:val="000000"/>
        </w:rPr>
        <w:t xml:space="preserve">” </w:t>
      </w:r>
      <w:r>
        <w:rPr>
          <w:rFonts w:ascii="Times New Roman;serif" w:hAnsi="Times New Roman;serif"/>
          <w:b w:val="false"/>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Times New Roman;serif" w:hAnsi="Times New Roman;serif"/>
          <w:b/>
          <w:color w:val="000000"/>
          <w:sz w:val="22"/>
        </w:rPr>
        <w:t>Excess Compensation</w:t>
      </w:r>
      <w:r>
        <w:rPr>
          <w:color w:val="000000"/>
        </w:rPr>
        <w:t xml:space="preserve">” </w:t>
      </w:r>
      <w:r>
        <w:rPr>
          <w:rFonts w:ascii="Times New Roman;serif" w:hAnsi="Times New Roman;serif"/>
          <w:b w:val="false"/>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determine the amount of Excess Compensation for Incentive-Based Compensation based on stock price or total shareholder return, where it is not subject to mathematical recalculation directly from the information in an Accounting Restatement, (i) the amount must be based on a reasonable estimate of the effect of the Accounting Restatement on the stock price or total shareholder return upon which the Incentive-Based Compensation was Received and (ii) the Company must maintain documentation of the determination of that reasonable estimate and provide that documentation to the Exchange.</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Incentive-Based Compensation</w:t>
      </w:r>
      <w:r>
        <w:rPr>
          <w:color w:val="000000"/>
        </w:rPr>
        <w:t xml:space="preserve">” </w:t>
      </w:r>
      <w:r>
        <w:rPr>
          <w:rFonts w:ascii="Times New Roman;serif" w:hAnsi="Times New Roman;serif"/>
          <w:b w:val="false"/>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Financial Reporting Measures</w:t>
      </w:r>
      <w:r>
        <w:rPr>
          <w:color w:val="000000"/>
        </w:rPr>
        <w:t xml:space="preserve">” </w:t>
      </w:r>
      <w:r>
        <w:rPr>
          <w:rFonts w:ascii="Times New Roman;serif" w:hAnsi="Times New Roman;serif"/>
          <w:b w:val="false"/>
          <w:color w:val="000000"/>
          <w:sz w:val="22"/>
        </w:rPr>
        <w:t xml:space="preserve">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 </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Incentive-Based Compensation is “</w:t>
      </w:r>
      <w:r>
        <w:rPr>
          <w:rFonts w:ascii="Times New Roman;serif" w:hAnsi="Times New Roman;serif"/>
          <w:b/>
          <w:color w:val="000000"/>
          <w:sz w:val="22"/>
          <w:shd w:fill="FFFFFF" w:val="clear"/>
        </w:rPr>
        <w:t>Received</w:t>
      </w:r>
      <w:r>
        <w:rPr>
          <w:color w:val="000000"/>
          <w:shd w:fill="FFFFFF" w:val="clear"/>
        </w:rPr>
        <w:t xml:space="preserve">” </w:t>
      </w:r>
      <w:r>
        <w:rPr>
          <w:rFonts w:ascii="Times New Roman;serif" w:hAnsi="Times New Roman;serif"/>
          <w:b w:val="false"/>
          <w:color w:val="000000"/>
          <w:sz w:val="22"/>
          <w:shd w:fill="FFFFFF" w:val="clear"/>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60655"/>
                <wp:effectExtent l="0" t="0" r="0" b="0"/>
                <wp:wrapNone/>
                <wp:docPr id="370" name="Frame3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Covered Period</w:t>
      </w:r>
      <w:r>
        <w:rPr>
          <w:color w:val="000000"/>
        </w:rPr>
        <w:t xml:space="preserve">” </w:t>
      </w:r>
      <w:r>
        <w:rPr>
          <w:rFonts w:ascii="Times New Roman;serif" w:hAnsi="Times New Roman;serif"/>
          <w:b w:val="false"/>
          <w:color w:val="000000"/>
          <w:sz w:val="22"/>
        </w:rPr>
        <w:t xml:space="preserve">means the three completed fiscal years immediately preceding the Accounting Restatement Determination Date. In addition, Covered Period can include certain transition periods resulting from a change in the Company’s fiscal year. </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Accounting Restatement Determination Date</w:t>
      </w:r>
      <w:r>
        <w:rPr>
          <w:color w:val="000000"/>
        </w:rPr>
        <w:t xml:space="preserve">” </w:t>
      </w:r>
      <w:r>
        <w:rPr>
          <w:rFonts w:ascii="Times New Roman;serif" w:hAnsi="Times New Roman;serif"/>
          <w:b w:val="false"/>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Repayment of Excess Compensation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in its sole discretion (these determinations do not need to be identical as to each Covered Executive). These means include (but are not limited to):</w:t>
      </w:r>
    </w:p>
    <w:p>
      <w:pPr>
        <w:pStyle w:val="TextBody"/>
        <w:bidi w:val="0"/>
        <w:spacing w:lineRule="auto" w:line="24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(a)requiring reimbursement of cash Incentive-Based Compensation previously paid; </w:t>
      </w:r>
    </w:p>
    <w:p>
      <w:pPr>
        <w:pStyle w:val="TextBody"/>
        <w:bidi w:val="0"/>
        <w:spacing w:lineRule="auto" w:line="24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lineRule="auto" w:line="24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lineRule="auto" w:line="24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(d)cancelling outstanding vested or unvested equity awards (including, but not limited to, time-based vesting awards), without regard to whether such awards are Incentive-Based Compensation; and/or </w:t>
      </w:r>
    </w:p>
    <w:p>
      <w:pPr>
        <w:pStyle w:val="TextBody"/>
        <w:bidi w:val="0"/>
        <w:spacing w:lineRule="auto" w:line="24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(e)taking any other remedial and recovery action permitted by law, as determined by the Committee.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repayment of Excess Compensation must be made by a Covered Executive notwithstanding any Covered Executive’s belief (whether or not legitimate) that the Excess Compensation had been previously earned under applicable law and therefore is not subject to clawback.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60655"/>
                <wp:effectExtent l="0" t="0" r="0" b="0"/>
                <wp:wrapNone/>
                <wp:docPr id="371" name="Frame3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Limited Exceptions to the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lineRule="auto" w:line="240"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lineRule="auto" w:line="240"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(b)Recovery would likely cause an otherwise tax-qualified retirement plan, under which benefits are broadly available to employees of the Company, to fail to meet the legal requirements of 26 U.S.C. 401(a)(13) or 26 U.S.C. 411(a) and regulations thereunder.</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Other Important Information in the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Any right of recovery under this Policy is in addition to, and not in lieu of, any other remedies or rights of recovery, recoupment, forfeiture or offset that may be available to the Company pursuant to the terms of any other applicable Company policy, compensation or benefit plan, agreement or arrangement or other agreement or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there shall be no duplication of recovery of the same compensation. </w:t>
      </w:r>
    </w:p>
    <w:p>
      <w:pPr>
        <w:pStyle w:val="TextBody"/>
        <w:bidi w:val="0"/>
        <w:spacing w:lineRule="auto" w:line="288" w:before="240" w:after="283"/>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Committee or Board may review and modify the Policy from time to time.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60655"/>
                <wp:effectExtent l="0" t="0" r="0" b="0"/>
                <wp:wrapNone/>
                <wp:docPr id="372" name="Frame3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Policy will terminate and no longer be enforceable when the Company ceases to be listed issuer within the meaning of Section 10D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60655"/>
                <wp:effectExtent l="0" t="0" r="0" b="0"/>
                <wp:wrapNone/>
                <wp:docPr id="373" name="Frame3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0"/>
        <w:ind w:left="0" w:right="0" w:hanging="720"/>
        <w:jc w:val="center"/>
        <w:rPr/>
      </w:pPr>
      <w:r>
        <w:rPr>
          <w:color w:val="000000"/>
        </w:rPr>
        <w:t>●</w:t>
      </w:r>
      <w:r>
        <w:rPr>
          <w:rFonts w:ascii="Times New Roman;serif" w:hAnsi="Times New Roman;serif"/>
          <w:b/>
          <w:color w:val="000000"/>
          <w:sz w:val="22"/>
        </w:rPr>
        <w:t>ACKNOWLEDGEMENT</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acknowledge that I have received and read the Compensation Recovery Policy (as it may be amended, restated, supplemented or otherwise modified from time to time,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of Chime Financial,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If it is determined by the Committee (as defined in the Policy) that any amounts granted, awarded, paid or provided to me should be forfeited or reimbursed to the Company or its affiliates, I will promptly take any action necessary to effectuate such forfeiture and/or reimbursement.</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In the event of any conflict between the Policy and the terms of any employment or other agreement to which I am a party, or any compensation or benefit plan, program or arrangement in which I participate, the terms of the Policy will govern.</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acknowledge that if I have questions concerning the meaning or application of the Policy, it is my responsibility to seek guidance from the Chief People Officer, the Chief Compliance Officer, or my own personal advisers.</w:t>
      </w:r>
    </w:p>
    <w:p>
      <w:pPr>
        <w:pStyle w:val="TextBody"/>
        <w:bidi w:val="0"/>
        <w:spacing w:lineRule="auto" w:line="240" w:before="240" w:after="283"/>
        <w:ind w:left="0" w:right="0" w:hanging="720"/>
        <w:jc w:val="both"/>
        <w:rPr/>
      </w:pPr>
      <w:r>
        <w:rPr>
          <w:color w:val="000000"/>
        </w:rPr>
        <w:t>●</w:t>
      </w:r>
      <w:r>
        <w:rPr>
          <w:rFonts w:ascii="Times New Roman;serif" w:hAnsi="Times New Roman;serif"/>
          <w:b w:val="false"/>
          <w:color w:val="000000"/>
          <w:sz w:val="22"/>
        </w:rPr>
        <w:t>I acknowledge that neither this Acknowledgement nor the Policy is meant to constitute an employment contract.</w:t>
      </w:r>
    </w:p>
    <w:tbl>
      <w:tblPr>
        <w:tblW w:w="2744" w:type="dxa"/>
        <w:jc w:val="left"/>
        <w:tblInd w:w="0" w:type="dxa"/>
        <w:tblLayout w:type="fixed"/>
        <w:tblCellMar>
          <w:top w:w="28" w:type="dxa"/>
          <w:left w:w="28" w:type="dxa"/>
          <w:bottom w:w="28" w:type="dxa"/>
          <w:right w:w="28" w:type="dxa"/>
        </w:tblCellMar>
      </w:tblPr>
      <w:tblGrid>
        <w:gridCol w:w="313"/>
        <w:gridCol w:w="275"/>
        <w:gridCol w:w="2156"/>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Covered Executive</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val="false"/>
                <w:i/>
                <w:color w:val="000000"/>
                <w:sz w:val="22"/>
              </w:rPr>
              <w:t>print name</w:t>
            </w:r>
            <w:r>
              <w:rPr>
                <w:rFonts w:ascii="Times New Roman;serif" w:hAnsi="Times New Roman;serif"/>
                <w:b w:val="false"/>
                <w:color w:val="000000"/>
                <w:sz w:val="22"/>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rFonts w:ascii="Times New Roman;serif" w:hAnsi="Times New Roman;serif"/>
                <w:b w:val="false"/>
                <w:color w:val="000000"/>
                <w:sz w:val="22"/>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(date)</w:t>
            </w:r>
          </w:p>
        </w:tc>
      </w:tr>
    </w:tbl>
    <w:p>
      <w:pPr>
        <w:pStyle w:val="TextBody"/>
        <w:bidi w:val="0"/>
        <w:spacing w:before="240" w:after="283"/>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4"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95586/000179558625000009/amendedandrestatedcertif.htm" TargetMode="External"/><Relationship Id="rId5" Type="http://schemas.openxmlformats.org/officeDocument/2006/relationships/hyperlink" Target="https://www.sec.gov/Archives/edgar/data/1795586/000179558625000009/amendedandrestatedbylaws.htm" TargetMode="External"/><Relationship Id="rId6" Type="http://schemas.openxmlformats.org/officeDocument/2006/relationships/hyperlink" Target="https://www.sec.gov/Archives/edgar/data/1795586/000162828025025059/exhibit41-sx1.htm" TargetMode="External"/><Relationship Id="rId7" Type="http://schemas.openxmlformats.org/officeDocument/2006/relationships/hyperlink" Target="https://www.sec.gov/Archives/edgar/data/1795586/000162828025025059/exhibit42-sx1.htm" TargetMode="External"/><Relationship Id="rId8" Type="http://schemas.openxmlformats.org/officeDocument/2006/relationships/hyperlink" Target="https://www.sec.gov/Archives/edgar/data/1795586/000162828025025059/exhibit101-sx1.htm" TargetMode="External"/><Relationship Id="rId9" Type="http://schemas.openxmlformats.org/officeDocument/2006/relationships/hyperlink" Target="https://www.sec.gov/Archives/edgar/data/1795586/000162828025025059/exhibit102-sx1.htm" TargetMode="External"/><Relationship Id="rId10" Type="http://schemas.openxmlformats.org/officeDocument/2006/relationships/hyperlink" Target="https://www.sec.gov/Archives/edgar/data/1795586/000162828025025059/exhibit103-sx1.htm" TargetMode="External"/><Relationship Id="rId11" Type="http://schemas.openxmlformats.org/officeDocument/2006/relationships/hyperlink" Target="https://www.sec.gov/Archives/edgar/data/1795586/000162828025025059/exhibit104-sx1.htm" TargetMode="External"/><Relationship Id="rId12" Type="http://schemas.openxmlformats.org/officeDocument/2006/relationships/hyperlink" Target="https://www.sec.gov/Archives/edgar/data/1795586/000162828025025059/exhibit105-sx1.htm" TargetMode="External"/><Relationship Id="rId13" Type="http://schemas.openxmlformats.org/officeDocument/2006/relationships/hyperlink" Target="https://www.sec.gov/Archives/edgar/data/1795586/000162828025025059/exhibit106-sx1.htm" TargetMode="External"/><Relationship Id="rId14" Type="http://schemas.openxmlformats.org/officeDocument/2006/relationships/hyperlink" Target="https://www.sec.gov/Archives/edgar/data/1795586/000162828025025059/exhibit107-sx1.htm" TargetMode="External"/><Relationship Id="rId15" Type="http://schemas.openxmlformats.org/officeDocument/2006/relationships/hyperlink" Target="https://www.sec.gov/Archives/edgar/data/1795586/000162828025025059/exhibit109-sx1.htm" TargetMode="External"/><Relationship Id="rId16" Type="http://schemas.openxmlformats.org/officeDocument/2006/relationships/hyperlink" Target="https://www.sec.gov/Archives/edgar/data/1795586/000162828025028733/exhibit1010-sx1a.htm" TargetMode="External"/><Relationship Id="rId17" Type="http://schemas.openxmlformats.org/officeDocument/2006/relationships/hyperlink" Target="https://www.sec.gov/Archives/edgar/data/1795586/000162828025028733/exhibit1011-sx1a.htm" TargetMode="External"/><Relationship Id="rId18" Type="http://schemas.openxmlformats.org/officeDocument/2006/relationships/hyperlink" Target="https://www.sec.gov/Archives/edgar/data/1795586/000162828025028733/exhibit1012-sx1a.htm" TargetMode="External"/><Relationship Id="rId19" Type="http://schemas.openxmlformats.org/officeDocument/2006/relationships/hyperlink" Target="https://www.sec.gov/Archives/edgar/data/1795586/000162828025028733/exhibit1013-sx1a.htm" TargetMode="External"/><Relationship Id="rId20" Type="http://schemas.openxmlformats.org/officeDocument/2006/relationships/hyperlink" Target="https://www.sec.gov/Archives/edgar/data/1795586/000162828025028733/exhibit1014-sx1a.htm" TargetMode="External"/><Relationship Id="rId21" Type="http://schemas.openxmlformats.org/officeDocument/2006/relationships/hyperlink" Target="https://www.sec.gov/Archives/edgar/data/1795586/000162828025028733/exhibit1015-sx1a.htm" TargetMode="External"/><Relationship Id="rId22" Type="http://schemas.openxmlformats.org/officeDocument/2006/relationships/hyperlink" Target="https://www.sec.gov/Archives/edgar/data/1795586/000162828025028733/exhibit1016-sx1a.htm" TargetMode="External"/><Relationship Id="rId23" Type="http://schemas.openxmlformats.org/officeDocument/2006/relationships/hyperlink" Target="https://www.sec.gov/Archives/edgar/data/1795586/000162828025025059/exhibit1017-sx1.htm" TargetMode="External"/><Relationship Id="rId24" Type="http://schemas.openxmlformats.org/officeDocument/2006/relationships/hyperlink" Target="https://www.sec.gov/Archives/edgar/data/1795586/000162828025025059/exhibit1018-sx1.htm" TargetMode="External"/><Relationship Id="rId25" Type="http://schemas.openxmlformats.org/officeDocument/2006/relationships/hyperlink" Target="https://www.sec.gov/Archives/edgar/data/1795586/000162828025025059/exhibit1019-sx1.htm" TargetMode="External"/><Relationship Id="rId26" Type="http://schemas.openxmlformats.org/officeDocument/2006/relationships/hyperlink" Target="https://www.sec.gov/Archives/edgar/data/1795586/000162828025025059/exhibit1020-sx1.htm" TargetMode="External"/><Relationship Id="rId27" Type="http://schemas.openxmlformats.org/officeDocument/2006/relationships/hyperlink" Target="https://www.sec.gov/Archives/edgar/data/1795586/000162828025025059/exhibit1022-sx1.htm" TargetMode="External"/><Relationship Id="rId28" Type="http://schemas.openxmlformats.org/officeDocument/2006/relationships/hyperlink" Target="https://www.sec.gov/Archives/edgar/data/1795586/000162828025025059/exhibit1023-sx1.htm" TargetMode="External"/><Relationship Id="rId29" Type="http://schemas.openxmlformats.org/officeDocument/2006/relationships/hyperlink" Target="https://www.sec.gov/Archives/edgar/data/1795586/000162828025025059/exhibit211-sx1.htm" TargetMode="External"/><Relationship Id="rId30" Type="http://schemas.openxmlformats.org/officeDocument/2006/relationships/hyperlink" Target="https://www.sec.gov/Archives/edgar/data/1795586/000162828025025059/exhibit211-sx1.htm" TargetMode="External"/><Relationship Id="rId31" Type="http://schemas.openxmlformats.org/officeDocument/2006/relationships/hyperlink" Target="https://www.sec.gov/Archives/edgar/data/1795586/000162828025025059/exhibit211-sx1.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240</Pages>
  <Words>135558</Words>
  <Characters>751064</Characters>
  <CharactersWithSpaces>884183</CharactersWithSpaces>
  <Paragraphs>6045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