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p>
      <w:pPr>
        <w:pStyle w:val="TextBody"/>
        <w:bidi w:val="0"/>
        <w:spacing w:before="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001-42693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bookmarkStart w:id="0" w:name="i-1"/>
      <w:bookmarkEnd w:id="0"/>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46-0925388</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94111</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(844) 244-6363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56"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As of August 3, 2026, the numbers of shares of the issuer’s Class A and Class B common stock outstanding were 347,019,852 and 31,565,259 and no shares of Class C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960" w:type="dxa"/>
        <w:jc w:val="left"/>
        <w:tblInd w:w="0" w:type="dxa"/>
        <w:tblLayout w:type="fixed"/>
        <w:tblCellMar>
          <w:top w:w="28" w:type="dxa"/>
          <w:left w:w="28" w:type="dxa"/>
          <w:bottom w:w="28" w:type="dxa"/>
          <w:right w:w="28" w:type="dxa"/>
        </w:tblCellMar>
      </w:tblPr>
      <w:tblGrid>
        <w:gridCol w:w="3438"/>
        <w:gridCol w:w="3015"/>
        <w:gridCol w:w="3041"/>
        <w:gridCol w:w="136"/>
        <w:gridCol w:w="136"/>
        <w:gridCol w:w="194"/>
      </w:tblGrid>
      <w:tr>
        <w:trPr/>
        <w:tc>
          <w:tcPr>
            <w:tcW w:w="343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2c1e30391cf4862b6a96c389a613bdf_13">
              <w:r>
                <w:rPr>
                  <w:rStyle w:val="InternetLink"/>
                  <w:rFonts w:ascii="Times New Roman;serif" w:hAnsi="Times New Roman;serif"/>
                  <w:b w:val="false"/>
                  <w:color w:val="0000FF"/>
                  <w:sz w:val="20"/>
                  <w:u w:val="single"/>
                </w:rPr>
                <w:t>Part 1-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right"/>
              <w:rPr/>
            </w:pPr>
            <w:hyperlink w:anchor="ia2c1e30391cf4862b6a96c389a613bdf_13">
              <w:r>
                <w:rPr>
                  <w:rStyle w:val="InternetLink"/>
                  <w:rFonts w:ascii="Times New Roman;serif" w:hAnsi="Times New Roman;serif"/>
                  <w:b w:val="false"/>
                  <w:color w:val="0000FF"/>
                  <w:sz w:val="20"/>
                  <w:u w:val="single"/>
                </w:rPr>
                <w:t>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3">
              <w:r>
                <w:rPr>
                  <w:rStyle w:val="InternetLink"/>
                  <w:rFonts w:ascii="Times New Roman;serif" w:hAnsi="Times New Roman;serif"/>
                  <w:b w:val="false"/>
                  <w:color w:val="0000FF"/>
                  <w:sz w:val="20"/>
                  <w:u w:val="single"/>
                </w:rPr>
                <w:t>Item 1. Financial Statements (unaudited)</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3">
              <w:r>
                <w:rPr>
                  <w:rStyle w:val="InternetLink"/>
                  <w:rFonts w:ascii="Times New Roman;serif" w:hAnsi="Times New Roman;serif"/>
                  <w:b w:val="false"/>
                  <w:color w:val="0000FF"/>
                  <w:sz w:val="20"/>
                  <w:u w:val="single"/>
                </w:rPr>
                <w:t>4</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9">
              <w:r>
                <w:rPr>
                  <w:rStyle w:val="InternetLink"/>
                  <w:rFonts w:ascii="Times New Roman;serif" w:hAnsi="Times New Roman;serif"/>
                  <w:b w:val="false"/>
                  <w:color w:val="0000FF"/>
                  <w:sz w:val="20"/>
                  <w:u w:val="single"/>
                </w:rPr>
                <w:t>Condensed Consolidated Balance Sheets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9">
              <w:r>
                <w:rPr>
                  <w:rStyle w:val="InternetLink"/>
                  <w:rFonts w:ascii="Times New Roman;serif" w:hAnsi="Times New Roman;serif"/>
                  <w:b w:val="false"/>
                  <w:color w:val="0000FF"/>
                  <w:sz w:val="20"/>
                  <w:u w:val="single"/>
                </w:rPr>
                <w:t>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22">
              <w:r>
                <w:rPr>
                  <w:rStyle w:val="InternetLink"/>
                  <w:rFonts w:ascii="Times New Roman;serif" w:hAnsi="Times New Roman;serif"/>
                  <w:b w:val="false"/>
                  <w:color w:val="0000FF"/>
                  <w:sz w:val="20"/>
                  <w:u w:val="single"/>
                </w:rPr>
                <w:t>Condensed Consolidated Statements of Operations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22">
              <w:r>
                <w:rPr>
                  <w:rStyle w:val="InternetLink"/>
                  <w:rFonts w:ascii="Times New Roman;serif" w:hAnsi="Times New Roman;serif"/>
                  <w:b w:val="false"/>
                  <w:color w:val="0000FF"/>
                  <w:sz w:val="20"/>
                  <w:u w:val="single"/>
                </w:rPr>
                <w:t>5</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25">
              <w:r>
                <w:rPr>
                  <w:rStyle w:val="InternetLink"/>
                  <w:rFonts w:ascii="Times New Roman;serif" w:hAnsi="Times New Roman;serif"/>
                  <w:b w:val="false"/>
                  <w:color w:val="0000FF"/>
                  <w:sz w:val="20"/>
                  <w:u w:val="single"/>
                </w:rPr>
                <w:t>Condensed Consolidated Statements of Comprehensive Income (Loss)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25">
              <w:r>
                <w:rPr>
                  <w:rStyle w:val="InternetLink"/>
                  <w:rFonts w:ascii="Times New Roman;serif" w:hAnsi="Times New Roman;serif"/>
                  <w:b w:val="false"/>
                  <w:color w:val="0000FF"/>
                  <w:sz w:val="20"/>
                  <w:u w:val="single"/>
                </w:rPr>
                <w:t>6</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28">
              <w:r>
                <w:rPr>
                  <w:rStyle w:val="InternetLink"/>
                  <w:rFonts w:ascii="Times New Roman;serif" w:hAnsi="Times New Roman;serif"/>
                  <w:b w:val="false"/>
                  <w:color w:val="0000FF"/>
                  <w:sz w:val="20"/>
                  <w:u w:val="single"/>
                </w:rPr>
                <w:t>Condensed Consolidated Statements of Redeemable Convertible Preferred Stock and Stockholders’ Equity (Deficit)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28">
              <w:r>
                <w:rPr>
                  <w:rStyle w:val="InternetLink"/>
                  <w:rFonts w:ascii="Times New Roman;serif" w:hAnsi="Times New Roman;serif"/>
                  <w:b w:val="false"/>
                  <w:color w:val="0000FF"/>
                  <w:sz w:val="20"/>
                  <w:u w:val="single"/>
                </w:rPr>
                <w:t>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31">
              <w:r>
                <w:rPr>
                  <w:rStyle w:val="InternetLink"/>
                  <w:rFonts w:ascii="Times New Roman;serif" w:hAnsi="Times New Roman;serif"/>
                  <w:b w:val="false"/>
                  <w:color w:val="0000FF"/>
                  <w:sz w:val="20"/>
                  <w:u w:val="single"/>
                </w:rPr>
                <w:t xml:space="preserve">Condensed Consolidated Statements of Cash Flows </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31">
              <w:r>
                <w:rPr>
                  <w:rStyle w:val="InternetLink"/>
                  <w:rFonts w:ascii="Times New Roman;serif" w:hAnsi="Times New Roman;serif"/>
                  <w:b w:val="false"/>
                  <w:color w:val="0000FF"/>
                  <w:sz w:val="20"/>
                  <w:u w:val="single"/>
                </w:rPr>
                <w:t>9</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34">
              <w:r>
                <w:rPr>
                  <w:rStyle w:val="InternetLink"/>
                  <w:rFonts w:ascii="Times New Roman;serif" w:hAnsi="Times New Roman;serif"/>
                  <w:b w:val="false"/>
                  <w:color w:val="0000FF"/>
                  <w:sz w:val="20"/>
                  <w:u w:val="single"/>
                </w:rPr>
                <w:t>Notes to Unaudited Condensed Consolidated Financial Statements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34">
              <w:r>
                <w:rPr>
                  <w:rStyle w:val="InternetLink"/>
                  <w:rFonts w:ascii="Times New Roman;serif" w:hAnsi="Times New Roman;serif"/>
                  <w:b w:val="false"/>
                  <w:color w:val="0000FF"/>
                  <w:sz w:val="20"/>
                  <w:u w:val="single"/>
                </w:rPr>
                <w:t>11</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37">
              <w:r>
                <w:rPr>
                  <w:rStyle w:val="InternetLink"/>
                  <w:rFonts w:ascii="Times New Roman;serif" w:hAnsi="Times New Roman;serif"/>
                  <w:b w:val="false"/>
                  <w:color w:val="0000FF"/>
                  <w:sz w:val="20"/>
                  <w:u w:val="single"/>
                </w:rPr>
                <w:t>Note 1 - Organization and Description of Business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37">
              <w:r>
                <w:rPr>
                  <w:rStyle w:val="InternetLink"/>
                  <w:rFonts w:ascii="Times New Roman;serif" w:hAnsi="Times New Roman;serif"/>
                  <w:b w:val="false"/>
                  <w:color w:val="0000FF"/>
                  <w:sz w:val="20"/>
                  <w:u w:val="single"/>
                </w:rPr>
                <w:t>11</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40">
              <w:r>
                <w:rPr>
                  <w:rStyle w:val="InternetLink"/>
                  <w:rFonts w:ascii="Times New Roman;serif" w:hAnsi="Times New Roman;serif"/>
                  <w:b w:val="false"/>
                  <w:color w:val="0000FF"/>
                  <w:sz w:val="20"/>
                  <w:u w:val="single"/>
                </w:rPr>
                <w:t>Note 2 - Basis of Presentation and Summary of Significant Accounting Policies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40">
              <w:r>
                <w:rPr>
                  <w:rStyle w:val="InternetLink"/>
                  <w:rFonts w:ascii="Times New Roman;serif" w:hAnsi="Times New Roman;serif"/>
                  <w:b w:val="false"/>
                  <w:color w:val="0000FF"/>
                  <w:sz w:val="20"/>
                  <w:u w:val="single"/>
                </w:rPr>
                <w:t>11</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43">
              <w:r>
                <w:rPr>
                  <w:rStyle w:val="InternetLink"/>
                  <w:rFonts w:ascii="Times New Roman;serif" w:hAnsi="Times New Roman;serif"/>
                  <w:b w:val="false"/>
                  <w:color w:val="0000FF"/>
                  <w:sz w:val="20"/>
                  <w:u w:val="single"/>
                </w:rPr>
                <w:t>Note 3 - Revenue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43">
              <w:r>
                <w:rPr>
                  <w:rStyle w:val="InternetLink"/>
                  <w:rFonts w:ascii="Times New Roman;serif" w:hAnsi="Times New Roman;serif"/>
                  <w:b w:val="false"/>
                  <w:color w:val="0000FF"/>
                  <w:sz w:val="20"/>
                  <w:u w:val="single"/>
                </w:rPr>
                <w:t>13</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46">
              <w:r>
                <w:rPr>
                  <w:rStyle w:val="InternetLink"/>
                  <w:rFonts w:ascii="Times New Roman;serif" w:hAnsi="Times New Roman;serif"/>
                  <w:b w:val="false"/>
                  <w:color w:val="0000FF"/>
                  <w:sz w:val="20"/>
                  <w:u w:val="single"/>
                </w:rPr>
                <w:t>Note 4 - Fair Value Measurement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46">
              <w:r>
                <w:rPr>
                  <w:rStyle w:val="InternetLink"/>
                  <w:rFonts w:ascii="Times New Roman;serif" w:hAnsi="Times New Roman;serif"/>
                  <w:b w:val="false"/>
                  <w:color w:val="0000FF"/>
                  <w:sz w:val="20"/>
                  <w:u w:val="single"/>
                </w:rPr>
                <w:t>13</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49">
              <w:r>
                <w:rPr>
                  <w:rStyle w:val="InternetLink"/>
                  <w:rFonts w:ascii="Times New Roman;serif" w:hAnsi="Times New Roman;serif"/>
                  <w:b w:val="false"/>
                  <w:color w:val="0000FF"/>
                  <w:sz w:val="20"/>
                  <w:u w:val="single"/>
                </w:rPr>
                <w:t>Note 5 - Marketable Securities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49">
              <w:r>
                <w:rPr>
                  <w:rStyle w:val="InternetLink"/>
                  <w:rFonts w:ascii="Times New Roman;serif" w:hAnsi="Times New Roman;serif"/>
                  <w:b w:val="false"/>
                  <w:color w:val="0000FF"/>
                  <w:sz w:val="20"/>
                  <w:u w:val="single"/>
                </w:rPr>
                <w:t>15</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52">
              <w:r>
                <w:rPr>
                  <w:rStyle w:val="InternetLink"/>
                  <w:rFonts w:ascii="Times New Roman;serif" w:hAnsi="Times New Roman;serif"/>
                  <w:b w:val="false"/>
                  <w:color w:val="0000FF"/>
                  <w:sz w:val="20"/>
                  <w:u w:val="single"/>
                </w:rPr>
                <w:t>Note 6 - Accounts Receivable, Net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52">
              <w:r>
                <w:rPr>
                  <w:rStyle w:val="InternetLink"/>
                  <w:rFonts w:ascii="Times New Roman;serif" w:hAnsi="Times New Roman;serif"/>
                  <w:b w:val="false"/>
                  <w:color w:val="0000FF"/>
                  <w:sz w:val="20"/>
                  <w:u w:val="single"/>
                </w:rPr>
                <w:t>16</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55">
              <w:r>
                <w:rPr>
                  <w:rStyle w:val="InternetLink"/>
                  <w:rFonts w:ascii="Times New Roman;serif" w:hAnsi="Times New Roman;serif"/>
                  <w:b w:val="false"/>
                  <w:color w:val="0000FF"/>
                  <w:sz w:val="20"/>
                  <w:u w:val="single"/>
                </w:rPr>
                <w:t>Note 7 - Loans Held For Investment, Net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55">
              <w:r>
                <w:rPr>
                  <w:rStyle w:val="InternetLink"/>
                  <w:rFonts w:ascii="Times New Roman;serif" w:hAnsi="Times New Roman;serif"/>
                  <w:b w:val="false"/>
                  <w:color w:val="0000FF"/>
                  <w:sz w:val="20"/>
                  <w:u w:val="single"/>
                </w:rPr>
                <w:t>17</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58">
              <w:r>
                <w:rPr>
                  <w:rStyle w:val="InternetLink"/>
                  <w:rFonts w:ascii="Times New Roman;serif" w:hAnsi="Times New Roman;serif"/>
                  <w:b w:val="false"/>
                  <w:color w:val="0000FF"/>
                  <w:sz w:val="20"/>
                  <w:u w:val="single"/>
                </w:rPr>
                <w:t>Note 8 - Credit Obligations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58">
              <w:r>
                <w:rPr>
                  <w:rStyle w:val="InternetLink"/>
                  <w:rFonts w:ascii="Times New Roman;serif" w:hAnsi="Times New Roman;serif"/>
                  <w:b w:val="false"/>
                  <w:color w:val="0000FF"/>
                  <w:sz w:val="20"/>
                  <w:u w:val="single"/>
                </w:rPr>
                <w:t>17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61">
              <w:r>
                <w:rPr>
                  <w:rStyle w:val="InternetLink"/>
                  <w:rFonts w:ascii="Times New Roman;serif" w:hAnsi="Times New Roman;serif"/>
                  <w:b w:val="false"/>
                  <w:color w:val="0000FF"/>
                  <w:sz w:val="20"/>
                  <w:u w:val="single"/>
                </w:rPr>
                <w:t>Note 9 - Property, Equipment, and Software, Net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61">
              <w:r>
                <w:rPr>
                  <w:rStyle w:val="InternetLink"/>
                  <w:rFonts w:ascii="Times New Roman;serif" w:hAnsi="Times New Roman;serif"/>
                  <w:b w:val="false"/>
                  <w:color w:val="0000FF"/>
                  <w:sz w:val="20"/>
                  <w:u w:val="single"/>
                </w:rPr>
                <w:t>19</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64">
              <w:r>
                <w:rPr>
                  <w:rStyle w:val="InternetLink"/>
                  <w:rFonts w:ascii="Times New Roman;serif" w:hAnsi="Times New Roman;serif"/>
                  <w:b w:val="false"/>
                  <w:color w:val="0000FF"/>
                  <w:sz w:val="20"/>
                  <w:u w:val="single"/>
                </w:rPr>
                <w:t>Note 10 - Significant Balance Sheet Components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64">
              <w:r>
                <w:rPr>
                  <w:rStyle w:val="InternetLink"/>
                  <w:rFonts w:ascii="Times New Roman;serif" w:hAnsi="Times New Roman;serif"/>
                  <w:b w:val="false"/>
                  <w:color w:val="0000FF"/>
                  <w:sz w:val="20"/>
                  <w:u w:val="single"/>
                </w:rPr>
                <w:t>19</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67">
              <w:r>
                <w:rPr>
                  <w:rStyle w:val="InternetLink"/>
                  <w:rFonts w:ascii="Times New Roman;serif" w:hAnsi="Times New Roman;serif"/>
                  <w:b w:val="false"/>
                  <w:color w:val="0000FF"/>
                  <w:sz w:val="20"/>
                  <w:u w:val="single"/>
                </w:rPr>
                <w:t>Note 11 - Indebtedness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67">
              <w:r>
                <w:rPr>
                  <w:rStyle w:val="InternetLink"/>
                  <w:rFonts w:ascii="Times New Roman;serif" w:hAnsi="Times New Roman;serif"/>
                  <w:b w:val="false"/>
                  <w:color w:val="0000FF"/>
                  <w:sz w:val="20"/>
                  <w:u w:val="single"/>
                </w:rPr>
                <w:t>20</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694">
              <w:r>
                <w:rPr>
                  <w:rStyle w:val="InternetLink"/>
                  <w:rFonts w:ascii="Times New Roman;serif" w:hAnsi="Times New Roman;serif"/>
                  <w:b w:val="false"/>
                  <w:color w:val="000080"/>
                  <w:sz w:val="20"/>
                  <w:u w:val="single"/>
                </w:rPr>
                <w:t>N</w:t>
              </w:r>
            </w:hyperlink>
            <w:hyperlink w:anchor="ia2c1e30391cf4862b6a96c389a613bdf_694">
              <w:r>
                <w:rPr>
                  <w:rStyle w:val="InternetLink"/>
                  <w:rFonts w:ascii="Times New Roman;serif" w:hAnsi="Times New Roman;serif"/>
                  <w:b w:val="false"/>
                  <w:color w:val="000080"/>
                  <w:sz w:val="20"/>
                  <w:u w:val="single"/>
                </w:rPr>
                <w:t xml:space="preserve">ote 12 - </w:t>
              </w:r>
            </w:hyperlink>
            <w:hyperlink w:anchor="ia2c1e30391cf4862b6a96c389a613bdf_694">
              <w:r>
                <w:rPr>
                  <w:rStyle w:val="InternetLink"/>
                  <w:rFonts w:ascii="Times New Roman;serif" w:hAnsi="Times New Roman;serif"/>
                  <w:b w:val="false"/>
                  <w:color w:val="000080"/>
                  <w:sz w:val="20"/>
                  <w:u w:val="single"/>
                </w:rPr>
                <w:t>Variable Interest Entities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67">
              <w:r>
                <w:rPr>
                  <w:rStyle w:val="InternetLink"/>
                  <w:rFonts w:ascii="Times New Roman;serif" w:hAnsi="Times New Roman;serif"/>
                  <w:b w:val="false"/>
                  <w:color w:val="0000FF"/>
                  <w:sz w:val="20"/>
                  <w:u w:val="single"/>
                </w:rPr>
                <w:t>20</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70">
              <w:r>
                <w:rPr>
                  <w:rStyle w:val="InternetLink"/>
                  <w:rFonts w:ascii="Times New Roman;serif" w:hAnsi="Times New Roman;serif"/>
                  <w:b w:val="false"/>
                  <w:color w:val="000080"/>
                  <w:sz w:val="20"/>
                  <w:u w:val="single"/>
                </w:rPr>
                <w:t>Note 1</w:t>
              </w:r>
            </w:hyperlink>
            <w:hyperlink w:anchor="ia2c1e30391cf4862b6a96c389a613bdf_70">
              <w:r>
                <w:rPr>
                  <w:rStyle w:val="InternetLink"/>
                  <w:rFonts w:ascii="Times New Roman;serif" w:hAnsi="Times New Roman;serif"/>
                  <w:b w:val="false"/>
                  <w:color w:val="000080"/>
                  <w:sz w:val="20"/>
                  <w:u w:val="single"/>
                </w:rPr>
                <w:t>3</w:t>
              </w:r>
            </w:hyperlink>
            <w:hyperlink w:anchor="ia2c1e30391cf4862b6a96c389a613bdf_70">
              <w:r>
                <w:rPr>
                  <w:rStyle w:val="InternetLink"/>
                  <w:rFonts w:ascii="Times New Roman;serif" w:hAnsi="Times New Roman;serif"/>
                  <w:b w:val="false"/>
                  <w:color w:val="000080"/>
                  <w:sz w:val="20"/>
                  <w:u w:val="single"/>
                </w:rPr>
                <w:t xml:space="preserve"> - Common Stock and Stockholders’ Equity</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70">
              <w:r>
                <w:rPr>
                  <w:rStyle w:val="InternetLink"/>
                  <w:rFonts w:ascii="Times New Roman;serif" w:hAnsi="Times New Roman;serif"/>
                  <w:b w:val="false"/>
                  <w:color w:val="0000FF"/>
                  <w:sz w:val="20"/>
                  <w:u w:val="single"/>
                </w:rPr>
                <w:t>21</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76">
              <w:r>
                <w:rPr>
                  <w:rStyle w:val="InternetLink"/>
                  <w:rFonts w:ascii="Times New Roman;serif" w:hAnsi="Times New Roman;serif"/>
                  <w:b w:val="false"/>
                  <w:color w:val="000080"/>
                  <w:sz w:val="20"/>
                  <w:u w:val="single"/>
                </w:rPr>
                <w:t>Note 1</w:t>
              </w:r>
            </w:hyperlink>
            <w:hyperlink w:anchor="ia2c1e30391cf4862b6a96c389a613bdf_76">
              <w:r>
                <w:rPr>
                  <w:rStyle w:val="InternetLink"/>
                  <w:rFonts w:ascii="Times New Roman;serif" w:hAnsi="Times New Roman;serif"/>
                  <w:b w:val="false"/>
                  <w:color w:val="000080"/>
                  <w:sz w:val="20"/>
                  <w:u w:val="single"/>
                </w:rPr>
                <w:t>4</w:t>
              </w:r>
            </w:hyperlink>
            <w:hyperlink w:anchor="ia2c1e30391cf4862b6a96c389a613bdf_76">
              <w:r>
                <w:rPr>
                  <w:rStyle w:val="InternetLink"/>
                  <w:rFonts w:ascii="Times New Roman;serif" w:hAnsi="Times New Roman;serif"/>
                  <w:b w:val="false"/>
                  <w:color w:val="000080"/>
                  <w:sz w:val="20"/>
                  <w:u w:val="single"/>
                </w:rPr>
                <w:t xml:space="preserve"> - Stock-Based Compensation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76">
              <w:r>
                <w:rPr>
                  <w:rStyle w:val="InternetLink"/>
                  <w:rFonts w:ascii="Times New Roman;serif" w:hAnsi="Times New Roman;serif"/>
                  <w:b w:val="false"/>
                  <w:color w:val="0000FF"/>
                  <w:sz w:val="20"/>
                  <w:u w:val="single"/>
                </w:rPr>
                <w:t>22</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79">
              <w:r>
                <w:rPr>
                  <w:rStyle w:val="InternetLink"/>
                  <w:rFonts w:ascii="Times New Roman;serif" w:hAnsi="Times New Roman;serif"/>
                  <w:b w:val="false"/>
                  <w:color w:val="0000FF"/>
                  <w:sz w:val="20"/>
                  <w:u w:val="single"/>
                </w:rPr>
                <w:t>Note 15 - Net Income (Loss) Per Share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79">
              <w:r>
                <w:rPr>
                  <w:rStyle w:val="InternetLink"/>
                  <w:rFonts w:ascii="Times New Roman;serif" w:hAnsi="Times New Roman;serif"/>
                  <w:b w:val="false"/>
                  <w:color w:val="0000FF"/>
                  <w:sz w:val="20"/>
                  <w:u w:val="single"/>
                </w:rPr>
                <w:t>25</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82">
              <w:r>
                <w:rPr>
                  <w:rStyle w:val="InternetLink"/>
                  <w:rFonts w:ascii="Times New Roman;serif" w:hAnsi="Times New Roman;serif"/>
                  <w:b w:val="false"/>
                  <w:color w:val="000080"/>
                  <w:sz w:val="20"/>
                  <w:u w:val="single"/>
                </w:rPr>
                <w:t>Note 1</w:t>
              </w:r>
            </w:hyperlink>
            <w:hyperlink w:anchor="ia2c1e30391cf4862b6a96c389a613bdf_82">
              <w:r>
                <w:rPr>
                  <w:rStyle w:val="InternetLink"/>
                  <w:rFonts w:ascii="Times New Roman;serif" w:hAnsi="Times New Roman;serif"/>
                  <w:b w:val="false"/>
                  <w:color w:val="000080"/>
                  <w:sz w:val="20"/>
                  <w:u w:val="single"/>
                </w:rPr>
                <w:t>6</w:t>
              </w:r>
            </w:hyperlink>
            <w:hyperlink w:anchor="ia2c1e30391cf4862b6a96c389a613bdf_82">
              <w:r>
                <w:rPr>
                  <w:rStyle w:val="InternetLink"/>
                  <w:rFonts w:ascii="Times New Roman;serif" w:hAnsi="Times New Roman;serif"/>
                  <w:b w:val="false"/>
                  <w:color w:val="000080"/>
                  <w:sz w:val="20"/>
                  <w:u w:val="single"/>
                </w:rPr>
                <w:t xml:space="preserve"> - Related Party Transactions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82">
              <w:r>
                <w:rPr>
                  <w:rStyle w:val="InternetLink"/>
                  <w:rFonts w:ascii="Times New Roman;serif" w:hAnsi="Times New Roman;serif"/>
                  <w:b w:val="false"/>
                  <w:color w:val="0000FF"/>
                  <w:sz w:val="20"/>
                  <w:u w:val="single"/>
                </w:rPr>
                <w:t>28</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85">
              <w:r>
                <w:rPr>
                  <w:rStyle w:val="InternetLink"/>
                  <w:rFonts w:ascii="Times New Roman;serif" w:hAnsi="Times New Roman;serif"/>
                  <w:b w:val="false"/>
                  <w:color w:val="000080"/>
                  <w:sz w:val="20"/>
                  <w:u w:val="single"/>
                </w:rPr>
                <w:t>Note 1</w:t>
              </w:r>
            </w:hyperlink>
            <w:hyperlink w:anchor="ia2c1e30391cf4862b6a96c389a613bdf_85">
              <w:r>
                <w:rPr>
                  <w:rStyle w:val="InternetLink"/>
                  <w:rFonts w:ascii="Times New Roman;serif" w:hAnsi="Times New Roman;serif"/>
                  <w:b w:val="false"/>
                  <w:color w:val="000080"/>
                  <w:sz w:val="20"/>
                  <w:u w:val="single"/>
                </w:rPr>
                <w:t>7</w:t>
              </w:r>
            </w:hyperlink>
            <w:hyperlink w:anchor="ia2c1e30391cf4862b6a96c389a613bdf_85">
              <w:r>
                <w:rPr>
                  <w:rStyle w:val="InternetLink"/>
                  <w:rFonts w:ascii="Times New Roman;serif" w:hAnsi="Times New Roman;serif"/>
                  <w:b w:val="false"/>
                  <w:color w:val="000080"/>
                  <w:sz w:val="20"/>
                  <w:u w:val="single"/>
                </w:rPr>
                <w:t xml:space="preserve"> - Income Taxes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85">
              <w:r>
                <w:rPr>
                  <w:rStyle w:val="InternetLink"/>
                  <w:rFonts w:ascii="Times New Roman;serif" w:hAnsi="Times New Roman;serif"/>
                  <w:b w:val="false"/>
                  <w:color w:val="0000FF"/>
                  <w:sz w:val="20"/>
                  <w:u w:val="single"/>
                </w:rPr>
                <w:t>28</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88">
              <w:r>
                <w:rPr>
                  <w:rStyle w:val="InternetLink"/>
                  <w:rFonts w:ascii="Times New Roman;serif" w:hAnsi="Times New Roman;serif"/>
                  <w:b w:val="false"/>
                  <w:color w:val="000080"/>
                  <w:sz w:val="20"/>
                  <w:u w:val="single"/>
                </w:rPr>
                <w:t>Note 1</w:t>
              </w:r>
            </w:hyperlink>
            <w:hyperlink w:anchor="ia2c1e30391cf4862b6a96c389a613bdf_88">
              <w:r>
                <w:rPr>
                  <w:rStyle w:val="InternetLink"/>
                  <w:rFonts w:ascii="Times New Roman;serif" w:hAnsi="Times New Roman;serif"/>
                  <w:b w:val="false"/>
                  <w:color w:val="000080"/>
                  <w:sz w:val="20"/>
                  <w:u w:val="single"/>
                </w:rPr>
                <w:t>8</w:t>
              </w:r>
            </w:hyperlink>
            <w:hyperlink w:anchor="ia2c1e30391cf4862b6a96c389a613bdf_88">
              <w:r>
                <w:rPr>
                  <w:rStyle w:val="InternetLink"/>
                  <w:rFonts w:ascii="Times New Roman;serif" w:hAnsi="Times New Roman;serif"/>
                  <w:b w:val="false"/>
                  <w:color w:val="000080"/>
                  <w:sz w:val="20"/>
                  <w:u w:val="single"/>
                </w:rPr>
                <w:t xml:space="preserve"> - Commitments and Contingencies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88">
              <w:r>
                <w:rPr>
                  <w:rStyle w:val="InternetLink"/>
                  <w:rFonts w:ascii="Times New Roman;serif" w:hAnsi="Times New Roman;serif"/>
                  <w:b w:val="false"/>
                  <w:color w:val="0000FF"/>
                  <w:sz w:val="20"/>
                  <w:u w:val="single"/>
                </w:rPr>
                <w:t>29</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91">
              <w:r>
                <w:rPr>
                  <w:rStyle w:val="InternetLink"/>
                  <w:rFonts w:ascii="Times New Roman;serif" w:hAnsi="Times New Roman;serif"/>
                  <w:b w:val="false"/>
                  <w:color w:val="000080"/>
                  <w:sz w:val="20"/>
                  <w:u w:val="single"/>
                </w:rPr>
                <w:t>Note 1</w:t>
              </w:r>
            </w:hyperlink>
            <w:hyperlink w:anchor="ia2c1e30391cf4862b6a96c389a613bdf_91">
              <w:r>
                <w:rPr>
                  <w:rStyle w:val="InternetLink"/>
                  <w:rFonts w:ascii="Times New Roman;serif" w:hAnsi="Times New Roman;serif"/>
                  <w:b w:val="false"/>
                  <w:color w:val="000080"/>
                  <w:sz w:val="20"/>
                  <w:u w:val="single"/>
                </w:rPr>
                <w:t>9</w:t>
              </w:r>
            </w:hyperlink>
            <w:hyperlink w:anchor="ia2c1e30391cf4862b6a96c389a613bdf_91">
              <w:r>
                <w:rPr>
                  <w:rStyle w:val="InternetLink"/>
                  <w:rFonts w:ascii="Times New Roman;serif" w:hAnsi="Times New Roman;serif"/>
                  <w:b w:val="false"/>
                  <w:color w:val="000080"/>
                  <w:sz w:val="20"/>
                  <w:u w:val="single"/>
                </w:rPr>
                <w:t xml:space="preserve"> - Subsequent Event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91">
              <w:r>
                <w:rPr>
                  <w:rStyle w:val="InternetLink"/>
                  <w:rFonts w:ascii="Times New Roman;serif" w:hAnsi="Times New Roman;serif"/>
                  <w:b w:val="false"/>
                  <w:color w:val="0000FF"/>
                  <w:sz w:val="20"/>
                  <w:u w:val="single"/>
                </w:rPr>
                <w:t>29</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94">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94">
              <w:r>
                <w:rPr>
                  <w:rStyle w:val="InternetLink"/>
                  <w:rFonts w:ascii="Times New Roman;serif" w:hAnsi="Times New Roman;serif"/>
                  <w:b w:val="false"/>
                  <w:color w:val="0000FF"/>
                  <w:sz w:val="20"/>
                  <w:u w:val="single"/>
                </w:rPr>
                <w:t>31</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18">
              <w:r>
                <w:rPr>
                  <w:rStyle w:val="InternetLink"/>
                  <w:rFonts w:ascii="Times New Roman;serif" w:hAnsi="Times New Roman;serif"/>
                  <w:b w:val="false"/>
                  <w:color w:val="0000FF"/>
                  <w:sz w:val="20"/>
                  <w:u w:val="single"/>
                </w:rPr>
                <w:t>Item 3. Quantitative and Qualitative Disclosures About Market Risk</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18">
              <w:r>
                <w:rPr>
                  <w:rStyle w:val="InternetLink"/>
                  <w:rFonts w:ascii="Times New Roman;serif" w:hAnsi="Times New Roman;serif"/>
                  <w:b w:val="false"/>
                  <w:color w:val="0000FF"/>
                  <w:sz w:val="20"/>
                  <w:u w:val="single"/>
                </w:rPr>
                <w:t>45</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21">
              <w:r>
                <w:rPr>
                  <w:rStyle w:val="InternetLink"/>
                  <w:rFonts w:ascii="Times New Roman;serif" w:hAnsi="Times New Roman;serif"/>
                  <w:b w:val="false"/>
                  <w:color w:val="0000FF"/>
                  <w:sz w:val="20"/>
                  <w:u w:val="single"/>
                </w:rPr>
                <w:t>Item 4. Controls and Procedures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21">
              <w:r>
                <w:rPr>
                  <w:rStyle w:val="InternetLink"/>
                  <w:rFonts w:ascii="Times New Roman;serif" w:hAnsi="Times New Roman;serif"/>
                  <w:b w:val="false"/>
                  <w:color w:val="0000FF"/>
                  <w:sz w:val="20"/>
                  <w:u w:val="single"/>
                </w:rPr>
                <w:t>46</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2c1e30391cf4862b6a96c389a613bdf_124">
              <w:r>
                <w:rPr>
                  <w:rStyle w:val="InternetLink"/>
                  <w:rFonts w:ascii="Times New Roman;serif" w:hAnsi="Times New Roman;serif"/>
                  <w:b w:val="false"/>
                  <w:color w:val="0000FF"/>
                  <w:sz w:val="20"/>
                  <w:u w:val="single"/>
                </w:rPr>
                <w:t>Part II - Other Information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24">
              <w:r>
                <w:rPr>
                  <w:rStyle w:val="InternetLink"/>
                  <w:rFonts w:ascii="Times New Roman;serif" w:hAnsi="Times New Roman;serif"/>
                  <w:b w:val="false"/>
                  <w:color w:val="0000FF"/>
                  <w:sz w:val="20"/>
                  <w:u w:val="single"/>
                </w:rPr>
                <w:t>47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27">
              <w:r>
                <w:rPr>
                  <w:rStyle w:val="InternetLink"/>
                  <w:rFonts w:ascii="Times New Roman;serif" w:hAnsi="Times New Roman;serif"/>
                  <w:b w:val="false"/>
                  <w:color w:val="0000FF"/>
                  <w:sz w:val="20"/>
                  <w:u w:val="single"/>
                </w:rPr>
                <w:t>Item 1. Legal Proceedings.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27">
              <w:r>
                <w:rPr>
                  <w:rStyle w:val="InternetLink"/>
                  <w:rFonts w:ascii="Times New Roman;serif" w:hAnsi="Times New Roman;serif"/>
                  <w:b w:val="false"/>
                  <w:color w:val="0000FF"/>
                  <w:sz w:val="20"/>
                  <w:u w:val="single"/>
                </w:rPr>
                <w:t>47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30">
              <w:r>
                <w:rPr>
                  <w:rStyle w:val="InternetLink"/>
                  <w:rFonts w:ascii="Times New Roman;serif" w:hAnsi="Times New Roman;serif"/>
                  <w:b w:val="false"/>
                  <w:color w:val="0000FF"/>
                  <w:sz w:val="20"/>
                  <w:u w:val="single"/>
                </w:rPr>
                <w:t>Item 1A. Risk Factors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30">
              <w:r>
                <w:rPr>
                  <w:rStyle w:val="InternetLink"/>
                  <w:rFonts w:ascii="Times New Roman;serif" w:hAnsi="Times New Roman;serif"/>
                  <w:b w:val="false"/>
                  <w:color w:val="0000FF"/>
                  <w:sz w:val="20"/>
                  <w:u w:val="single"/>
                </w:rPr>
                <w:t>48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33">
              <w:r>
                <w:rPr>
                  <w:rStyle w:val="InternetLink"/>
                  <w:rFonts w:ascii="Times New Roman;serif" w:hAnsi="Times New Roman;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33">
              <w:r>
                <w:rPr>
                  <w:rStyle w:val="InternetLink"/>
                  <w:rFonts w:ascii="Times New Roman;serif" w:hAnsi="Times New Roman;serif"/>
                  <w:b w:val="false"/>
                  <w:color w:val="0000FF"/>
                  <w:sz w:val="20"/>
                  <w:u w:val="single"/>
                </w:rPr>
                <w:t>97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36">
              <w:r>
                <w:rPr>
                  <w:rStyle w:val="InternetLink"/>
                  <w:rFonts w:ascii="Times New Roman;serif" w:hAnsi="Times New Roman;serif"/>
                  <w:b w:val="false"/>
                  <w:color w:val="0000FF"/>
                  <w:sz w:val="20"/>
                  <w:u w:val="single"/>
                </w:rPr>
                <w:t>Item 3. Defaults Upon Senior Securities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36">
              <w:r>
                <w:rPr>
                  <w:rStyle w:val="InternetLink"/>
                  <w:rFonts w:ascii="Times New Roman;serif" w:hAnsi="Times New Roman;serif"/>
                  <w:b w:val="false"/>
                  <w:color w:val="0000FF"/>
                  <w:sz w:val="20"/>
                  <w:u w:val="single"/>
                </w:rPr>
                <w:t>98</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39">
              <w:r>
                <w:rPr>
                  <w:rStyle w:val="InternetLink"/>
                  <w:rFonts w:ascii="Times New Roman;serif" w:hAnsi="Times New Roman;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39">
              <w:r>
                <w:rPr>
                  <w:rStyle w:val="InternetLink"/>
                  <w:rFonts w:ascii="Times New Roman;serif" w:hAnsi="Times New Roman;serif"/>
                  <w:b w:val="false"/>
                  <w:color w:val="0000FF"/>
                  <w:sz w:val="20"/>
                  <w:u w:val="single"/>
                </w:rPr>
                <w:t>98</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42">
              <w:r>
                <w:rPr>
                  <w:rStyle w:val="InternetLink"/>
                  <w:rFonts w:ascii="Times New Roman;serif" w:hAnsi="Times New Roman;serif"/>
                  <w:b w:val="false"/>
                  <w:color w:val="0000FF"/>
                  <w:sz w:val="20"/>
                  <w:u w:val="single"/>
                </w:rPr>
                <w:t>Item 5. Other Information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42">
              <w:r>
                <w:rPr>
                  <w:rStyle w:val="InternetLink"/>
                  <w:rFonts w:ascii="Times New Roman;serif" w:hAnsi="Times New Roman;serif"/>
                  <w:b w:val="false"/>
                  <w:color w:val="0000FF"/>
                  <w:sz w:val="20"/>
                  <w:u w:val="single"/>
                </w:rPr>
                <w:t>99</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2c1e30391cf4862b6a96c389a613bdf_148">
              <w:r>
                <w:rPr>
                  <w:rStyle w:val="InternetLink"/>
                  <w:rFonts w:ascii="Times New Roman;serif" w:hAnsi="Times New Roman;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48">
              <w:r>
                <w:rPr>
                  <w:rStyle w:val="InternetLink"/>
                  <w:rFonts w:ascii="Times New Roman;serif" w:hAnsi="Times New Roman;serif"/>
                  <w:b w:val="false"/>
                  <w:color w:val="0000FF"/>
                  <w:sz w:val="20"/>
                  <w:u w:val="single"/>
                </w:rPr>
                <w:t>100</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a2c1e30391cf4862b6a96c389a613bdf_151">
              <w:r>
                <w:rPr>
                  <w:rStyle w:val="InternetLink"/>
                  <w:rFonts w:ascii="Times New Roman;serif" w:hAnsi="Times New Roman;serif"/>
                  <w:b w:val="false"/>
                  <w:color w:val="0000FF"/>
                  <w:sz w:val="20"/>
                  <w:u w:val="single"/>
                </w:rPr>
                <w:t>Signatures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2c1e30391cf4862b6a96c389a613bdf_151">
              <w:r>
                <w:rPr>
                  <w:rStyle w:val="InternetLink"/>
                  <w:rFonts w:ascii="Times New Roman;serif" w:hAnsi="Times New Roman;serif"/>
                  <w:b w:val="false"/>
                  <w:color w:val="0000FF"/>
                  <w:sz w:val="20"/>
                  <w:u w:val="singl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Quarterly Report includes, among others, forward-looking statements regarding our: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and operating expenses, and our ability to achieve and maintain future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execute our business and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 and maintain and increase their engagement with our platform and their Purchase Volume, as well as our ARPAM;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cash, cash equivalents, and investments and amounts available under our credit facility and from additional funding sources to meet our working capital and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performance of, and our expectations regarding, certain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new products and bring them to market in a timely manner and make enhancements to current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our compliance with and the effects of existing and developing laws and regulations, including with respect to financial services and privacy and data protection;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related to the development, investment in, and integration of AI and ML technologies, including generative AI, into our products and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risk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new and evolving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and protect our brand;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and management of future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concerning our bank partners and other third-party service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expenses associated with being a public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Although we believe that we have a reasonable basis for each forward-looking statement contained in this Quarterly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other person assumes responsibility for the accuracy and completeness of any of these forward-looking statements. Moreover, the forward-looking statements made in this Quarterly Report relate only to our expectations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63"/>
        <w:gridCol w:w="2316"/>
        <w:gridCol w:w="2301"/>
        <w:gridCol w:w="196"/>
        <w:gridCol w:w="871"/>
        <w:gridCol w:w="109"/>
        <w:gridCol w:w="109"/>
        <w:gridCol w:w="109"/>
        <w:gridCol w:w="109"/>
        <w:gridCol w:w="196"/>
        <w:gridCol w:w="871"/>
        <w:gridCol w:w="155"/>
      </w:tblGrid>
      <w:tr>
        <w:trPr/>
        <w:tc>
          <w:tcPr>
            <w:tcW w:w="286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466,252 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587,828 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257,884 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1,789,516 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1,756,010 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1,996,649 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201,862 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147,382 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387,924 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Warehouse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562,899 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347,106,501 shares issued and outstanding as of June 30, 2026. 5,000,000,000 shares authorized, 347,751,083 issued and outstanding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31,565,259 shares issued and outstanding as of June 30, 2026. 65,000,000 shares authorized, 32,182,289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4,775,607 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(3,374,104)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1,401,706 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1,996,649 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2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583"/>
        <w:gridCol w:w="1096"/>
        <w:gridCol w:w="1099"/>
        <w:gridCol w:w="241"/>
        <w:gridCol w:w="945"/>
        <w:gridCol w:w="109"/>
        <w:gridCol w:w="109"/>
        <w:gridCol w:w="109"/>
        <w:gridCol w:w="109"/>
        <w:gridCol w:w="237"/>
        <w:gridCol w:w="949"/>
        <w:gridCol w:w="109"/>
        <w:gridCol w:w="109"/>
        <w:gridCol w:w="109"/>
        <w:gridCol w:w="109"/>
        <w:gridCol w:w="211"/>
        <w:gridCol w:w="976"/>
        <w:gridCol w:w="109"/>
        <w:gridCol w:w="109"/>
        <w:gridCol w:w="109"/>
        <w:gridCol w:w="109"/>
        <w:gridCol w:w="211"/>
        <w:gridCol w:w="976"/>
        <w:gridCol w:w="109"/>
        <w:gridCol w:w="109"/>
        <w:gridCol w:w="155"/>
      </w:tblGrid>
      <w:tr>
        <w:trPr/>
        <w:tc>
          <w:tcPr>
            <w:tcW w:w="158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before income taxes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379,820,643 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396,943,274 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20"/>
        <w:jc w:val="center"/>
        <w:rPr/>
      </w:pPr>
      <w:r>
        <w:rPr/>
      </w:r>
    </w:p>
    <w:tbl>
      <w:tblPr>
        <w:tblW w:w="10205" w:type="dxa"/>
        <w:jc w:val="left"/>
        <w:tblInd w:w="0" w:type="dxa"/>
        <w:tblLayout w:type="fixed"/>
        <w:tblCellMar>
          <w:top w:w="28" w:type="dxa"/>
          <w:left w:w="28" w:type="dxa"/>
          <w:bottom w:w="28" w:type="dxa"/>
          <w:right w:w="28" w:type="dxa"/>
        </w:tblCellMar>
      </w:tblPr>
      <w:tblGrid>
        <w:gridCol w:w="1609"/>
        <w:gridCol w:w="1412"/>
        <w:gridCol w:w="1418"/>
        <w:gridCol w:w="211"/>
        <w:gridCol w:w="721"/>
        <w:gridCol w:w="109"/>
        <w:gridCol w:w="109"/>
        <w:gridCol w:w="109"/>
        <w:gridCol w:w="109"/>
        <w:gridCol w:w="211"/>
        <w:gridCol w:w="899"/>
        <w:gridCol w:w="109"/>
        <w:gridCol w:w="109"/>
        <w:gridCol w:w="109"/>
        <w:gridCol w:w="109"/>
        <w:gridCol w:w="211"/>
        <w:gridCol w:w="721"/>
        <w:gridCol w:w="109"/>
        <w:gridCol w:w="109"/>
        <w:gridCol w:w="109"/>
        <w:gridCol w:w="109"/>
        <w:gridCol w:w="211"/>
        <w:gridCol w:w="899"/>
        <w:gridCol w:w="109"/>
        <w:gridCol w:w="109"/>
        <w:gridCol w:w="156"/>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180"/>
        <w:jc w:val="left"/>
        <w:rPr/>
      </w:pPr>
      <w:r>
        <w:rPr/>
      </w:r>
    </w:p>
    <w:tbl>
      <w:tblPr>
        <w:tblW w:w="11842" w:type="dxa"/>
        <w:jc w:val="left"/>
        <w:tblInd w:w="0" w:type="dxa"/>
        <w:tblLayout w:type="fixed"/>
        <w:tblCellMar>
          <w:top w:w="28" w:type="dxa"/>
          <w:left w:w="28" w:type="dxa"/>
          <w:bottom w:w="28" w:type="dxa"/>
          <w:right w:w="28" w:type="dxa"/>
        </w:tblCellMar>
      </w:tblPr>
      <w:tblGrid>
        <w:gridCol w:w="634"/>
        <w:gridCol w:w="268"/>
        <w:gridCol w:w="269"/>
        <w:gridCol w:w="203"/>
        <w:gridCol w:w="203"/>
        <w:gridCol w:w="196"/>
        <w:gridCol w:w="109"/>
        <w:gridCol w:w="109"/>
        <w:gridCol w:w="109"/>
        <w:gridCol w:w="196"/>
        <w:gridCol w:w="406"/>
        <w:gridCol w:w="109"/>
        <w:gridCol w:w="109"/>
        <w:gridCol w:w="109"/>
        <w:gridCol w:w="109"/>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321"/>
        <w:gridCol w:w="715"/>
        <w:gridCol w:w="180"/>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379,933,372 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4,880,740 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1,871,134 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(4,081,127)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382,604,119 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759,023 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(7,322,737)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charitable contribution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378,671,760 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4,698,137 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1,404,822 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share amounts listed above combine Class A common stock and Class B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2982" w:type="dxa"/>
        <w:jc w:val="left"/>
        <w:tblInd w:w="0" w:type="dxa"/>
        <w:tblLayout w:type="fixed"/>
        <w:tblCellMar>
          <w:top w:w="28" w:type="dxa"/>
          <w:left w:w="28" w:type="dxa"/>
          <w:bottom w:w="28" w:type="dxa"/>
          <w:right w:w="28" w:type="dxa"/>
        </w:tblCellMar>
      </w:tblPr>
      <w:tblGrid>
        <w:gridCol w:w="634"/>
        <w:gridCol w:w="268"/>
        <w:gridCol w:w="269"/>
        <w:gridCol w:w="532"/>
        <w:gridCol w:w="534"/>
        <w:gridCol w:w="196"/>
        <w:gridCol w:w="109"/>
        <w:gridCol w:w="109"/>
        <w:gridCol w:w="109"/>
        <w:gridCol w:w="196"/>
        <w:gridCol w:w="871"/>
        <w:gridCol w:w="109"/>
        <w:gridCol w:w="109"/>
        <w:gridCol w:w="109"/>
        <w:gridCol w:w="109"/>
        <w:gridCol w:w="109"/>
        <w:gridCol w:w="109"/>
        <w:gridCol w:w="109"/>
        <w:gridCol w:w="524"/>
        <w:gridCol w:w="527"/>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321"/>
        <w:gridCol w:w="715"/>
        <w:gridCol w:w="180"/>
        <w:gridCol w:w="109"/>
        <w:gridCol w:w="109"/>
        <w:gridCol w:w="109"/>
        <w:gridCol w:w="196"/>
        <w:gridCol w:w="88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December 31, 2024 </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66,950,736 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67,587,532 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(923,376)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(923,376)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initial public offering, net of issuance costs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30,700,765 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redeemable convertible preferred stock to common stock in connection with initial public offering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258,667,796 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13,403,583 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charitable contribution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910,320 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370,776,813 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(3,274,605)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of the Annual Report on Form 10-K for the year ended December 31, 2025 for more information.</w:t>
      </w:r>
    </w:p>
    <w:p>
      <w:pPr>
        <w:pStyle w:val="TextBody"/>
        <w:bidi w:val="0"/>
        <w:spacing w:before="0" w:after="0"/>
        <w:ind w:left="0" w:right="0" w:hanging="360"/>
        <w:jc w:val="left"/>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87"/>
        <w:gridCol w:w="2328"/>
        <w:gridCol w:w="2336"/>
        <w:gridCol w:w="109"/>
        <w:gridCol w:w="109"/>
        <w:gridCol w:w="109"/>
        <w:gridCol w:w="197"/>
        <w:gridCol w:w="744"/>
        <w:gridCol w:w="109"/>
        <w:gridCol w:w="109"/>
        <w:gridCol w:w="109"/>
        <w:gridCol w:w="109"/>
        <w:gridCol w:w="196"/>
        <w:gridCol w:w="797"/>
        <w:gridCol w:w="157"/>
      </w:tblGrid>
      <w:tr>
        <w:trPr/>
        <w:tc>
          <w:tcPr>
            <w:tcW w:w="268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(2,368,152)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2,311,634 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investing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772,556 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the warehouse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financing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868,284 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881,799 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04"/>
        <w:gridCol w:w="2377"/>
        <w:gridCol w:w="2387"/>
        <w:gridCol w:w="109"/>
        <w:gridCol w:w="109"/>
        <w:gridCol w:w="109"/>
        <w:gridCol w:w="196"/>
        <w:gridCol w:w="556"/>
        <w:gridCol w:w="109"/>
        <w:gridCol w:w="109"/>
        <w:gridCol w:w="109"/>
        <w:gridCol w:w="109"/>
        <w:gridCol w:w="196"/>
        <w:gridCol w:w="871"/>
        <w:gridCol w:w="155"/>
      </w:tblGrid>
      <w:tr>
        <w:trPr/>
        <w:tc>
          <w:tcPr>
            <w:tcW w:w="2704"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7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Delaware in 2012 and is headquartered in San Francisco, California with offices in Chicago, Illinois, and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annual consolidated financial statements and notes included in our Annual Report on Form 10-K for the year ended December 31, 2025 (“2025 Form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Company’s significant accounting policies from those that were disclosed in its 2025 Form 10-K. 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and variable interest entities (“VIEs”) for which we are the primary beneficiary. All intercompany balances and transactions have been eliminated. The reporting currency of the Company is the U.S. Dollar.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condensed consolidated statements of operations as consolidated net income (loss). Revenue from external customers and significant segment expenses are presented in the Company's condensed consolidated statements of operations. The measure of segment assets is reported on the balance sheet as total consolidated assets. All long-lived assets are located in the United States, and all revenue is generated in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condensed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and the fair value of equity awards and stock-based compensation. These estimates are inherently subject to judgment. Actual results could differ from these estimates, and such differences may be material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maintained its product collateral with its bank partners based on contractual agreements with each bank partner. Product collateral consists of cash collateral accounts to provide each respective bank partner with protection against losses from certain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and December 31, 2025, there were no concentrations of investments in securities of the same issuer, except for U.S. government securities, which amounted to </w:t>
      </w:r>
      <w:r>
        <w:rPr>
          <w:rFonts w:ascii="Times New Roman;serif" w:hAnsi="Times New Roman;serif"/>
          <w:b w:val="false"/>
          <w:color w:val="000000"/>
          <w:sz w:val="20"/>
          <w:shd w:fill="FFFFFF" w:val="clear"/>
        </w:rPr>
        <w:t>$508.3 million and</w:t>
      </w:r>
      <w:r>
        <w:rPr>
          <w:color w:val="000000"/>
        </w:rPr>
        <w:t xml:space="preserve"> </w:t>
      </w:r>
      <w:r>
        <w:rPr>
          <w:rFonts w:ascii="Times New Roman;serif" w:hAnsi="Times New Roman;serif"/>
          <w:b w:val="false"/>
          <w:color w:val="000000"/>
          <w:sz w:val="20"/>
          <w:shd w:fill="FFFFFF" w:val="clear"/>
        </w:rPr>
        <w:t>$563.6 million,</w:t>
      </w:r>
      <w:r>
        <w:rPr>
          <w:color w:val="000000"/>
        </w:rPr>
        <w:t xml:space="preserve"> </w:t>
      </w:r>
      <w:r>
        <w:rPr>
          <w:rFonts w:ascii="Times New Roman;serif" w:hAnsi="Times New Roman;serif"/>
          <w:b w:val="false"/>
          <w:color w:val="000000"/>
          <w:sz w:val="20"/>
        </w:rPr>
        <w:t>or 96% and 96% of the investments in marketable securities. All debt securities within the Company’s portfolio are investment-grade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receivables outstanding from two bank partners, that represent 46% of receivables collectively (27% and 19% for each respective bank partner), and one card network partner that represented 49% of receivables. As of December 31, 2025, the Company had receivables outstanding from two bank partners, that represent 46% of receivables collectively (26% and 20% for each respective bank partner), and one card network partner that represented 50% of receivables.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Standards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which provides for a practical expedient to estimate credit losses related to accounts receivable and contract assets from revenue contracts accounted for in accordance with ASC 606 using information as of the balance sheet date. This ASU is effective for annual periods beginning after December 15, 2025 and early adoption is permitted. The Company adopted the amendments effective for the current fiscal year and the adoption did not have a material impact on the Company’s financial statements and related disclosures.</w:t>
      </w:r>
    </w:p>
    <w:p>
      <w:pPr>
        <w:pStyle w:val="TextBody"/>
        <w:bidi w:val="0"/>
        <w:spacing w:lineRule="auto" w:line="288" w:before="0" w:after="180"/>
        <w:ind w:left="0" w:right="0" w:firstLine="360"/>
        <w:jc w:val="left"/>
        <w:rPr/>
      </w:pPr>
      <w:r>
        <w:rPr>
          <w:rFonts w:ascii="Times New Roman;serif" w:hAnsi="Times New Roman;serif"/>
          <w:b/>
          <w:i/>
          <w:color w:val="000000"/>
          <w:sz w:val="20"/>
          <w:shd w:fill="FFFFFF" w:val="clear"/>
        </w:rPr>
        <w:t>Recently Issued Accounting Pronouncements Not Yet Adopted</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 Income Statement - Reporting Comprehensive Income - Expense Disaggregation Disclosures (Topic 220): Disaggregation of Income Statement Expenses,</w:t>
      </w:r>
      <w:r>
        <w:rPr>
          <w:color w:val="000000"/>
        </w:rPr>
        <w:t xml:space="preserve"> </w:t>
      </w:r>
      <w:r>
        <w:rPr>
          <w:rFonts w:ascii="Times New Roman;serif" w:hAnsi="Times New Roman;serif"/>
          <w:b w:val="false"/>
          <w:color w:val="000000"/>
          <w:sz w:val="20"/>
        </w:rPr>
        <w:t>which requires disclosure of additional information about specific expense categories 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This ASU makes targeted improvements to the accounting for internal-use software costs, removing the previous “development stage” model and introducing a more judgment-based approach. This ASU is effective for annual reporting periods beginning after December 15, 2027 and provides for adoption on a prospective basis, with retrospective or modified retrospective application permitted. The Company is currently evaluating the impact of this ASU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only to members within the United States. The following table provides information about the Company’s disaggregated revenue streams:</w:t>
      </w:r>
    </w:p>
    <w:tbl>
      <w:tblPr>
        <w:tblW w:w="8754" w:type="dxa"/>
        <w:jc w:val="left"/>
        <w:tblInd w:w="0" w:type="dxa"/>
        <w:tblLayout w:type="fixed"/>
        <w:tblCellMar>
          <w:top w:w="28" w:type="dxa"/>
          <w:left w:w="28" w:type="dxa"/>
          <w:bottom w:w="28" w:type="dxa"/>
          <w:right w:w="28" w:type="dxa"/>
        </w:tblCellMar>
      </w:tblPr>
      <w:tblGrid>
        <w:gridCol w:w="901"/>
        <w:gridCol w:w="793"/>
        <w:gridCol w:w="7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Platform-related revenue </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 the three and six months ended June 30, 2026, platform-related revenue included $143.8 million and $268.9 million that was not derived from contracts with customers. In the three and six months ended June 30, 2025, platform-related revenue included $86.0 million and $157.7 million that was not derived from contracts with customers.</w:t>
      </w:r>
    </w:p>
    <w:p>
      <w:pPr>
        <w:pStyle w:val="TextBody"/>
        <w:bidi w:val="0"/>
        <w:spacing w:lineRule="auto" w:line="288" w:before="0" w:after="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 the three and six months ended June 30, 2026, platform-related revenue included $114.8 million and $218.7 million related to MyPay receivables, which was comprised of $71.9 million and $136.8 million related to off-balance sheet MyPay receivables and $42.9 million and $81.9 million related to on-balance sheet MyPay receivables. In the three and six months ended June 30, 2025, platform-related revenue included $77.7 million and $142.0 million related to MyPay receivables, which was comprised of 48.2 million and $87.1 million related to off-balance sheet MyPay receivables and $29.5 million and $54.9 million related to on-balance sheet MyPay receivables.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member-paid tips received prior to the expiration of the contractual refundable period. The deferred revenue balances were as follows:</w:t>
      </w:r>
    </w:p>
    <w:tbl>
      <w:tblPr>
        <w:tblW w:w="5801" w:type="dxa"/>
        <w:jc w:val="left"/>
        <w:tblInd w:w="0" w:type="dxa"/>
        <w:tblLayout w:type="fixed"/>
        <w:tblCellMar>
          <w:top w:w="28" w:type="dxa"/>
          <w:left w:w="28" w:type="dxa"/>
          <w:bottom w:w="28" w:type="dxa"/>
          <w:right w:w="28" w:type="dxa"/>
        </w:tblCellMar>
      </w:tblPr>
      <w:tblGrid>
        <w:gridCol w:w="1392"/>
        <w:gridCol w:w="1220"/>
        <w:gridCol w:w="1227"/>
        <w:gridCol w:w="109"/>
        <w:gridCol w:w="109"/>
        <w:gridCol w:w="109"/>
        <w:gridCol w:w="109"/>
        <w:gridCol w:w="109"/>
        <w:gridCol w:w="109"/>
        <w:gridCol w:w="109"/>
        <w:gridCol w:w="211"/>
        <w:gridCol w:w="616"/>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materially all revenue from amounts included in the opening deferred revenue balances for the six months ended June 30, 2026. Changes in deferred revenue during the periods are driven by the increase in the amount of tips paid by members for using SpotMe.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assets and liabilities measured at fair value on a recurring basis by level within the fair value hierarchy: </w:t>
      </w:r>
    </w:p>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for the product obligation measured at fair value on a recurring basis, weighted by the total unrecovered balance:</w:t>
      </w:r>
    </w:p>
    <w:tbl>
      <w:tblPr>
        <w:tblW w:w="627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32"/>
        <w:gridCol w:w="432"/>
        <w:gridCol w:w="44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3.94% - 4.94%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27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32"/>
        <w:gridCol w:w="432"/>
        <w:gridCol w:w="44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3.48% - 3.48%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Note 8 - </w:t>
      </w:r>
      <w:r>
        <w:rPr>
          <w:rFonts w:ascii="Times New Roman;serif" w:hAnsi="Times New Roman;serif"/>
          <w:b w:val="false"/>
          <w:i/>
          <w:color w:val="000000"/>
          <w:sz w:val="20"/>
        </w:rPr>
        <w:t>Credit Obligations</w:t>
      </w:r>
      <w:r>
        <w:rPr>
          <w:color w:val="000000"/>
        </w:rPr>
        <w:t xml:space="preserve"> </w:t>
      </w:r>
      <w:r>
        <w:rPr>
          <w:rFonts w:ascii="Times New Roman;serif" w:hAnsi="Times New Roman;serif"/>
          <w:b w:val="false"/>
          <w:color w:val="000000"/>
          <w:sz w:val="20"/>
        </w:rPr>
        <w:t xml:space="preserve">for more information on the product obligation.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transfers between Level 1, Level 2, and Level 3 assets or liabilities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fair value of the Company’s available for sale (“AFS”) securities aggregated by investment category:</w:t>
      </w:r>
    </w:p>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417"/>
        <w:gridCol w:w="715"/>
        <w:gridCol w:w="218"/>
        <w:gridCol w:w="109"/>
        <w:gridCol w:w="109"/>
        <w:gridCol w:w="109"/>
        <w:gridCol w:w="359"/>
        <w:gridCol w:w="834"/>
        <w:gridCol w:w="186"/>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527,380 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04"/>
        <w:gridCol w:w="889"/>
        <w:gridCol w:w="157"/>
        <w:gridCol w:w="109"/>
        <w:gridCol w:w="109"/>
        <w:gridCol w:w="109"/>
        <w:gridCol w:w="400"/>
        <w:gridCol w:w="771"/>
        <w:gridCol w:w="20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587,828 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63 and nil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 cost of securities sold is based on the specific-identification method. There were no material realized gains or losses from marketable securities that were reclassified out of accumulated other comprehensive income for the three and six months ended June 30, 2026 and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and fair values for those investments that were in an unrealized loss position as of June 30, 2026, aggregated by investment category and the length of time that individual securities have been in a continuous loss position are as follows:</w:t>
      </w:r>
    </w:p>
    <w:tbl>
      <w:tblPr>
        <w:tblW w:w="10205" w:type="dxa"/>
        <w:jc w:val="left"/>
        <w:tblInd w:w="0" w:type="dxa"/>
        <w:tblLayout w:type="fixed"/>
        <w:tblCellMar>
          <w:top w:w="28" w:type="dxa"/>
          <w:left w:w="28" w:type="dxa"/>
          <w:bottom w:w="28" w:type="dxa"/>
          <w:right w:w="28" w:type="dxa"/>
        </w:tblCellMar>
      </w:tblPr>
      <w:tblGrid>
        <w:gridCol w:w="591"/>
        <w:gridCol w:w="495"/>
        <w:gridCol w:w="498"/>
        <w:gridCol w:w="211"/>
        <w:gridCol w:w="826"/>
        <w:gridCol w:w="109"/>
        <w:gridCol w:w="109"/>
        <w:gridCol w:w="109"/>
        <w:gridCol w:w="109"/>
        <w:gridCol w:w="335"/>
        <w:gridCol w:w="773"/>
        <w:gridCol w:w="174"/>
        <w:gridCol w:w="109"/>
        <w:gridCol w:w="109"/>
        <w:gridCol w:w="109"/>
        <w:gridCol w:w="230"/>
        <w:gridCol w:w="442"/>
        <w:gridCol w:w="118"/>
        <w:gridCol w:w="111"/>
        <w:gridCol w:w="111"/>
        <w:gridCol w:w="111"/>
        <w:gridCol w:w="372"/>
        <w:gridCol w:w="717"/>
        <w:gridCol w:w="194"/>
        <w:gridCol w:w="109"/>
        <w:gridCol w:w="109"/>
        <w:gridCol w:w="109"/>
        <w:gridCol w:w="211"/>
        <w:gridCol w:w="826"/>
        <w:gridCol w:w="109"/>
        <w:gridCol w:w="109"/>
        <w:gridCol w:w="109"/>
        <w:gridCol w:w="109"/>
        <w:gridCol w:w="328"/>
        <w:gridCol w:w="758"/>
        <w:gridCol w:w="247"/>
      </w:tblGrid>
      <w:tr>
        <w:trPr/>
        <w:tc>
          <w:tcPr>
            <w:tcW w:w="5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gross unrealized losses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by contractual maturity:</w:t>
      </w:r>
    </w:p>
    <w:tbl>
      <w:tblPr>
        <w:tblW w:w="5057" w:type="dxa"/>
        <w:jc w:val="left"/>
        <w:tblInd w:w="0" w:type="dxa"/>
        <w:tblLayout w:type="fixed"/>
        <w:tblCellMar>
          <w:top w:w="28" w:type="dxa"/>
          <w:left w:w="28" w:type="dxa"/>
          <w:bottom w:w="28" w:type="dxa"/>
          <w:right w:w="28" w:type="dxa"/>
        </w:tblCellMar>
      </w:tblPr>
      <w:tblGrid>
        <w:gridCol w:w="829"/>
        <w:gridCol w:w="731"/>
        <w:gridCol w:w="734"/>
        <w:gridCol w:w="229"/>
        <w:gridCol w:w="898"/>
        <w:gridCol w:w="118"/>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to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527,781 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 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197" w:type="dxa"/>
        <w:jc w:val="left"/>
        <w:tblInd w:w="0" w:type="dxa"/>
        <w:tblLayout w:type="fixed"/>
        <w:tblCellMar>
          <w:top w:w="28" w:type="dxa"/>
          <w:left w:w="28" w:type="dxa"/>
          <w:bottom w:w="28" w:type="dxa"/>
          <w:right w:w="28" w:type="dxa"/>
        </w:tblCellMar>
      </w:tblPr>
      <w:tblGrid>
        <w:gridCol w:w="1151"/>
        <w:gridCol w:w="1011"/>
        <w:gridCol w:w="1018"/>
        <w:gridCol w:w="211"/>
        <w:gridCol w:w="826"/>
        <w:gridCol w:w="109"/>
        <w:gridCol w:w="109"/>
        <w:gridCol w:w="109"/>
        <w:gridCol w:w="109"/>
        <w:gridCol w:w="273"/>
        <w:gridCol w:w="1072"/>
        <w:gridCol w:w="19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Receivables due from bank partners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130,962 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Receivables due from bank partners are net of bank partner and network costs. As of June 30, 2026 and December 31, 2025, </w:t>
      </w:r>
      <w:r>
        <w:rPr>
          <w:rFonts w:ascii="Times New Roman;serif" w:hAnsi="Times New Roman;serif"/>
          <w:b w:val="false"/>
          <w:color w:val="000000"/>
          <w:sz w:val="16"/>
          <w:shd w:fill="FFFFFF" w:val="clear"/>
        </w:rPr>
        <w:t>$95.6 million and $23.3 million</w:t>
      </w:r>
      <w:r>
        <w:rPr>
          <w:color w:val="000000"/>
        </w:rPr>
        <w:t xml:space="preserve"> </w:t>
      </w:r>
      <w:r>
        <w:rPr>
          <w:rFonts w:ascii="Times New Roman;serif" w:hAnsi="Times New Roman;serif"/>
          <w:b w:val="false"/>
          <w:color w:val="000000"/>
          <w:sz w:val="16"/>
        </w:rPr>
        <w:t>of gross receivables due from bank partners were pledged as collateral.</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allowance for credit losses on accounts receivable was not material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 LOANS HELD FOR INVESTMENT,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consisted of the following:</w:t>
      </w:r>
    </w:p>
    <w:tbl>
      <w:tblPr>
        <w:tblW w:w="6729" w:type="dxa"/>
        <w:jc w:val="left"/>
        <w:tblInd w:w="0" w:type="dxa"/>
        <w:tblLayout w:type="fixed"/>
        <w:tblCellMar>
          <w:top w:w="28" w:type="dxa"/>
          <w:left w:w="28" w:type="dxa"/>
          <w:bottom w:w="28" w:type="dxa"/>
          <w:right w:w="28" w:type="dxa"/>
        </w:tblCellMar>
      </w:tblPr>
      <w:tblGrid>
        <w:gridCol w:w="1267"/>
        <w:gridCol w:w="1112"/>
        <w:gridCol w:w="1115"/>
        <w:gridCol w:w="211"/>
        <w:gridCol w:w="826"/>
        <w:gridCol w:w="109"/>
        <w:gridCol w:w="109"/>
        <w:gridCol w:w="109"/>
        <w:gridCol w:w="109"/>
        <w:gridCol w:w="276"/>
        <w:gridCol w:w="1081"/>
        <w:gridCol w:w="142"/>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$13.8 million of loans held for investment are pledged as collateral under the warehouse credit facility. See Note 11 </w:t>
      </w:r>
      <w:r>
        <w:rPr>
          <w:rFonts w:ascii="Times New Roman;serif" w:hAnsi="Times New Roman;serif"/>
          <w:b w:val="false"/>
          <w:i/>
          <w:color w:val="000000"/>
          <w:sz w:val="20"/>
        </w:rPr>
        <w:t>- Indebtedness</w:t>
      </w:r>
      <w:r>
        <w:rPr>
          <w:color w:val="000000"/>
        </w:rPr>
        <w:t xml:space="preserve"> </w:t>
      </w:r>
      <w:r>
        <w:rPr>
          <w:rFonts w:ascii="Times New Roman;serif" w:hAnsi="Times New Roman;serif"/>
          <w:b w:val="false"/>
          <w:color w:val="000000"/>
          <w:sz w:val="20"/>
        </w:rPr>
        <w:t>and Note 12</w:t>
      </w:r>
      <w:r>
        <w:rPr>
          <w:color w:val="000000"/>
        </w:rPr>
        <w:t xml:space="preserve"> </w:t>
      </w:r>
      <w:r>
        <w:rPr>
          <w:rFonts w:ascii="Times New Roman;serif" w:hAnsi="Times New Roman;serif"/>
          <w:b w:val="false"/>
          <w:i/>
          <w:color w:val="000000"/>
          <w:sz w:val="20"/>
        </w:rPr>
        <w:t>- Variable Interest Entities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tbl>
      <w:tblPr>
        <w:tblW w:w="5302"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211"/>
        <w:gridCol w:w="826"/>
        <w:gridCol w:w="109"/>
        <w:gridCol w:w="109"/>
        <w:gridCol w:w="109"/>
        <w:gridCol w:w="109"/>
        <w:gridCol w:w="276"/>
        <w:gridCol w:w="1081"/>
        <w:gridCol w:w="142"/>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Days from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61 - 90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181 - 270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CREDIT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and Instant Loan receivables retained by the bank partners, SpotMe, and other instances where a member’s account is overdrawn are recorded as a product obligation on the condensed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expected credit losses on loans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expected loss rate is then applied to the outstanding principal balance of each vintage at the end of the period, 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changes in allowance for expected credit losses on MyPay loans held for investment:</w:t>
      </w:r>
    </w:p>
    <w:tbl>
      <w:tblPr>
        <w:tblW w:w="5656" w:type="dxa"/>
        <w:jc w:val="left"/>
        <w:tblInd w:w="0" w:type="dxa"/>
        <w:tblLayout w:type="fixed"/>
        <w:tblCellMar>
          <w:top w:w="28" w:type="dxa"/>
          <w:left w:w="28" w:type="dxa"/>
          <w:bottom w:w="28" w:type="dxa"/>
          <w:right w:w="28" w:type="dxa"/>
        </w:tblCellMar>
      </w:tblPr>
      <w:tblGrid>
        <w:gridCol w:w="1080"/>
        <w:gridCol w:w="950"/>
        <w:gridCol w:w="954"/>
        <w:gridCol w:w="211"/>
        <w:gridCol w:w="721"/>
        <w:gridCol w:w="109"/>
        <w:gridCol w:w="109"/>
        <w:gridCol w:w="109"/>
        <w:gridCol w:w="109"/>
        <w:gridCol w:w="211"/>
        <w:gridCol w:w="721"/>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began writing off loans held for investment during the second quarter in 2025, when such loans began aging beyond 365 days. Write-offs increased on a year over year basis as the population of loans meeting this criterion expanded.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product obligation:</w:t>
      </w:r>
    </w:p>
    <w:tbl>
      <w:tblPr>
        <w:tblW w:w="9956" w:type="dxa"/>
        <w:jc w:val="left"/>
        <w:tblInd w:w="0" w:type="dxa"/>
        <w:tblLayout w:type="fixed"/>
        <w:tblCellMar>
          <w:top w:w="28" w:type="dxa"/>
          <w:left w:w="28" w:type="dxa"/>
          <w:bottom w:w="28" w:type="dxa"/>
          <w:right w:w="28" w:type="dxa"/>
        </w:tblCellMar>
      </w:tblPr>
      <w:tblGrid>
        <w:gridCol w:w="1368"/>
        <w:gridCol w:w="1203"/>
        <w:gridCol w:w="1208"/>
        <w:gridCol w:w="109"/>
        <w:gridCol w:w="128"/>
        <w:gridCol w:w="128"/>
        <w:gridCol w:w="248"/>
        <w:gridCol w:w="972"/>
        <w:gridCol w:w="12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product obligation</w:t>
            </w:r>
            <w:r>
              <w:rPr>
                <w:rFonts w:ascii="Times New Roman;serif" w:hAnsi="Times New Roman;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 in fair value of the product obligation was recorded on the condensed consolidated statements of operations as follows:</w:t>
      </w:r>
    </w:p>
    <w:tbl>
      <w:tblPr>
        <w:tblW w:w="9705" w:type="dxa"/>
        <w:jc w:val="left"/>
        <w:tblInd w:w="0" w:type="dxa"/>
        <w:tblLayout w:type="fixed"/>
        <w:tblCellMar>
          <w:top w:w="28" w:type="dxa"/>
          <w:left w:w="28" w:type="dxa"/>
          <w:bottom w:w="28" w:type="dxa"/>
          <w:right w:w="28" w:type="dxa"/>
        </w:tblCellMar>
      </w:tblPr>
      <w:tblGrid>
        <w:gridCol w:w="1331"/>
        <w:gridCol w:w="1170"/>
        <w:gridCol w:w="1189"/>
        <w:gridCol w:w="109"/>
        <w:gridCol w:w="109"/>
        <w:gridCol w:w="140"/>
        <w:gridCol w:w="140"/>
        <w:gridCol w:w="253"/>
        <w:gridCol w:w="930"/>
        <w:gridCol w:w="140"/>
        <w:gridCol w:w="109"/>
        <w:gridCol w:w="109"/>
        <w:gridCol w:w="109"/>
        <w:gridCol w:w="196"/>
        <w:gridCol w:w="721"/>
        <w:gridCol w:w="109"/>
        <w:gridCol w:w="109"/>
        <w:gridCol w:w="109"/>
        <w:gridCol w:w="109"/>
        <w:gridCol w:w="196"/>
        <w:gridCol w:w="811"/>
        <w:gridCol w:w="109"/>
        <w:gridCol w:w="109"/>
        <w:gridCol w:w="109"/>
        <w:gridCol w:w="109"/>
        <w:gridCol w:w="196"/>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398"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(92,794)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SpotMe and other negative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67,059 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change in fair value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(25,735)</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losses under its product obligation was $812.6 million and $722.3 million as of June 30, 2026 and December 31, 2025, which represent the total possible undiscounted amounts the Company could be required to pay, assuming no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6661" w:type="dxa"/>
        <w:jc w:val="left"/>
        <w:tblInd w:w="0" w:type="dxa"/>
        <w:tblLayout w:type="fixed"/>
        <w:tblCellMar>
          <w:top w:w="28" w:type="dxa"/>
          <w:left w:w="28" w:type="dxa"/>
          <w:bottom w:w="28" w:type="dxa"/>
          <w:right w:w="28" w:type="dxa"/>
        </w:tblCellMar>
      </w:tblPr>
      <w:tblGrid>
        <w:gridCol w:w="1505"/>
        <w:gridCol w:w="1320"/>
        <w:gridCol w:w="1329"/>
        <w:gridCol w:w="211"/>
        <w:gridCol w:w="721"/>
        <w:gridCol w:w="109"/>
        <w:gridCol w:w="109"/>
        <w:gridCol w:w="109"/>
        <w:gridCol w:w="109"/>
        <w:gridCol w:w="221"/>
        <w:gridCol w:w="757"/>
        <w:gridCol w:w="161"/>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equipment, and software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equipment, and software,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equipment, and software was $7.9 million and $15.1 million for the three and six months ended June 30, 2026, and $7.4 million and $14.6 million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SIGNIFICANT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120" w:type="dxa"/>
        <w:jc w:val="left"/>
        <w:tblInd w:w="0" w:type="dxa"/>
        <w:tblLayout w:type="fixed"/>
        <w:tblCellMar>
          <w:top w:w="28" w:type="dxa"/>
          <w:left w:w="28" w:type="dxa"/>
          <w:bottom w:w="28" w:type="dxa"/>
          <w:right w:w="28" w:type="dxa"/>
        </w:tblCellMar>
      </w:tblPr>
      <w:tblGrid>
        <w:gridCol w:w="554"/>
        <w:gridCol w:w="487"/>
        <w:gridCol w:w="489"/>
        <w:gridCol w:w="228"/>
        <w:gridCol w:w="779"/>
        <w:gridCol w:w="117"/>
        <w:gridCol w:w="109"/>
        <w:gridCol w:w="109"/>
        <w:gridCol w:w="109"/>
        <w:gridCol w:w="221"/>
        <w:gridCol w:w="757"/>
        <w:gridCol w:w="16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489" w:type="dxa"/>
        <w:jc w:val="left"/>
        <w:tblInd w:w="0" w:type="dxa"/>
        <w:tblLayout w:type="fixed"/>
        <w:tblCellMar>
          <w:top w:w="28" w:type="dxa"/>
          <w:left w:w="28" w:type="dxa"/>
          <w:bottom w:w="28" w:type="dxa"/>
          <w:right w:w="28" w:type="dxa"/>
        </w:tblCellMar>
      </w:tblPr>
      <w:tblGrid>
        <w:gridCol w:w="1385"/>
        <w:gridCol w:w="1216"/>
        <w:gridCol w:w="1224"/>
        <w:gridCol w:w="211"/>
        <w:gridCol w:w="826"/>
        <w:gridCol w:w="109"/>
        <w:gridCol w:w="109"/>
        <w:gridCol w:w="109"/>
        <w:gridCol w:w="109"/>
        <w:gridCol w:w="211"/>
        <w:gridCol w:w="82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transaction dispute losses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accrued and other current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reconciliation of the beginning and ending accrued transaction dispute losses is as follows:</w:t>
      </w:r>
    </w:p>
    <w:tbl>
      <w:tblPr>
        <w:tblW w:w="9824" w:type="dxa"/>
        <w:jc w:val="left"/>
        <w:tblInd w:w="0" w:type="dxa"/>
        <w:tblLayout w:type="fixed"/>
        <w:tblCellMar>
          <w:top w:w="28" w:type="dxa"/>
          <w:left w:w="28" w:type="dxa"/>
          <w:bottom w:w="28" w:type="dxa"/>
          <w:right w:w="28" w:type="dxa"/>
        </w:tblCellMar>
      </w:tblPr>
      <w:tblGrid>
        <w:gridCol w:w="1524"/>
        <w:gridCol w:w="1340"/>
        <w:gridCol w:w="1350"/>
        <w:gridCol w:w="109"/>
        <w:gridCol w:w="109"/>
        <w:gridCol w:w="149"/>
        <w:gridCol w:w="149"/>
        <w:gridCol w:w="269"/>
        <w:gridCol w:w="887"/>
        <w:gridCol w:w="149"/>
        <w:gridCol w:w="109"/>
        <w:gridCol w:w="109"/>
        <w:gridCol w:w="109"/>
        <w:gridCol w:w="196"/>
        <w:gridCol w:w="646"/>
        <w:gridCol w:w="109"/>
        <w:gridCol w:w="109"/>
        <w:gridCol w:w="109"/>
        <w:gridCol w:w="109"/>
        <w:gridCol w:w="196"/>
        <w:gridCol w:w="646"/>
        <w:gridCol w:w="109"/>
        <w:gridCol w:w="109"/>
        <w:gridCol w:w="109"/>
        <w:gridCol w:w="109"/>
        <w:gridCol w:w="196"/>
        <w:gridCol w:w="55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842" w:type="dxa"/>
        <w:jc w:val="left"/>
        <w:tblInd w:w="0" w:type="dxa"/>
        <w:tblLayout w:type="fixed"/>
        <w:tblCellMar>
          <w:top w:w="28" w:type="dxa"/>
          <w:left w:w="28" w:type="dxa"/>
          <w:bottom w:w="28" w:type="dxa"/>
          <w:right w:w="28" w:type="dxa"/>
        </w:tblCellMar>
      </w:tblPr>
      <w:tblGrid>
        <w:gridCol w:w="1571"/>
        <w:gridCol w:w="1380"/>
        <w:gridCol w:w="1384"/>
        <w:gridCol w:w="211"/>
        <w:gridCol w:w="721"/>
        <w:gridCol w:w="109"/>
        <w:gridCol w:w="109"/>
        <w:gridCol w:w="109"/>
        <w:gridCol w:w="109"/>
        <w:gridCol w:w="221"/>
        <w:gridCol w:w="757"/>
        <w:gridCol w:w="161"/>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INDEBTEDNESS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Warehouse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June 2026, the Company established a trust (the “Trust”) to enter into a warehouse credit facility (the “Warehouse Facility”) with Goldman Sachs Lending Partners LLC. The Warehouse Facility has a maturity date of June 1, 2028 and is used to fund purchases of loans held for investment originated by certain bank partners. The facility provides for a total commitment amount of $200.0 million and an uncommitted amount of $300.0 million, for a total facility limit of $500.0 million. Uncommitted advances may be made at the lender’s sole and absolute discretion. Borrowings under the Warehouse Facility are secured by certain of the loans held for investment. In connection with the Warehouse Facility, the Company maintains a reserve account, which is contractually constrained as to its withdrawal and use, and is included in restricted cash on the condensed consolidated balance sheet. As of June 30, 2026, $50.0 million was outstanding under the Warehouse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under the Warehouse Facility bear interest at a benchmark rate based on the secured overnight financing rate (“Term SOFR”) for a one-month interest period, plus an applicable margin of 1.90%. The Term SOFR rate is at all times subject to a floor of 0.50%. The Trust is also obligated to pay a draw fee of 0.30% per annum on each incremental advance above $200.0 million and an unused commitment fee of 0.25% per annum on the undrawn committed amount.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Trust drew down an aggregate of $50.0 million on the Warehouse Facility. Interest expense for the three and six months ended June 30, 2026 was $0.2 million and was recorded within general and administrative expenses in the condensed consolidated statement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Warehouse Facility contains certain customary affirmative and negative covenants and financial covenants including minimum liquidity and minimum tangible net worth. The Trust was in compliance with all covenants as of June 30, 2026.</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$475.0 million senior secured revolving credit facility maturing on March 31, 2030 (the “credit facility”), which replaced its prior $125.0 million revolving credit facility. As of June 30, 2026, no funds have been drawn under the credit facility and the Company had letters of credit outstanding thereunder of $23.2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initially bear interest at the Company’s option of (i) an annual rate based on the forward-looking term rate based on the Secured Overnight Financing Rate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 VARIABLE INTEREST ENTITIES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June 2026, the Company established the Trust, which is a VIE, to enter into the Warehouse Facility. Refer to Note 11 </w:t>
      </w:r>
      <w:r>
        <w:rPr>
          <w:color w:val="000000"/>
        </w:rPr>
        <w:t xml:space="preserve">–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 xml:space="preserve">for additional information. The Trust was formed for the limited purpose of purchasing loan receivables from the Company and pledging them as collateral to secure borrowings under the Warehouse Facility. The Company holds a significant interest in the Trust through its ownership of the residual beneficial interest, which is the first interest to absorb losses should the receivables not generate sufficient cash flows to satisfy more senior claims. The Company may be required to provide financial support to the Trust in the form of providing capital contributions to fund receivable purchases when the Trust lacks sufficient cash under the facility. The Company makes standard representations and warranties with respect to the loan receivables sold to the trust and may be required to repurchase certain loan receivables that fail to meet specified eligibility criteria.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the primary beneficiary of the Trust because it or one of its consolidated subsidiaries has (i) the power to direct the activities that most significantly affect the Trust's economic performance through its continued involvement as servicer and administrator of the underlying loans, and (ii) the obligation to absorb losses and the right to receive benefits that could potentially be significant to the Trust through its first loss residual beneficial interest. Accordingly, the Company consolidates the Trust in its condensed consolidated financial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carrying amounts of the Trust’s assets and liabilities included in the Company’s condensed consolidated balance sheets and excludes intercompany balances that eliminate upon consolidation. The creditors of the Trust have no recourse to the general credit of the Company and the assets of the Trust can only be used to settle obligations of the Trust. </w:t>
      </w:r>
    </w:p>
    <w:tbl>
      <w:tblPr>
        <w:tblW w:w="4214" w:type="dxa"/>
        <w:jc w:val="left"/>
        <w:tblInd w:w="0" w:type="dxa"/>
        <w:tblLayout w:type="fixed"/>
        <w:tblCellMar>
          <w:top w:w="28" w:type="dxa"/>
          <w:left w:w="28" w:type="dxa"/>
          <w:bottom w:w="28" w:type="dxa"/>
          <w:right w:w="28" w:type="dxa"/>
        </w:tblCellMar>
      </w:tblPr>
      <w:tblGrid>
        <w:gridCol w:w="1099"/>
        <w:gridCol w:w="970"/>
        <w:gridCol w:w="975"/>
        <w:gridCol w:w="227"/>
        <w:gridCol w:w="777"/>
        <w:gridCol w:w="166"/>
      </w:tblGrid>
      <w:tr>
        <w:trPr/>
        <w:tc>
          <w:tcPr>
            <w:tcW w:w="10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of VIE</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of VIE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of VIE</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facility</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of VIE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 of VIE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 COMMON STOCK AND STOCKHOLDERS’ EQUITY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no terms of the preferred stock have been designated, no shares of preferred stock were outstanding and the Company had no present plan to issue any shares of preferred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three series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20 votes per share and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initial public offering in 2025, the Company adopted the 2025 Equity Incentive Plan (the “2025 Plan”), and the Company’s 2012 Equity Incentive Plan (the “2012 Plan”) was terminated. Following the effectiveness of the 2025 Plan, no further awards have been or will be granted under the 2012 Plan, and all outstanding awards under the 2012 Plan continue to be governed by their existing terms. Under the 2025 Plan, the Company is authorized to grant incentive stock options (“ISOs”), within the meaning of Section 422 of the Code, to employees and employees of its parent and subsidiary corporations. The Company may also grant non-qualified stock options (“NSOs”), restricted stock awards (“RSAs”), restricted stock units (“RSUs”), performance stock units (“PSUs”), stock appreciation rights, and other performance awards to employees, directors, consultants, and employees and consultants of its parent and subsidiary corporations.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64,424,183</w:t>
      </w:r>
      <w:r>
        <w:rPr>
          <w:color w:val="000000"/>
          <w:shd w:fill="FFFFFF" w:val="clear"/>
        </w:rPr>
        <w:t xml:space="preserve"> </w:t>
      </w:r>
      <w:r>
        <w:rPr>
          <w:rFonts w:ascii="Times New Roman;serif" w:hAnsi="Times New Roman;serif"/>
          <w:b w:val="false"/>
          <w:color w:val="000000"/>
          <w:sz w:val="20"/>
        </w:rPr>
        <w:t>shares of Class A common stock reserved for future issuance under the 2025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stock option activity for the six months ended June 30, 2026 is as follows:</w:t>
      </w:r>
    </w:p>
    <w:tbl>
      <w:tblPr>
        <w:tblW w:w="10205" w:type="dxa"/>
        <w:jc w:val="center"/>
        <w:tblInd w:w="0" w:type="dxa"/>
        <w:tblLayout w:type="fixed"/>
        <w:tblCellMar>
          <w:top w:w="28" w:type="dxa"/>
          <w:left w:w="28" w:type="dxa"/>
          <w:bottom w:w="28" w:type="dxa"/>
          <w:right w:w="28" w:type="dxa"/>
        </w:tblCellMar>
      </w:tblPr>
      <w:tblGrid>
        <w:gridCol w:w="774"/>
        <w:gridCol w:w="679"/>
        <w:gridCol w:w="682"/>
        <w:gridCol w:w="689"/>
        <w:gridCol w:w="501"/>
        <w:gridCol w:w="467"/>
        <w:gridCol w:w="109"/>
        <w:gridCol w:w="109"/>
        <w:gridCol w:w="109"/>
        <w:gridCol w:w="357"/>
        <w:gridCol w:w="1044"/>
        <w:gridCol w:w="184"/>
        <w:gridCol w:w="109"/>
        <w:gridCol w:w="109"/>
        <w:gridCol w:w="109"/>
        <w:gridCol w:w="786"/>
        <w:gridCol w:w="786"/>
        <w:gridCol w:w="787"/>
        <w:gridCol w:w="109"/>
        <w:gridCol w:w="109"/>
        <w:gridCol w:w="109"/>
        <w:gridCol w:w="262"/>
        <w:gridCol w:w="1028"/>
        <w:gridCol w:w="198"/>
      </w:tblGrid>
      <w:tr>
        <w:trPr/>
        <w:tc>
          <w:tcPr>
            <w:tcW w:w="7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25,280,942 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3,955,185 </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(5,639,763)</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(291,987)</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23,304,377 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23,304,377 </w:t>
            </w:r>
          </w:p>
        </w:tc>
        <w:tc>
          <w:tcPr>
            <w:tcW w:w="4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164,439 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1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14,988,786 </w:t>
            </w:r>
          </w:p>
        </w:tc>
        <w:tc>
          <w:tcPr>
            <w:tcW w:w="4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155,388 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2024, the Company granted performance stock options to certain executives that were subject to both service-based and performance-based vesting conditions. As of June 30, 2026 and December 31, 2025, 400,000 options were outstanding at a weighted average exercise price of $17.35. As of June 30, 2026, 233,332 options were exercisable.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RSAs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RSA activity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498,722 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(138,894)</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359,828 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granted RSAs to certain employees which vest based upon the achievement of designated operational metrics and continued employment through the date the designated operational metrics are achieved. A summary of the Company’s performance-based RSA activity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483,125 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464,459 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RSUs activity is as follows:</w:t>
      </w:r>
    </w:p>
    <w:tbl>
      <w:tblPr>
        <w:tblW w:w="9597" w:type="dxa"/>
        <w:jc w:val="left"/>
        <w:tblInd w:w="0" w:type="dxa"/>
        <w:tblLayout w:type="fixed"/>
        <w:tblCellMar>
          <w:top w:w="28" w:type="dxa"/>
          <w:left w:w="28" w:type="dxa"/>
          <w:bottom w:w="28" w:type="dxa"/>
          <w:right w:w="28" w:type="dxa"/>
        </w:tblCellMar>
      </w:tblPr>
      <w:tblGrid>
        <w:gridCol w:w="1077"/>
        <w:gridCol w:w="944"/>
        <w:gridCol w:w="949"/>
        <w:gridCol w:w="844"/>
        <w:gridCol w:w="844"/>
        <w:gridCol w:w="847"/>
        <w:gridCol w:w="109"/>
        <w:gridCol w:w="109"/>
        <w:gridCol w:w="109"/>
        <w:gridCol w:w="808"/>
        <w:gridCol w:w="2364"/>
        <w:gridCol w:w="593"/>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2025 </w:t>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20,874,834 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10,668,124 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(254,055)</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Vested and settled</w:t>
            </w:r>
            <w:r>
              <w:rPr>
                <w:color w:val="000000"/>
              </w:rPr>
              <w:t xml:space="preserve"> </w:t>
            </w:r>
            <w:r>
              <w:rPr>
                <w:rFonts w:ascii="Times New Roman;serif" w:hAnsi="Times New Roman;serif"/>
                <w:b w:val="false"/>
                <w:color w:val="000000"/>
                <w:sz w:val="13"/>
              </w:rPr>
              <w:t>(1)</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(4,582,465)</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(2,881,237)</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June 30, 2026 </w:t>
            </w:r>
          </w:p>
        </w:tc>
        <w:tc>
          <w:tcPr>
            <w:tcW w:w="1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23,825,201 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160,231 shares of common stock underlying RSUs that were withheld to cover taxes on the settlement of vested RSUs during the six months ended June 30, 2026.</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Salt Labs, Inc. in 2024, certain employees were granted 1,929,943 PSUs, which vest based upon the achievement of designated operational metrics, continued employment through the date the designated operational metrics are achieved, and upon the occurrence of a liquidity event. The liquidity-based vesting condition was satisfied upon completion of the Company’s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4,800,000 PSUs which vest based upon the achievement of growth and profit performance-based metrics, continued employment through the date the growth and profit performance-based condition is met, a service-based condition that is satisfied over four years,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PSU activity is as follows:</w:t>
      </w:r>
    </w:p>
    <w:tbl>
      <w:tblPr>
        <w:tblW w:w="10062" w:type="dxa"/>
        <w:jc w:val="left"/>
        <w:tblInd w:w="0" w:type="dxa"/>
        <w:tblLayout w:type="fixed"/>
        <w:tblCellMar>
          <w:top w:w="28" w:type="dxa"/>
          <w:left w:w="28" w:type="dxa"/>
          <w:bottom w:w="28" w:type="dxa"/>
          <w:right w:w="28" w:type="dxa"/>
        </w:tblCellMar>
      </w:tblPr>
      <w:tblGrid>
        <w:gridCol w:w="1022"/>
        <w:gridCol w:w="898"/>
        <w:gridCol w:w="900"/>
        <w:gridCol w:w="1004"/>
        <w:gridCol w:w="1004"/>
        <w:gridCol w:w="1007"/>
        <w:gridCol w:w="109"/>
        <w:gridCol w:w="109"/>
        <w:gridCol w:w="109"/>
        <w:gridCol w:w="721"/>
        <w:gridCol w:w="2109"/>
        <w:gridCol w:w="1070"/>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(65,368)</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6,603,929 </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1,600,000 PSU awards which vest based upon the achievement of stock price hurdle market-based metrics, continued employment through the date the stock price hurdles are met, a service-based condition that is satisfied over four years,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1,600,000 market-based PSUs were outstanding as of June 30, 2026 as none have vested or been cancelled. The weighted-average grant date fair value per share of the awards is $23.96.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 total of </w:t>
      </w:r>
      <w:r>
        <w:rPr>
          <w:rFonts w:ascii="Times New Roman;serif" w:hAnsi="Times New Roman;serif"/>
          <w:b w:val="false"/>
          <w:color w:val="000000"/>
          <w:sz w:val="20"/>
        </w:rPr>
        <w:t xml:space="preserve">13,089,515 shares </w:t>
      </w:r>
      <w:r>
        <w:rPr>
          <w:rFonts w:ascii="Times New Roman;serif" w:hAnsi="Times New Roman;serif"/>
          <w:b w:val="false"/>
          <w:color w:val="000000"/>
          <w:sz w:val="20"/>
          <w:shd w:fill="FFFFFF" w:val="clear"/>
        </w:rPr>
        <w:t xml:space="preserve">of Class A common stock are reserved for sale under the 2025 Employee Stock Purchase Plan (the “ESPP”).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ESPP, eligible employees may contribute through payroll deductions, subject to plan limits, to purchase shares at a 15% discount under six-month offering periods. The plan includes a look-back feature based on the lower of the offering or purchase date stock price. Stock-based compensation expense is recognized on a straight-line basis over the offering period, with fair value measured at grant using the Black-Scholes model.</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grant date of the initial offering period was February 20, 2026, and that offering period shall end on August 20, 2026. As of </w:t>
      </w:r>
      <w:r>
        <w:rPr>
          <w:rFonts w:ascii="Times New Roman;serif" w:hAnsi="Times New Roman;serif"/>
          <w:b w:val="false"/>
          <w:color w:val="000000"/>
          <w:sz w:val="20"/>
        </w:rPr>
        <w:t xml:space="preserve">June 30, 2026, the Company recorded a liability of $6.7 million related to the accumulated payroll deductions, which is included within accrued expenses and other current liabilities in the condensed consolidated balance sheets.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w:t>
      </w:r>
    </w:p>
    <w:tbl>
      <w:tblPr>
        <w:tblW w:w="8749"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409" w:type="dxa"/>
            <w:gridSpan w:val="5"/>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$550.8 million of unrecognized stock based compensation expected to be recognized over a weighted average period of 2.90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 NET INCOME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income (loss) per share in conformity with the two-class method required for multiple classes of common stock and participating securities. Class A, Class B, and Class C common stock share proportionately, on a per share basis, in the Company’s net income (loss) and participate equally in the dividends on common stock, if declared. The Company allocates net income (loss) attributable to common stock between each class of common stock on a one-to-one basis when computing net income (loss) per share. As a result, basic and diluted net income (loss) per share for each class of common stock are equivalent. The Company considers redeemable convertible preferred stock, which was outstanding prior to the Company’s IPO, to be participating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basic net income (loss) per share attributable to common stockholders by dividing net income (loss) attributable to common stockholders by the weighted-average number of shares of common stock outstanding during the period. For the purpose of calculating weighted-average number of shares of common stock outstanding, common stock outstanding prior to the close of the Company’s IPO which were automatically reclassified into an equivalent number of shares of the Company’s Class A common stock upon the IPO have been retroactively adjusted to reflect the reclassification. Diluted net income (loss) per share is computed using the weighted-average number of shares common stock outstanding in each class, after giving consideration to the effect of potentially dilutive securities outstanding during the period, including stock options, unvested shares, and ESPP shares. The dilutive effect of potentially dilutive securities is determined using the treasury stock method. The computation of the diluted net income (loss) per share of Class A common stock assumes the conversion of Class B common stock, while the diluted net income (loss) per share of Class B common stock does not assume the conversion of those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basic and diluted net income (loss) per share attributable to common stockholders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846"/>
        <w:gridCol w:w="482"/>
        <w:gridCol w:w="391"/>
        <w:gridCol w:w="244"/>
        <w:gridCol w:w="807"/>
        <w:gridCol w:w="109"/>
        <w:gridCol w:w="109"/>
        <w:gridCol w:w="109"/>
        <w:gridCol w:w="109"/>
        <w:gridCol w:w="250"/>
        <w:gridCol w:w="711"/>
        <w:gridCol w:w="109"/>
        <w:gridCol w:w="109"/>
        <w:gridCol w:w="109"/>
        <w:gridCol w:w="109"/>
        <w:gridCol w:w="244"/>
        <w:gridCol w:w="807"/>
        <w:gridCol w:w="130"/>
        <w:gridCol w:w="109"/>
        <w:gridCol w:w="109"/>
        <w:gridCol w:w="109"/>
        <w:gridCol w:w="244"/>
        <w:gridCol w:w="807"/>
        <w:gridCol w:w="109"/>
        <w:gridCol w:w="109"/>
        <w:gridCol w:w="109"/>
        <w:gridCol w:w="109"/>
        <w:gridCol w:w="250"/>
        <w:gridCol w:w="711"/>
        <w:gridCol w:w="109"/>
        <w:gridCol w:w="109"/>
        <w:gridCol w:w="109"/>
        <w:gridCol w:w="109"/>
        <w:gridCol w:w="244"/>
        <w:gridCol w:w="807"/>
        <w:gridCol w:w="159"/>
      </w:tblGrid>
      <w:tr>
        <w:trPr/>
        <w:tc>
          <w:tcPr>
            <w:tcW w:w="8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09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EPS: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common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348,049,758 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379,820,643 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348,770,966 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380,723,765 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EPS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EPS: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 to Class B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for diluted EPS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common shares outstanding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348,049,758 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379,820,643 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348,770,966 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380,723,765 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potentially dilutive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16,219,509 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to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shares outstanding</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393,420,014 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31,770,885 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393,420,014 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396,943,274 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396,943,274 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tbl>
      <w:tblPr>
        <w:tblW w:w="10205" w:type="dxa"/>
        <w:jc w:val="left"/>
        <w:tblInd w:w="0" w:type="dxa"/>
        <w:tblLayout w:type="fixed"/>
        <w:tblCellMar>
          <w:top w:w="28" w:type="dxa"/>
          <w:left w:w="28" w:type="dxa"/>
          <w:bottom w:w="28" w:type="dxa"/>
          <w:right w:w="28" w:type="dxa"/>
        </w:tblCellMar>
      </w:tblPr>
      <w:tblGrid>
        <w:gridCol w:w="997"/>
        <w:gridCol w:w="552"/>
        <w:gridCol w:w="501"/>
        <w:gridCol w:w="217"/>
        <w:gridCol w:w="834"/>
        <w:gridCol w:w="109"/>
        <w:gridCol w:w="109"/>
        <w:gridCol w:w="109"/>
        <w:gridCol w:w="109"/>
        <w:gridCol w:w="196"/>
        <w:gridCol w:w="685"/>
        <w:gridCol w:w="109"/>
        <w:gridCol w:w="109"/>
        <w:gridCol w:w="109"/>
        <w:gridCol w:w="109"/>
        <w:gridCol w:w="216"/>
        <w:gridCol w:w="835"/>
        <w:gridCol w:w="118"/>
        <w:gridCol w:w="109"/>
        <w:gridCol w:w="109"/>
        <w:gridCol w:w="109"/>
        <w:gridCol w:w="196"/>
        <w:gridCol w:w="775"/>
        <w:gridCol w:w="109"/>
        <w:gridCol w:w="109"/>
        <w:gridCol w:w="109"/>
        <w:gridCol w:w="109"/>
        <w:gridCol w:w="196"/>
        <w:gridCol w:w="685"/>
        <w:gridCol w:w="109"/>
        <w:gridCol w:w="109"/>
        <w:gridCol w:w="109"/>
        <w:gridCol w:w="109"/>
        <w:gridCol w:w="197"/>
        <w:gridCol w:w="776"/>
        <w:gridCol w:w="158"/>
      </w:tblGrid>
      <w:tr>
        <w:trPr/>
        <w:tc>
          <w:tcPr>
            <w:tcW w:w="99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85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EPS: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common shares outstanding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120,254,772 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126,620,499 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96,412,477 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EPS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EPS: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 (loss) to Class B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for diluted EPS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common shares outstanding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120,254,772 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126,620,499 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96,412,477 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to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shares outstanding</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126,620,499 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126,620,499 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96,412,477 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income (loss) per share because including them would have had an anti-dilutive effect, or issuance of such shares is contingent upon the satisfaction of certain conditions which were not satisfied at the end of the respective periods:</w:t>
      </w:r>
    </w:p>
    <w:tbl>
      <w:tblPr>
        <w:tblW w:w="10205" w:type="dxa"/>
        <w:jc w:val="left"/>
        <w:tblInd w:w="0" w:type="dxa"/>
        <w:tblLayout w:type="fixed"/>
        <w:tblCellMar>
          <w:top w:w="28" w:type="dxa"/>
          <w:left w:w="28" w:type="dxa"/>
          <w:bottom w:w="28" w:type="dxa"/>
          <w:right w:w="28" w:type="dxa"/>
        </w:tblCellMar>
      </w:tblPr>
      <w:tblGrid>
        <w:gridCol w:w="1373"/>
        <w:gridCol w:w="1101"/>
        <w:gridCol w:w="1109"/>
        <w:gridCol w:w="590"/>
        <w:gridCol w:w="491"/>
        <w:gridCol w:w="180"/>
        <w:gridCol w:w="180"/>
        <w:gridCol w:w="180"/>
        <w:gridCol w:w="180"/>
        <w:gridCol w:w="590"/>
        <w:gridCol w:w="491"/>
        <w:gridCol w:w="180"/>
        <w:gridCol w:w="109"/>
        <w:gridCol w:w="109"/>
        <w:gridCol w:w="109"/>
        <w:gridCol w:w="540"/>
        <w:gridCol w:w="541"/>
        <w:gridCol w:w="162"/>
        <w:gridCol w:w="160"/>
        <w:gridCol w:w="160"/>
        <w:gridCol w:w="160"/>
        <w:gridCol w:w="540"/>
        <w:gridCol w:w="541"/>
        <w:gridCol w:w="162"/>
        <w:gridCol w:w="109"/>
        <w:gridCol w:w="158"/>
      </w:tblGrid>
      <w:tr>
        <w:trPr/>
        <w:tc>
          <w:tcPr>
            <w:tcW w:w="137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10,787,139 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33,550,254 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33,550,254 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service-based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11,484,307 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23,132,280 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23,132,280 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performance-based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6,603,929 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6,729,943 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6,729,943 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market-based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30,947,619 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66,976,026 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21,367,015 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66,976,026 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transactions may include any transaction between the Company and parties that control, are controlled by, or are under common control with the Company, as well as other related parties. The Company has defined related parties as members of the board of directors, executive officers, principal owners of the Company’s outstanding stock, and any immediate family members of each such related party, as well as any entity for which the aforementioned individuals exercise significant influence over or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established the Chime Scholars Foundation (the “Foundation”), a non-controlled nonprofit organization formed for the purpose of distributing charitable donations to recipients generally located in the communities the Company serves. In connection with this initiative, the Company entered into an agreement to gift 3,210,192 shares of the Company’s Class A common stock to the Foundation. In March 2026, the agreement was amended to provide for quarterly, rather than annual, share transfers beginning in the second quarter of 2026. The Company gifted 80,255 shares of the Company’s Class A common stock in the three and six months ended June 30, 2026 and gifted 321,019 shares of the Company’s Class A common stock in the three and six months ended June 30, 2025. The Company recognized $1.5 million in the three and six months ended June 30, 2026 and $11.2 million in the three and six months ended June 30, 2025 in stock-based charitable contribution for the fair value of donated shares, based on the closing stock price on the day of donation, within general and administrative expenses in the condensed consolidated statement of operations. Cash donations are recognized as expenses when paid to the Foundation. There were no cash donations during the three and six months ended June 30, 2026. During the three and six months ended June 30, 2025, cash donations were nil and $0.7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INCOME TAXES</w:t>
      </w:r>
    </w:p>
    <w:tbl>
      <w:tblPr>
        <w:tblW w:w="8576" w:type="dxa"/>
        <w:jc w:val="left"/>
        <w:tblInd w:w="0" w:type="dxa"/>
        <w:tblLayout w:type="fixed"/>
        <w:tblCellMar>
          <w:top w:w="28" w:type="dxa"/>
          <w:left w:w="28" w:type="dxa"/>
          <w:bottom w:w="28" w:type="dxa"/>
          <w:right w:w="28" w:type="dxa"/>
        </w:tblCellMar>
      </w:tblPr>
      <w:tblGrid>
        <w:gridCol w:w="863"/>
        <w:gridCol w:w="757"/>
        <w:gridCol w:w="764"/>
        <w:gridCol w:w="360"/>
        <w:gridCol w:w="361"/>
        <w:gridCol w:w="333"/>
        <w:gridCol w:w="134"/>
        <w:gridCol w:w="134"/>
        <w:gridCol w:w="134"/>
        <w:gridCol w:w="449"/>
        <w:gridCol w:w="451"/>
        <w:gridCol w:w="333"/>
        <w:gridCol w:w="109"/>
        <w:gridCol w:w="109"/>
        <w:gridCol w:w="109"/>
        <w:gridCol w:w="211"/>
        <w:gridCol w:w="721"/>
        <w:gridCol w:w="271"/>
        <w:gridCol w:w="109"/>
        <w:gridCol w:w="109"/>
        <w:gridCol w:w="109"/>
        <w:gridCol w:w="211"/>
        <w:gridCol w:w="901"/>
        <w:gridCol w:w="271"/>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tax provision for interim periods is determined using an estimated annual effective tax rate (“ETR”), adjusted for discrete items arising in the period. In each quarter, the Company updates its estimated annual ETR and makes a year-to-date calculation of the provision.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0.8% and 0.8%</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rPr>
        <w:t>. The primary difference between the ETR and the federal statutory tax rate for each period was due to the non-deductible executive compensation, the excess tax benefits from stock-based compensation and valuation allowance on the Company’s deferred tax assets.</w:t>
      </w:r>
      <w:r>
        <w:rPr>
          <w:color w:val="000000"/>
          <w:shd w:fill="FFFFFF" w:val="clear"/>
        </w:rPr>
        <w:t xml:space="preserve"> </w:t>
      </w:r>
      <w:r>
        <w:rPr>
          <w:rFonts w:ascii="Times New Roman;serif" w:hAnsi="Times New Roman;serif"/>
          <w:b w:val="false"/>
          <w:color w:val="000000"/>
          <w:sz w:val="20"/>
        </w:rPr>
        <w:t>Tax expense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 xml:space="preserve">three and six months ended June 30, 2026 was primarily due to certain state taxes.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0.1% and (0.1)%</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six months ended June 30, 2025. </w:t>
      </w:r>
      <w:r>
        <w:rPr>
          <w:rFonts w:ascii="Times New Roman;serif" w:hAnsi="Times New Roman;serif"/>
          <w:b w:val="false"/>
          <w:color w:val="000000"/>
          <w:sz w:val="20"/>
          <w:shd w:fill="FFFFFF" w:val="clear"/>
        </w:rPr>
        <w:t xml:space="preserve">The primary difference between the ETR and the federal statutory tax rate for each period was due to the non-deductible executive compensation, the excess tax benefits from stock-based compensation and valuation allowance on the Company’s deferred tax assets. Tax expense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June 30, 2025</w:t>
      </w:r>
      <w:r>
        <w:rPr>
          <w:color w:val="000000"/>
          <w:shd w:fill="FFFFFF" w:val="clear"/>
        </w:rPr>
        <w:t xml:space="preserve"> </w:t>
      </w:r>
      <w:r>
        <w:rPr>
          <w:rFonts w:ascii="Times New Roman;serif" w:hAnsi="Times New Roman;serif"/>
          <w:b w:val="false"/>
          <w:color w:val="000000"/>
          <w:sz w:val="20"/>
          <w:shd w:fill="FFFFFF" w:val="clear"/>
        </w:rPr>
        <w:t>was primarily due to certain state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reviews all available positive and negative evidence in assessing the realizability of deferred tax assets. As of June 30, 2026, the Company maintained a full valuation allowance against the net deferred tax assets in applicable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property under operating leases that expire at various dates. The most significant of these operating leases is the corporate headquarters in San Francisco, California. For the three and six months ended June 30, 2026, rent expense for all operating leases was $4.0 million and $8.0 million. For the three and six months ended June 30, 2025, rent expense for all operating leases was $2.7 million and $5.5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are as follows:</w:t>
      </w:r>
    </w:p>
    <w:tbl>
      <w:tblPr>
        <w:tblW w:w="8663" w:type="dxa"/>
        <w:jc w:val="left"/>
        <w:tblInd w:w="0" w:type="dxa"/>
        <w:tblLayout w:type="fixed"/>
        <w:tblCellMar>
          <w:top w:w="28" w:type="dxa"/>
          <w:left w:w="28" w:type="dxa"/>
          <w:bottom w:w="28" w:type="dxa"/>
          <w:right w:w="28" w:type="dxa"/>
        </w:tblCellMar>
      </w:tblPr>
      <w:tblGrid>
        <w:gridCol w:w="917"/>
        <w:gridCol w:w="808"/>
        <w:gridCol w:w="810"/>
        <w:gridCol w:w="109"/>
        <w:gridCol w:w="109"/>
        <w:gridCol w:w="165"/>
        <w:gridCol w:w="165"/>
        <w:gridCol w:w="321"/>
        <w:gridCol w:w="937"/>
        <w:gridCol w:w="165"/>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 are primarily related to payments made to the Company’s landlords for common area maintenance, property taxes, insurance, and other 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leases were as follows:</w:t>
      </w:r>
    </w:p>
    <w:tbl>
      <w:tblPr>
        <w:tblW w:w="9292" w:type="dxa"/>
        <w:jc w:val="left"/>
        <w:tblInd w:w="0" w:type="dxa"/>
        <w:tblLayout w:type="fixed"/>
        <w:tblCellMar>
          <w:top w:w="28" w:type="dxa"/>
          <w:left w:w="28" w:type="dxa"/>
          <w:bottom w:w="28" w:type="dxa"/>
          <w:right w:w="28" w:type="dxa"/>
        </w:tblCellMar>
      </w:tblPr>
      <w:tblGrid>
        <w:gridCol w:w="1184"/>
        <w:gridCol w:w="1039"/>
        <w:gridCol w:w="1046"/>
        <w:gridCol w:w="109"/>
        <w:gridCol w:w="109"/>
        <w:gridCol w:w="165"/>
        <w:gridCol w:w="165"/>
        <w:gridCol w:w="321"/>
        <w:gridCol w:w="937"/>
        <w:gridCol w:w="165"/>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If the reasonable estimate is a range and no amount within that range is considered a better estimate than any other amount, an accrual is recorded based on the bottom amount of the range. Loss contingencies that are reasonably possible of occurrence are subject to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19 – SUBSEQUENT EVENT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2026, the Company committed to a reorganization (the “Plan”) to better align the Company’s personnel with its strategic priorities,improve operational efficiency, and position the Company for continued growth.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Plan involves the reduction of approximately 10% of the Company’s total workforce. The Company estimates that it will incur approximately $16 million to $20 million in net cash restructuring charges in the third quarter of 2026, partially offset by a reversal of approximately $9 million to $12 million in non-cash stock-based compensation expense as discussed below, resulting in an expected impact to net income of $6 million to $9 million,. The Company expects that most cash payments and expenses related to the reduction in personnel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 incurred by the end of the third quarter of 2026, and that the implementation of the Plan will be substantially complete by the end of the third quarter of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stock-based compensation, also as part of the Plan, the Company allowed a portion of the affected employees’ stock awards to vest that otherwise would have required continued service. However, as a result of the reversal of stock-based compensation expense that had been previously recognized (under the accelerated attribution method, generally) for the forfeited portions of the impacted employees’ stock awards, the Company expects the Plan will result in a net reduction to stock-based compensation expense of approximately $9 million to $12 million, most of which will be recognized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section presents management’s perspective on our financial condition and results of operations. The following discussion and analysis is intended to highlight and supplement data and information presented elsewhere in this Quarterly Report on Form 10-Q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Annual Report on Form 10-K for the year ended December 31, 2025 (“2025 Form 10-K”).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Financial data as of and for the three and six months ended June 30, 2026 and 2025 has been derived from our unaudited condensed consolidated financial statements appearing at the beginning of this Quarterly Report.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nearly 75% of the adult population that earn up to $100,000 annually,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the most critical financial needs of everyday people across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broad suite of products, we have built trusted relationships with 10.4 million Active Members as of June 30, 2026. The majority of our Active Members rely on Chime to serve as their primary financial relationship, which we believe are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Metrics and 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several operating and financial metrics, including the key metrics set forth below, to help us evaluate our business and growth trends, establish budgets, evaluate the effectiveness of our investments, and assess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Metrics</w:t>
      </w:r>
    </w:p>
    <w:tbl>
      <w:tblPr>
        <w:tblW w:w="9833" w:type="dxa"/>
        <w:jc w:val="left"/>
        <w:tblInd w:w="0" w:type="dxa"/>
        <w:tblLayout w:type="fixed"/>
        <w:tblCellMar>
          <w:top w:w="28" w:type="dxa"/>
          <w:left w:w="28" w:type="dxa"/>
          <w:bottom w:w="28" w:type="dxa"/>
          <w:right w:w="28" w:type="dxa"/>
        </w:tblCellMar>
      </w:tblPr>
      <w:tblGrid>
        <w:gridCol w:w="1599"/>
        <w:gridCol w:w="1407"/>
        <w:gridCol w:w="141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Volume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Instant Loans, sending or receiving funds with Pay Anyone, outbound instant transfers, and other types of ACH or direct debit transfers. Purchase Volume exhibits seasonality, most prominently in the first quarter of each year due to increased spending following our members’ receipt of tax refunds. </w:t>
      </w:r>
    </w:p>
    <w:tbl>
      <w:tblPr>
        <w:tblW w:w="6903" w:type="dxa"/>
        <w:jc w:val="left"/>
        <w:tblInd w:w="0" w:type="dxa"/>
        <w:tblLayout w:type="fixed"/>
        <w:tblCellMar>
          <w:top w:w="28" w:type="dxa"/>
          <w:left w:w="28" w:type="dxa"/>
          <w:bottom w:w="28" w:type="dxa"/>
          <w:right w:w="28" w:type="dxa"/>
        </w:tblCellMar>
      </w:tblPr>
      <w:tblGrid>
        <w:gridCol w:w="1599"/>
        <w:gridCol w:w="1407"/>
        <w:gridCol w:w="1419"/>
        <w:gridCol w:w="196"/>
        <w:gridCol w:w="421"/>
        <w:gridCol w:w="109"/>
        <w:gridCol w:w="109"/>
        <w:gridCol w:w="109"/>
        <w:gridCol w:w="109"/>
        <w:gridCol w:w="196"/>
        <w:gridCol w:w="421"/>
        <w:gridCol w:w="109"/>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Members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Active Member (ARPAM)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Active Members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or repaying a MyPay advance or an Instant Loan.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Average Revenue per Active Member (“ARPAM”)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trends and for internal planning and forecasting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transaction profit, transaction margin, adjusted EBITDA, and adjusted EBITDA margin in conjunction with GAAP measures to evaluate our operating performance, formulate business plans, prepare budgets and forecasts, and make strategic decisions.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Profit and Transaction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to transaction profit:</w:t>
      </w:r>
    </w:p>
    <w:tbl>
      <w:tblPr>
        <w:tblW w:w="9535" w:type="dxa"/>
        <w:jc w:val="left"/>
        <w:tblInd w:w="0" w:type="dxa"/>
        <w:tblLayout w:type="fixed"/>
        <w:tblCellMar>
          <w:top w:w="28" w:type="dxa"/>
          <w:left w:w="28" w:type="dxa"/>
          <w:bottom w:w="28" w:type="dxa"/>
          <w:right w:w="28" w:type="dxa"/>
        </w:tblCellMar>
      </w:tblPr>
      <w:tblGrid>
        <w:gridCol w:w="1231"/>
        <w:gridCol w:w="1083"/>
        <w:gridCol w:w="1090"/>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736"/>
        <w:gridCol w:w="256"/>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594,873 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1,175,186 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Transaction and risk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Adjusted EBITDA and Adjusted EBITDA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360"/>
        <w:gridCol w:w="1192"/>
        <w:gridCol w:w="1196"/>
        <w:gridCol w:w="109"/>
        <w:gridCol w:w="109"/>
        <w:gridCol w:w="109"/>
        <w:gridCol w:w="196"/>
        <w:gridCol w:w="736"/>
        <w:gridCol w:w="256"/>
        <w:gridCol w:w="109"/>
        <w:gridCol w:w="109"/>
        <w:gridCol w:w="109"/>
        <w:gridCol w:w="196"/>
        <w:gridCol w:w="802"/>
        <w:gridCol w:w="256"/>
        <w:gridCol w:w="109"/>
        <w:gridCol w:w="109"/>
        <w:gridCol w:w="109"/>
        <w:gridCol w:w="196"/>
        <w:gridCol w:w="736"/>
        <w:gridCol w:w="256"/>
        <w:gridCol w:w="109"/>
        <w:gridCol w:w="109"/>
        <w:gridCol w:w="109"/>
        <w:gridCol w:w="196"/>
        <w:gridCol w:w="802"/>
        <w:gridCol w:w="256"/>
        <w:gridCol w:w="109"/>
        <w:gridCol w:w="156"/>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(923,376)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(910,437)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 Interchange-based fees from credit card transactions tend to be higher than interchange-based fees from debit card transactions, resulting in higher payments revenue recognized from the same amount of Purchase Volume. Card networks set the rates for interchange fees, which are generally determined as a percentage of the underlying transaction value plus a fixed amount per transaction, and may be influenced by competitive and regulatory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we launched Chime Prime, our premium membership tier. Chime Prime offers members cash back on a spending category of choice, which is recorded as a reduction of 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we contract with our bank partners to provide Chime members with access to deposit products and services such as full-featured, FDIC-insured checking accounts, debit cards, and secured credit cards.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earn platform-related revenue from other products offered to our members that provide additional convenience, financial management tools, and access to liquidity. </w:t>
      </w:r>
      <w:r>
        <w:rPr>
          <w:rFonts w:ascii="Times New Roman;serif" w:hAnsi="Times New Roman;serif"/>
          <w:b w:val="false"/>
          <w:color w:val="000000"/>
          <w:sz w:val="20"/>
        </w:rPr>
        <w:t xml:space="preserve">These products include MyPay, ATMs, outbound instant transfers, third-party partnerships, SpotMe, cash deposits, Instant Loans, and high-yield savings accounts.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a network of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Outbound instant transfers allow members to instantly transfer funds from their Chime account to an external account at a fixed rate. Revenue is recognized at a point in time on a gross basis when the transfer of funds is settled.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SpotMe is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Instant Loans product allows members to borrow funds that are repaid in equal installments over a set period of time. Instant Loans have a fixed interest rate with no late fees or compound interest. Our bank partner is the legal lender of the Instant Loan product. We earn revenue related to Instant Loans based on the interest charged to members, net of fees paid to the bank partner, at an amount that approximates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high-yield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include expenses relating to our internally-developed payment processor and ledger, ChimeCore. Costs associated with ChimeCore primarily consist of gateway processing costs, which are generally based on a fixed amount per transaction, which varies by transaction type, and cloud infrastructure and hosting costs.</w:t>
        <w:br/>
        <w:br/>
        <w:t>    Prior to November 2025, we relied on a third-party processor to perform transaction authorization, settlement, payments, adjustments, and other account-level processing, as well as to maintain member account information and provide transaction reporting. Fees paid to the third-party processor were generally based on a fixed amount per transaction, subject to volume-based discounts.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also include amortization of internal-use software related to supporting revenue-generating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in which the percentage generally decreases with scale.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card and ATM networks for providing the worldwide networks through which card payment, ATM transactions, and other money movements such as inbound and outbound transfers are authorized, processed, and settled. These fees are generally based on Purchase Volume, the total number of transactions in the period, and other money movement volume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consists of our total revenue minus total cost of revenue.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primarily consist of losses relating to liquidity products both on- and off-balance sheet, overdrawn member accounts, and transaction dispute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relating to our off-balance sheet receivables that are retained by bank partners and relate to MyPay, Instant Loans,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relating to MyPay receivables we purchase, which are reflected on our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dispute losses result from member-initiated disputes with merchants or due to processing fraudulent transactions. We estimate the provision for transaction dispute losses each period based on current period data points and historical trends related to loss rates.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we use for certain member support and loss prevention services, the costs of physical card issuance, software to help manage member interactions, and member onboarding, activation,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general marketing and promotional activities, including advertising costs associated with the production and communication of advertisements in various media outlets, referral bonuses given to prospective and existing members with certain qualifying conditions, and other promotional activities. Sales and marketing expenses also include personnel-related expenses including salaries, employee benefit costs, and stock-based compensation for employees engaged in sales and marketing functions and allocated overhead.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amortization of our capitalized software and depreciation on our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our cash and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1389"/>
        <w:gridCol w:w="1027"/>
        <w:gridCol w:w="1035"/>
        <w:gridCol w:w="109"/>
        <w:gridCol w:w="109"/>
        <w:gridCol w:w="109"/>
        <w:gridCol w:w="241"/>
        <w:gridCol w:w="945"/>
        <w:gridCol w:w="109"/>
        <w:gridCol w:w="109"/>
        <w:gridCol w:w="109"/>
        <w:gridCol w:w="109"/>
        <w:gridCol w:w="237"/>
        <w:gridCol w:w="949"/>
        <w:gridCol w:w="109"/>
        <w:gridCol w:w="109"/>
        <w:gridCol w:w="109"/>
        <w:gridCol w:w="109"/>
        <w:gridCol w:w="211"/>
        <w:gridCol w:w="976"/>
        <w:gridCol w:w="109"/>
        <w:gridCol w:w="109"/>
        <w:gridCol w:w="109"/>
        <w:gridCol w:w="109"/>
        <w:gridCol w:w="211"/>
        <w:gridCol w:w="976"/>
        <w:gridCol w:w="109"/>
        <w:gridCol w:w="109"/>
        <w:gridCol w:w="155"/>
      </w:tblGrid>
      <w:tr>
        <w:trPr/>
        <w:tc>
          <w:tcPr>
            <w:tcW w:w="138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379,820,643 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393,420,014 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126,620,499 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396,943,274 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96,412,477 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depreciation and amortization includes amounts as follows:</w:t>
      </w:r>
    </w:p>
    <w:tbl>
      <w:tblPr>
        <w:tblW w:w="9232" w:type="dxa"/>
        <w:jc w:val="left"/>
        <w:tblInd w:w="0" w:type="dxa"/>
        <w:tblLayout w:type="fixed"/>
        <w:tblCellMar>
          <w:top w:w="28" w:type="dxa"/>
          <w:left w:w="28" w:type="dxa"/>
          <w:bottom w:w="28" w:type="dxa"/>
          <w:right w:w="28" w:type="dxa"/>
        </w:tblCellMar>
      </w:tblPr>
      <w:tblGrid>
        <w:gridCol w:w="1580"/>
        <w:gridCol w:w="1390"/>
        <w:gridCol w:w="1394"/>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in 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as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depreciation and amortization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include stock-based compensation and related payroll tax as follows:</w:t>
      </w:r>
    </w:p>
    <w:tbl>
      <w:tblPr>
        <w:tblW w:w="9862" w:type="dxa"/>
        <w:jc w:val="left"/>
        <w:tblInd w:w="0" w:type="dxa"/>
        <w:tblLayout w:type="fixed"/>
        <w:tblCellMar>
          <w:top w:w="28" w:type="dxa"/>
          <w:left w:w="28" w:type="dxa"/>
          <w:bottom w:w="28" w:type="dxa"/>
          <w:right w:w="28" w:type="dxa"/>
        </w:tblCellMar>
      </w:tblPr>
      <w:tblGrid>
        <w:gridCol w:w="1646"/>
        <w:gridCol w:w="1447"/>
        <w:gridCol w:w="1451"/>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 and related payroll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11547" w:type="dxa"/>
        <w:jc w:val="left"/>
        <w:tblInd w:w="0" w:type="dxa"/>
        <w:tblLayout w:type="fixed"/>
        <w:tblCellMar>
          <w:top w:w="28" w:type="dxa"/>
          <w:left w:w="28" w:type="dxa"/>
          <w:bottom w:w="28" w:type="dxa"/>
          <w:right w:w="28" w:type="dxa"/>
        </w:tblCellMar>
      </w:tblPr>
      <w:tblGrid>
        <w:gridCol w:w="657"/>
        <w:gridCol w:w="301"/>
        <w:gridCol w:w="3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8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437"/>
      </w:tblGrid>
      <w:tr>
        <w:trPr/>
        <w:tc>
          <w:tcPr>
            <w:tcW w:w="6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Platform-related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revenue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for the three and six months ended June 30, 2026 increased by $141.6 million or 27% and $270.3 million, or 26%, year over year, primarily driven by the growth of our total Active Members and the associated increase in Purchase Volume, a continued shift in payment mix toward credit from debit with the launch of Chime Prime, as well as the continued growth of MyPay, Instant Loans, and outbound instant transfers.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revenue increased by $63.9 million or 17% and $121.3 million, or 16%, for the three and six months ended June 30, 2026 compared to the same periods in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this increase primarily reflected a $63.7 million, or 62%, increase in revenue from interchange-based fees from credit card transactions compared to the same period in 2025. The increase in payments revenue was driven by a 5.6 billion, or 17%, increase in Purchase Volume for the three months ended June 30, 2026 compared to the same period in 2025. For the three months ended June 30, 2026 and 2025, interchange-based fees from debit card transactions represented 39% and 50% of revenue, with debit card transactions representing 73% and 84% of Purchase Volume. For the three months ended June 30, 2026 and 2025, interchange-based fees from credit card transactions represented 25% and 20% of revenue, with credit card transactions representing 27% and 16% of Purchase Volume.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this increase primarily reflected a $121.3 million, or 58%, increase in revenue from interchange-based fees from credit card transactions compared to the same period in 2025. The increase in payments revenue was driven by a $9.8 billion, or 15%, increase in Purchase Volume for the six months ended June 30, 2026 compared to the same period in 2025. For the six months ended June 30, 2026 and 2025, interchange-based fees from debit card transactions represented 40% and 51% of revenue, with debit card transactions representing 75% and 84% of Purchase Volume. For the six months ended June 30, 2026 and 2025, interchange-based fees from credit card transactions represented 25% and 20% of revenue, with credit card transactions representing 25% and 16% of 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Purchase Volume was driven, in part, by a 1.7 million, or 20%, increase in Active Members as of June 30, 2026 compared to June 30, 2025. Increasing the number of Active Members on our platform helps drive Purchase Volume, which increases the interchange-based fees generated and the payments revenue that we recognize.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Platform-related revenue for the three and six months ended June 30, 2026 increased $77.7 million, or 48%, and $149.0 million, or 49%, year over year. For the three and six months ended June 30, 2026, the increase was primarily driven by a $37.1 million and $76.7 million increase year over year from MyPay driven by our new variable pricing plan adopted in the first quarter of 2026 and increased MyPay transaction volume from continued adoption. Additionally, during the three and six months ended June 30, 2026, Instant Loan revenue increased $19.7 million and $32.7 million and outbound instant transfer fees increased $14.9 million and $30.5 million as members continued to adopt these products.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10460" w:type="dxa"/>
        <w:jc w:val="left"/>
        <w:tblInd w:w="0" w:type="dxa"/>
        <w:tblLayout w:type="fixed"/>
        <w:tblCellMar>
          <w:top w:w="28" w:type="dxa"/>
          <w:left w:w="28" w:type="dxa"/>
          <w:bottom w:w="28" w:type="dxa"/>
          <w:right w:w="28" w:type="dxa"/>
        </w:tblCellMar>
      </w:tblPr>
      <w:tblGrid>
        <w:gridCol w:w="342"/>
        <w:gridCol w:w="301"/>
        <w:gridCol w:w="30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57"/>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4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months ended June 30, 2026 increased $7.8 million, or 12%, driven by a $13.4 million increase in card and ATM network expenses, net of incentives, partially offset by a $5.6 million decrease in transaction processing and bank partner costs. Cost of revenue for the six months ended June 30, 2026 increased $14.4 million, or 11%, driven by a $25.6 million increase in card and ATM network expenses, net of incentives, partially offset by a $11.2 million decrease in transaction processing and bank partner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card and ATM network expenses in the three and six months ended June 30, 2026 compared to the prior year was driven both by the increase in Active Members and from Active Members engaging more frequently with our products, including instant transfers. The decrease in transaction processing and bank partner costs in the three and six months ended June 30, 2026 compared to the prior year was driven by cost savings following our migration from a third-party transaction processor to ChimeCore, which occurred in the fourth quarter of 2025, partially offset by growth in Active Members, the related growth in Purchase Volume, and the shift in payment mix toward credit.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1509" w:type="dxa"/>
        <w:jc w:val="left"/>
        <w:tblInd w:w="0" w:type="dxa"/>
        <w:tblLayout w:type="fixed"/>
        <w:tblCellMar>
          <w:top w:w="28" w:type="dxa"/>
          <w:left w:w="28" w:type="dxa"/>
          <w:bottom w:w="28" w:type="dxa"/>
          <w:right w:w="28" w:type="dxa"/>
        </w:tblCellMar>
      </w:tblPr>
      <w:tblGrid>
        <w:gridCol w:w="492"/>
        <w:gridCol w:w="301"/>
        <w:gridCol w:w="303"/>
        <w:gridCol w:w="196"/>
        <w:gridCol w:w="736"/>
        <w:gridCol w:w="109"/>
        <w:gridCol w:w="109"/>
        <w:gridCol w:w="109"/>
        <w:gridCol w:w="109"/>
        <w:gridCol w:w="196"/>
        <w:gridCol w:w="871"/>
        <w:gridCol w:w="109"/>
        <w:gridCol w:w="109"/>
        <w:gridCol w:w="109"/>
        <w:gridCol w:w="109"/>
        <w:gridCol w:w="196"/>
        <w:gridCol w:w="751"/>
        <w:gridCol w:w="109"/>
        <w:gridCol w:w="109"/>
        <w:gridCol w:w="109"/>
        <w:gridCol w:w="109"/>
        <w:gridCol w:w="173"/>
        <w:gridCol w:w="173"/>
        <w:gridCol w:w="349"/>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173"/>
        <w:gridCol w:w="173"/>
        <w:gridCol w:w="402"/>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Transaction and risk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support and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573,551 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1,391,667 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(818,116)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1,107,701 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(733,155)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decreased by $818.1 million, or 59%, and $733.2 million, or 40%, for the three and six months ended June 30, 2026 compared to the three and six months ended June 30, 2025 driven by the following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for the three months ended June 30, 2026 increased by $5.0 million, or 5%, year over year, driven by an increase of $9.9 million in transaction and risk losses related to our Instant Loans product primarily due to higher volumes, and an increase of $8.3 million in transaction dispute losses primarily attributable to the increase in Purchase Volume and increase in the rate of disputed transactions. These increases were partially offset by a decrease of $13.0 million in losses related to MyPay, primarily attributable to improved loss rates on originations made during the current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and risk losses for the six months ended June 30, 2026 decreased by $15.2 million, or 7%, year over year, driven by a decrease of $31.4 million in losses related to MyPay, primarily attributable to improved loss rates on originations made during the current period. Losses related to SpotMe and other member negative balances also decreased by $12.6 million, primarily due to isolated fraud incidents in the first quarter of 2025. These decreases were partially offset by an increase of $16.2 million in transaction and risk losses related to our Instant Loans product primarily due to higher volumes, and an increase of $12.7 million in transaction dispute losses primarily attributable to the increase in Purchase Volume and increase in the rate of disputed transactions.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for the three and six months ended June 30, 2026 decreased by $93.5 million or 46% and $76.8 million, or 27%, year over year driven by a decrease in stock-based compensation and related payroll tax of $113.1 million and $105.3 million as higher stock-based compensation expenses were recognized as a result of our IPO in the second quarter of 2025. This was partially offset by a $10.0 million and $12.7 million increase in member onboarding costs in the three and six months ended June 30, 2026 attributable to activation expenses associated with Chime Prime.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for the three months ended June 30, 2026 decreased by $20.8 million, or 11%, year over year driven by a decrease in stock-based compensation and related payroll tax of $38.9 million in the three months ended June 30, 2026 compared to the prior year as higher stock-based compensation expenses were recognized as a result of our IPO in the second quarter of 2025. This was partially offset by an increase of $16.3 million in marketing and promotional activities in the three months ended June 30, 2026 compared to the prior year.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for the six months ended June 30, 2026 increased by $12.0 million, or 4%, year over year driven by an increase of $42.0 million in marketing and promotional activities in the six months ended June 30, 2026 compared to the prior year. This was partially offset by a decrease in stock-based compensation and related payroll tax of $34.8 million in the six months ended June 30, 2026 compared to the prior year as higher stock-based compensation expenses were recognized as a result of our IPO in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for the three and six months ended June 30, 2026 decreased by $509.6 million, or 82%, and $477.7 million, or 68%, year over year primarily driven by a decrease in stock-based compensation and related payroll tax of $511.1 million and $487.4 million in the three and six months ended June 30, 2026 compared to the prior year as higher stock-based compensation expenses were recognized as a result of our IPO in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and six months ended June 30, 2026 decreased by $199.5 million, or 71%, and $176.2 million, or 54%, year over year, primarily driven by a decrease in stock-based compensation and related payroll tax of $193.8 million and $173.4 million in the three and six months ended June 30, 2026 compared to the prior year as higher stock-based compensation expenses were recognized as a result of our IPO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205" w:type="dxa"/>
        <w:jc w:val="left"/>
        <w:tblInd w:w="0" w:type="dxa"/>
        <w:tblLayout w:type="fixed"/>
        <w:tblCellMar>
          <w:top w:w="28" w:type="dxa"/>
          <w:left w:w="28" w:type="dxa"/>
          <w:bottom w:w="28" w:type="dxa"/>
          <w:right w:w="28" w:type="dxa"/>
        </w:tblCellMar>
      </w:tblPr>
      <w:tblGrid>
        <w:gridCol w:w="471"/>
        <w:gridCol w:w="414"/>
        <w:gridCol w:w="417"/>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52"/>
        <w:gridCol w:w="152"/>
        <w:gridCol w:w="357"/>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411"/>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and six months ended June 30, 2026 increased by $0.5 million, or 8%, and $2.9 million, or 25%, year over year, primarily attributable to an increase in interest income due to higher balances on interest-bearing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our cash and cash equivalents of $536.0 million and investments in marketable securities of $527.4 million. Additionally, we have $451.8 million in borrowing capacity under our revolving credit facility and $150.0 million of remaining committed capacity under our warehouse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June 30, 2026, the amount of this commitment would have been approximately $1.8 billion (with such amount in connection with liquidity products excluding Credit Builder not to exceed approximately $1.1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our board of directors approved a share repurchase program with authorization to purchase up to $200.0 million of our Class A common stock at management’s discretion, and in May 2026 we announced that our board of directors approved an additional $200.0 million share repurchase authorization.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obligate us to repurchase any particular amount of Class A common stock and may be suspended or discontinued at any time at our discretion without prior notice, subject to all applicable securities laws. During the three and six months ended June 30, 2026, we repurchased approximately 7.3 million and 11.4 million shares of our common stock for an aggregate purchase price of $136.3 million and $222.1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June 2026, we established a trust to enter into a credit agreement with Goldman Sachs Lending Partners LLC as the lender which provides for a commitment amount of $200.0 million, with a total facility limit of $500.0 million, maturing on June 1, 2028 (the “Warehouse Facility”), with an intent to access additional financing in support of our MyPay product and to supplement our existing bank partner model. As of June 30, 2026, $50.0 million was outstanding under the Warehouse Facility with $150.0 million of remaining committed capacity available. The expected utilization of the Warehouse Facility may depend on a variety of factors, including the growth of MyPay origination volumes. We maintain a reserve account pledged as first-priority collateral to the lender which is not available for general use and may only be disbursed in accordance with the Warehouse Facility’s payment waterfall. The Warehouse Facility includes customary affirmative and negative covenants and requires us to maintain certain levels of minimum liquidity and minimum tangible net worth. We are in compliance with all covenants as of June 30, 2026. See Note 11 - </w:t>
      </w:r>
      <w:r>
        <w:rPr>
          <w:rFonts w:ascii="Times New Roman;serif" w:hAnsi="Times New Roman;serif"/>
          <w:b w:val="false"/>
          <w:i/>
          <w:color w:val="000000"/>
          <w:sz w:val="20"/>
        </w:rPr>
        <w:t>Indebtedness</w:t>
      </w:r>
      <w:r>
        <w:rPr>
          <w:color w:val="000000"/>
        </w:rPr>
        <w:t xml:space="preserve"> </w:t>
      </w:r>
      <w:r>
        <w:rPr>
          <w:rFonts w:ascii="Times New Roman;serif" w:hAnsi="Times New Roman;serif"/>
          <w:b w:val="false"/>
          <w:color w:val="000000"/>
          <w:sz w:val="20"/>
        </w:rPr>
        <w:t>within the notes to our condensed consolidated financial statements included in this Quarterly Report for additional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available cash and cash equivalents and investments in marketable securities, together with amounts available for borrowing under the credit facility and Warehouse Facility,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Instant Loans, and SpotMe, the expansion of sales and marketing activities, potential merger and acquisition activity, and other strategic initiatives.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generation and use of cash for the periods indicated:</w:t>
      </w:r>
    </w:p>
    <w:tbl>
      <w:tblPr>
        <w:tblW w:w="5807" w:type="dxa"/>
        <w:jc w:val="left"/>
        <w:tblInd w:w="0" w:type="dxa"/>
        <w:tblLayout w:type="fixed"/>
        <w:tblCellMar>
          <w:top w:w="28" w:type="dxa"/>
          <w:left w:w="28" w:type="dxa"/>
          <w:bottom w:w="28" w:type="dxa"/>
          <w:right w:w="28" w:type="dxa"/>
        </w:tblCellMar>
      </w:tblPr>
      <w:tblGrid>
        <w:gridCol w:w="1032"/>
        <w:gridCol w:w="908"/>
        <w:gridCol w:w="910"/>
        <w:gridCol w:w="211"/>
        <w:gridCol w:w="901"/>
        <w:gridCol w:w="109"/>
        <w:gridCol w:w="109"/>
        <w:gridCol w:w="109"/>
        <w:gridCol w:w="109"/>
        <w:gridCol w:w="211"/>
        <w:gridCol w:w="826"/>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$295.0 million for the six months ended June 30, 2026, compared to $2.7 million in the six months ended June 30, 2025. The increase of $292.2 million consists of a $991.7 million increase in net income and an increase of $189.6 million in changes in working capital, partially offset by a decrease of $889.1 million in non-cash adjustments.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$189.6 million in changes in working capital for the six months ended June 30, 2026 compared to the prior year was primarily driven by a decrease in our product collateral requirements primarily due to enhancements in our loss recovery processes, the timing of upfront payments received related to our network incentive obligation, and the timing of vendor payments. Additionally, settlements related to our product obligation were cash inflows of $39.2 million in the six months ended June 30, 2026, compared to cash outflows of $19.0 million in the six months ended June 30, 2025, primarily due to the growth of MyPay and Instant Loans revenue and the improved unit economics of MyPay compared to the prior year. This favorability was partially offset by settlements related to SpotMe and other negative balances, which were elevated in the six months ended June 30, 2026 due to the settlement of prior year fraud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of $889.1 million in non-cash adjustments for the six months ended June 30, 2026 compared to the prior year was primarily driven by a $788.8 million decrease in stock-based compensation as the liquidity-based vesting condition for certain equity awards was met in connection with our IPO in 2025. Additionally, the change in fair value of the product obligation was $(52.3) million in the six months ended June 30, 2026, compared to $43.6 million in the prior year. This change is attributable to the growth of MyPay and Instant Loans revenue,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SpotMe and other negative balances transaction and risk losses, and improved MyPay loss rates and unit economics. See Note 8 - </w:t>
      </w:r>
      <w:r>
        <w:rPr>
          <w:rFonts w:ascii="Times New Roman;serif" w:hAnsi="Times New Roman;serif"/>
          <w:b w:val="false"/>
          <w:i/>
          <w:color w:val="000000"/>
          <w:sz w:val="20"/>
        </w:rPr>
        <w:t>Credit Obligations</w:t>
      </w:r>
      <w:r>
        <w:rPr>
          <w:color w:val="000000"/>
        </w:rPr>
        <w:t xml:space="preserve"> </w:t>
      </w:r>
      <w:r>
        <w:rPr>
          <w:rFonts w:ascii="Times New Roman;serif" w:hAnsi="Times New Roman;serif"/>
          <w:b w:val="false"/>
          <w:color w:val="000000"/>
          <w:sz w:val="20"/>
        </w:rPr>
        <w:t>within the notes to our condensed consolidated financial statements included in this Quarterly Report for additional information.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$14.6 million for the six months ended June 30, 2026, primarily due to $2,706.4 million in purchases of loans held for investment offset by $2,652.5 million in repayments of loans held for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was $79.1 million for the six months ended June 30, 2025, primarily due to $2,311.6 million in repayments of loans held for investment, $256.5 million from sales of marketable securities and $123.2 million in proceeds from maturities of marketable securities, offset by $2,368.2 million in purchases of loans held for investment and $234.1 million in purchases of marketable securities.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used in financing activities was $160.0 million, primarily due to $222.1 million from repurchases of common stock, partially offset by $50.0 million in proceeds from borrowings under the Warehouse Facility and $16.0 million in proceeds from the exercise of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cash provided by financing activities was $449.9 million, primarily due to $772.6 million from the issuance of common stock in connection with our IPO in the second quarter of 2025, net of offering costs paid, partially offset by taxes paid related to the net share settlement of restricted stock units of $322.6 million.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fully diluted share count on an unweighted basis taking our total outstanding share count in addition to unexercised stock options, outstanding restricted stock units, outstanding PSUs, and shares reserved for charitable donations.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our fully diluted share count was as follows:</w:t>
      </w:r>
    </w:p>
    <w:tbl>
      <w:tblPr>
        <w:tblW w:w="5749" w:type="dxa"/>
        <w:jc w:val="left"/>
        <w:tblInd w:w="0" w:type="dxa"/>
        <w:tblLayout w:type="fixed"/>
        <w:tblCellMar>
          <w:top w:w="28" w:type="dxa"/>
          <w:left w:w="28" w:type="dxa"/>
          <w:bottom w:w="28" w:type="dxa"/>
          <w:right w:w="28" w:type="dxa"/>
        </w:tblCellMar>
      </w:tblPr>
      <w:tblGrid>
        <w:gridCol w:w="1597"/>
        <w:gridCol w:w="1404"/>
        <w:gridCol w:w="1408"/>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B common stock issued and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charitable donations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 count</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437,468,240 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further information see Note 13 - </w:t>
      </w:r>
      <w:r>
        <w:rPr>
          <w:rFonts w:ascii="Times New Roman;serif" w:hAnsi="Times New Roman;serif"/>
          <w:b w:val="false"/>
          <w:i/>
          <w:color w:val="000000"/>
          <w:sz w:val="20"/>
        </w:rPr>
        <w:t>Common Stock and Stockholders’ Equity</w:t>
      </w:r>
      <w:r>
        <w:rPr>
          <w:color w:val="000000"/>
        </w:rPr>
        <w:t xml:space="preserve"> </w:t>
      </w:r>
      <w:r>
        <w:rPr>
          <w:rFonts w:ascii="Times New Roman;serif" w:hAnsi="Times New Roman;serif"/>
          <w:b w:val="false"/>
          <w:color w:val="000000"/>
          <w:sz w:val="20"/>
        </w:rPr>
        <w:t xml:space="preserve">and Note 15 - </w:t>
      </w:r>
      <w:r>
        <w:rPr>
          <w:rFonts w:ascii="Times New Roman;serif" w:hAnsi="Times New Roman;serif"/>
          <w:b w:val="false"/>
          <w:i/>
          <w:color w:val="000000"/>
          <w:sz w:val="20"/>
        </w:rPr>
        <w:t>Net Income (Loss) Per Share</w:t>
      </w:r>
      <w:r>
        <w:rPr>
          <w:color w:val="000000"/>
        </w:rPr>
        <w:t xml:space="preserve"> </w:t>
      </w:r>
      <w:r>
        <w:rPr>
          <w:rFonts w:ascii="Times New Roman;serif" w:hAnsi="Times New Roman;serif"/>
          <w:b w:val="false"/>
          <w:color w:val="000000"/>
          <w:sz w:val="20"/>
        </w:rPr>
        <w:t>within the notes to our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June 30, 2026, we had future minimum operating lease payments under non-cancelable leases of $165.1 million related to leases we have recognized on our condensed consolidated balance sheet which are due over a weighted average period of 8 years. Of the non-cancelable lease payments, $8.2 million is payable in the remainder of 2026. For additional discussion on our operating leases, see Note 18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within the notes to our condensed consolidated financial statements included in this Quarterly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non-cancellable purchase commitments are primarily related to our cloud infrastructure services and various marketing partnerships. As of June 30, 2026, we had non-cancellable purchase obligations of $255.1 million, of which $83.0 million is due in the remainder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disclosed in “Management’s Discussion and Analysis of Financial Condition and Results of Operations — Critical Accounting Policies and Estimates” in our 2025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a discussion of recently adopted accounting pronouncements and recently issued accounting pronouncements not yet adopted,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within the notes to our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debt securities as of June 30, 2026,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borrowings under our credit facility or Warehouse Facility will bear interest based on an applicable margin over underlying index rates. Because the interest rates applicable to borrowings are variable, we are exposed to market risk from changes in the underlying index rates, which affect our cost of borrowing.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and 15d-15(f) under the Exchange Act)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June 30, 2026 and December 31, 2025, the Company does not expect any claims with a reasonably possible adverse outcome to have a material impact to the Company, and accordingly, has not accrued for any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highlighted in the section titled “Risk Factors” immediately following this summary. These risks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attract and retain Active Members, and maintain and increase the revenue we generate from our Active Members,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rules and practices regarding interchange fees, card network fees, and other fees and assessments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depends on our strong and trusted brand and related marketing, and we may fail to maintain and protect our brand,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significant net losses, and we may not be able to consistently maintain or increase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regulatory framework for our business is evolving and uncertain as federal and state governments consider new laws and regulations to regulate financial services companies and their partners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independently or together, provide digital banking services. Additional laws and regulations, or new interpretations thereof,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unable to attract and retain Active Members, and maintain and increase the revenue we generate from our Active Members,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Plus, are currently available only to members who make qualifying direct deposits, such as direct depositing their paychecks, through Chime, which may limit our ability to grow these products and increase the revenue we generate from them.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bank partners to provide the banking services offered through our platform, such as opening and maintaining member bank accounts, issuing Chime-branded debit and credit cards, and providing short-term loans to our members to support the liquidity products offered through our platform. Our relationships with our bank partners are a crucial part of our business as we do not have a banking license.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and have auto-renewed for an additional one-year term.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ability to qualify for the small issuer exemption from the interchange limits established pursuant to the Durbin Amendment. If this happens and we are not able to find additional bank partners to provide products through our platform, then our growth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between banks and financial technology companies have been the subject of increased and evolving scrutiny from regulators and legislators in past years. Federal banking regulators, in some cases, have required increased oversight by banks of their partners or restricted banks’ ability to offer or expand programs. While more recent public statements by federal banking regulators acknowledge the benefits of bank fintech partnerships, federal banking regulators retain broad supervisory and enforcement authority of the bank partnership model. Federal banking regulators also retain the authority to make changes to the regulatory framework governing bank fintech partnerships, which,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Further, some state attorneys general have expressed increased skepticism toward, and in some cases hostility to, bank-fintech partnership models, particularly where fintech companies provide banking-like products and services directly to consumers, asserting that such arrangements may be inconsistent with consumer protection and may create regulatory compliance and risk-management challenges for bank partners. The potential for increased regulatory scrutiny may cause our current bank partners to reassess their partnerships with us and may deter new potential bank partners from entering a partnership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interchange fee rates or limitations or classification of transaction types, whether due to actions by the card networks or merchants, changes in legislation or regulation, or judicial decisions or settlements, may adversely affect our competitive position and reduce the payments revenue we generate, require us to change our business practices,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strong and trusted brand and related marketing, and we may fail to maintain and protect our brand,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Any negative or unfavorable publicity, media coverage, or social media postings may adversely affect our ability to attract new Active Members and retain our existing Active Members, and maintain and increase use and adoption of our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outbound instant transfers are processed by TabaPay, Inc., a third-party instant money movement platform; and we currently host our platform and support our operations using Amazon Web Services, a third-party provider of cloud infrastructure services. Historically, transactions have been processed by Galileo Financial Technologies, LLC (“Galileo”), a third-party payment processor. However, as of the end of 2025, we have transitioned our members’ transactions to being processed by ChimeCore. See the risk factor titled “Member transactions are now processed through ChimeCore. Any problems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card networks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significant net losses and we may not be able to consistently maintain or increase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2024 and 2023, we incurred net losses of $1,009.9 million, $25.3 million and $203.2 million. Although we incurred net income of $27.9 million and $81.3 million during the three and six months ended June 30, 2026,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may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our IPO, stock-based compensation expense related to existing RSUs and other outstanding equity awards, and those to be awarded in the future has resulted in and will continue to result in increases in our expenses in future periods. As of June 30, 2026, we had $550.8 million of unrecognized stock-based compensation expense related to RSUs and other outstanding equity awards expected to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adequate revenue growth to exceed our expenditures, we may continue to incur losses in the future and may not be able to consistently maintain or increase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fluctuate from period-to-period, which may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and quarterly revenue, results of operations, and other key metrics have fluctuated significantly in the past and may vary significantly in the future due to a variety of factors, many of which are outside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other risks described in this “Risk Factors” section, factors that may cause our results of operations to fluctuate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Active Members’ use of our products, including their use of Chime-branded debit or credit cards to pay for goods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increase use and adoption of existing and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relationships with our bank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card networks to set interchange fees and the amount of such interchange fees that is remitted to Chime and our bank partners under our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or respond to changes in the competitive landscape;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products to address the market for financial services and 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investments in growth, including in our technology platform and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detect and mitigate fraudulent activity on our platform and mitigate the risk of credit decisions that result in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of liquidity products offered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vesting and settlement of equity awards, including any cash used to remit taxes on behalf of employees in connection with net share settlement of RSUs and PSUs, and the recognition of stock-based compensation expense;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efficiently complete or integrate any acquisitions or other strategic transactions that we may undertake;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third-party service providers for critical infrastructure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interruptions, delays in service, catastrophic events, and resulting interruptions in the availability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data breaches, malware, and other security or hacking incidents, or human error in administering our software and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risk management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regulatory scrutiny and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including consumer class action lawsuits, intellectual property claims, government investigations or inquiries, and regulatory fines, penalties, or disputes;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effective tax 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industry,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and intense competition in our industry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not function as intended due to errors in our software, systems, or processes, or human error in administering these systems or processes, which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System failures and interruptions in the availability of our platform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breaches, malware, and other security or hacking incidents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breaches, malware, and other security or hacking incidents have become more prevalent across industries and may occur on our systems or the systems of our bank partners, our third-party developers, and our third-party service providers or suppliers. Additionally, due to the proliferation and increased use of generative and agentic AI, many existing threats have become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Issues in the development and use of AI and ML, combined with an uncertain legal and regulatory environment, may harm our brand, cause us to incur liabilities,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including our employees,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a limited number of third-party AI-model providers and cloud platforms; any service interruption, change in license terms, or reduction in their training-data access could disrupt our products, require costly re-engineering, or expose us to claims of infringement. Furthermore, failures affecting our third-party AI-model providers and cloud platforms, attacks that exploit AI-specific vulnerabilities, or the misconfiguration or failure to implement effective controls within such models and platforms could result in the unauthorized access to data, inadvertent disclosure of data, or service interruptions.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products offered through our platform expose us to financial losses which may adversely affect our business, financial condition, and results of operations. For example, liquidity products such as SpotMe, MyPay, and Instant Loans, subject us to risk of loss if a member borrows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scale the liquidity products offered through our platform, we expect our transaction and risk losses will increase. For example, our transaction and risk losses increased in 2025, the first full year following the launch of MyPay, which negatively impacted our transaction margin. As MyPay continues to scale and as we expand the liquidity products offered through our platform, including Instant Loans, we expect that transaction losses will increase and our transaction margin will remain flat or may decrease further in the near term compared to the first quarter of 2026.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risks associated with transaction disputes in connection with our members’ payment card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Fraudulent activity associated with our products may cause the use and acceptance of our products to decrease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and agentic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investigations, censures, disruption of business activities, or penalties, and potentially prevent us from satisfying our contractual obligations to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there are a number of third parties involved in processing transactions, including card networks,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Elevated levels of fraud, or a significant fraud incident, involving our products could also lead our bank partners to impose additional restrictions on our programs, require enhanced controls or remediation measures, or, in more severe cases, limit, suspend, or terminate their relationships with us, any of which could disrupt our operations and adversely affect our business.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if our risk management framework does not effectively identify, assess, and mitigate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transactions are now processed through ChimeCore, our proprietary payment processor and ledger. Any problems with ChimeCore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will continue to make substantial investments in ChimeCore, our proprietary payment processor and ledger, which launched in 2024. ChimeCore now processes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We have completed the migration of accounts and existing products to ChimeCore, but we cannot provide assurances regarding the future success of this full transition to ChimeCore.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in part on the experience and expertise of our Co-Founders, senior management team, and key technical employees, and the loss of any such key employee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continued service of Christopher Britt, our Co-Founder, Chairman, and Chief Executive Officer, and Ryan King, our Co-Founder and a member of our board of directors, as well as our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retain or motivate key personnel, hire qualified personnel, or maintain our corporate culture,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recent rapid growth may not be indicative of future growth, and we may not be able to manage our growth effectively,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a number of risks related to our strategic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Acquisitions involve numerous risks, any of which may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may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expenses, delays, or conditions imposed upon the acquisition or transaction, including due to required regulatory approvals or consents, or fees that may be triggered upon a failure to consummate an acquisition or transaction for certain reasons;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retain and obtain required regulatory approvals, licenses, and permits;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incurrence of debt or dilution related to equity issuances in connection with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address the foregoing risks or other problems encountered in connection with past or future acquisitions of businesses, new technologies, services, and other assets, strategic investments, and other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transactions, or if we fail to successfully integrate such acquisitions or investments,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Regulatory and Legal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the Federal Reserve Board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laws or regulations by us, our bank partners, or other third parties may subject us to a wide array of consequences, including investigations, sanctions, enforcement actions, disgorgement of unjust enrichment,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lawmakers, regulators and other public officials include interchange fee regulation, program monetization (including interest and fee structures and voluntary tipping by consumers), bank partnership supervision and regulation, earned wage access, disclosures, and the risks posed to consumers by digital-only financial services companies, including with respect to access to accounts, account closures, accuracy of account records, service interruptions, privacy and data protection concerns, fraud, and data breaches. Regulators and lawmakers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laws or regulations related to interchange fees may be enacted. For example, in 2024 Illinois enacted the Interchange Fee Prohibition Act (“IFPA”), which, among other things, prohibits card issuers, card networks, and other entities from receiving interchange fees from or charging a merchant on the portion of a card transaction that is attributable to taxes or gratuities. Pursuant to an interim final rule and interim final order, as issued by the OCC on April 24, 2026, national banks such as our current bank partners are not subject to or required to comply with the IFPA. However, the OCC’s actions may not fully resolve the uncertainties associated with the IFPA, including how courts may ultimately interpret the OCC’s preemption determinations. Should the IFPA or other legislation regulating interchange fees in other jurisdictions go into effect, then revenue from interchange-based fees that we derive from transactions subject to such legislation may be harmed. Complying with a patchwork of state laws governing interchange fees may create compliance burdens for our bank partners and us,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w:t>
      </w:r>
      <w:r>
        <w:rPr>
          <w:color w:val="000000"/>
          <w:shd w:fill="FFFFFF" w:val="clear"/>
        </w:rPr>
        <w:t xml:space="preserve"> </w:t>
      </w:r>
      <w:r>
        <w:rPr>
          <w:rFonts w:ascii="Times New Roman;serif" w:hAnsi="Times New Roman;serif"/>
          <w:b w:val="false"/>
          <w:color w:val="000000"/>
          <w:sz w:val="20"/>
          <w:shd w:fill="FFFFFF" w:val="clear"/>
        </w:rPr>
        <w:t>by each of our bank partners in an omnibus account (a deposit account established for the benefit of multiple beneficial owners) on their books for the benefit of our members</w:t>
      </w:r>
      <w:r>
        <w:rPr>
          <w:rFonts w:ascii="Times New Roman;serif" w:hAnsi="Times New Roman;serif"/>
          <w:b w:val="false"/>
          <w:color w:val="000000"/>
          <w:sz w:val="20"/>
        </w:rPr>
        <w:t>,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through contractual obligations to our bank partners in connection with these programs, we are subject to evolving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CFPB has significant authority to regulate consumer financial services, and there is uncertainty as to how the agency’s actions or the actions of any other agency may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CFPB changes or modifies federal consumer financial protection regulations under its rulemaking authority, modifies past regulatory guidance or prior interpretations, or interprets existing regulations in a different or stricter manner than prior interpretations by us, the industry, or other regulators, our compliance costs and litigation exposure may increase materially. For example, the application of existing fair-lending and consumer financial protection laws, including the Equal Credit Opportunity Act and Regulation B, to credit risk models that use alternative data, automated decision-making, or AI and ML remains subject to evolving regulatory interpretations. Regulators may apply the law in ways that require us or our bank partners to modify models, governance, adverse-action notice practices, monitoring, or related controls, which could increase compliance costs, reduce product flexibility, limit product availability or eligibility, or otherwise adversely affect our business, financial condition, and results of operations. In addition, federal and state regulatory priorities with respect to AI and automated decision-making remain subject to change, which may make business planning more difficult and increase the risk of inconsistent or overlapping supervisory expectations.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 (iv) 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principles of federal preemption, the terms and conditions of the loans originated by banks such as our bank partners are based on the authority given to national banks and the maximum permitted rates for a “most favored lender” in the state from which the bank originates the loan. Additionally, through either federal preemption or express statutory exemptions, bank-originated loans typically are not subject to state consumer finance rate and fee restrictions, and also,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additional laws and regulations as we introduce new products or update our platform,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bank partners operate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found to be operating without having obtained necessary state or local licenses,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states have adopted laws regulating and requiring licensing or registration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continues to evolve and may vary by jurisdiction. In addition, state and local licensing requirements may change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Certain of our information processing activities are subject to requirements of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deletion,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Chime Financial, Inc. does not currently engage as a business in the transfer of funds and is not a “money services business” or otherwise subject to anti-money-laundering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software and other proprietary works of authorship may be protected under copyright laws, we have not registered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AI tools by employees may unintentionally upload or reveal our confidential information to third-party AI providers, which could disclose trade secrets and weaken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are extremely costly to defend, may require us to pay significant damages and may limit our ability to use certain technologies or other intellectual property,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and agentic AI impact the industries in which we operate, we face a higher risk of being the subject of such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obligations, or take other remedial actions,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Tax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substantial indebtedness and any failure to meet our debt obligations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contains restrictive covenants that may limit our operating flexibility,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credit facility, we maintain a variety of funding arrangements, including the Warehouse Facility, with a diverse set of funding sources. The availability and diversity of our funding arrangements depends on various factors and are subject to numerous risks, many of which are outside of our control. Disruptions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credit markets or other factors, such as the current inflationary environment and rising interest rates, could adversely affect the availability, diversity, cost, and terms of our funding arrangements. If we are unable to maintain access to, or to expand, our network and diversity of funding arrangements, our business, results of operations, financial condition, and future prospects could be materially and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guarantee that any facility will continue to be available to us on favorable terms, or at all, or that our lenders will continue to extend credit to us. Our funding sources may reassess their exposure to us or our products at any time, and may decline to extend uncommitted financing capacity, decline to renew or replace a facility upon its scheduled maturity, or impose higher costs or more restrictive terms as a condition to continued funding. If we are unable to maintain, renew, expand, or replace one or more of our funding arrangements on acceptable terms to us, or at all, our business, financial condition, and results of operations, including our ability to fund and grow the MyPay product,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agreements governing the Warehouse Facility require the Trust to comply with certain covenants, including covenants tied to the performance of the underlying receivables. A breach of these covenants, or other events of default under the Warehouse Facility, could result in a reduction or termination of our access to the funding available thereunder, an increase in our cost of funding, or require us to repay outstanding amounts prior to their scheduled maturity. We have also agreed to indemnify the lenders under the Warehouse Facility against certain losses, which means that we could be required to make payments to the lenders under the Warehouse Facility under certain circumstances.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may not be available to us on acceptable terms, if at all,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Chime Card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w:t>
      </w:r>
      <w:r>
        <w:rPr>
          <w:rFonts w:ascii="Times New Roman;serif" w:hAnsi="Times New Roman;serif"/>
          <w:b w:val="false"/>
          <w:color w:val="000000"/>
          <w:sz w:val="20"/>
        </w:rPr>
        <w:t>Nasdaq Global Select Market</w:t>
      </w:r>
      <w:r>
        <w:rPr>
          <w:rFonts w:ascii="Times New Roman;serif" w:hAnsi="Times New Roman;serif"/>
          <w:b w:val="false"/>
          <w:color w:val="000000"/>
          <w:sz w:val="20"/>
          <w:shd w:fill="FFFFFF" w:val="clear"/>
        </w:rPr>
        <w: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metrics and other figures presented herein, and real or perceived inaccuracies in such metrics may adversely affect our brand and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on our condensed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our common stock prior to our initial public offering.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may increase our effective tax rate or cash tax payments, which may adversely affect our business, financial condition, and results of operations. For example, in 2022, the Inflation Reduction Act was enacted in the United States, which introduced, among its provisions, a minimum corporate income tax on certain large corporations and an excise tax of 1% on certain share repurchases by publicly-traded corporations. Although we do not anticipate the corporate minimum income tax will currently apply to us, changes in our business and any future regulations or other guidance on the interpretation and application of the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 the past recorded, and may in the future record, significant valuation allowances on our deferred tax assets, which may have a material impact on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or other tax attributes to offset future taxable income or tax liabilities may be subject to certain limitations,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December 31, 2025, we had approximately $1,123.4 million</w:t>
      </w:r>
      <w:r>
        <w:rPr>
          <w:color w:val="000000"/>
          <w:shd w:fill="FFFFFF" w:val="clear"/>
        </w:rPr>
        <w:t xml:space="preserve"> </w:t>
      </w:r>
      <w:r>
        <w:rPr>
          <w:rFonts w:ascii="Times New Roman;serif" w:hAnsi="Times New Roman;serif"/>
          <w:b w:val="false"/>
          <w:color w:val="000000"/>
          <w:sz w:val="20"/>
        </w:rPr>
        <w:t xml:space="preserve">and $994.7 million 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and Macroeconomic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deterioration of macroeconomic conditions may adversely affect our members,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social and governance (“ESG”) issues may harm our brand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by natural disasters, public health crises, political crises, or other unexpected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June 30, 2026, Christopher Britt, our Co-Founder, Chairman, and Chief Executive Officer, held approximately 34.5% of the voting power of our outstanding capital stock; and Ryan King, our Co-Founder and a member of our board of directors, held approximately 30.1%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June 30, 2026, Messrs. Britt and King would hold approximately 40.0% and 33.5% of the voting power of our outstanding capital stock. These future issuances of our Class B common stock will further dilute the voting power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 </w:t>
      </w:r>
      <w:r>
        <w:rPr>
          <w:rFonts w:ascii="Times New Roman;serif" w:hAnsi="Times New Roman;serif"/>
          <w:b w:val="false"/>
          <w:color w:val="000000"/>
          <w:sz w:val="20"/>
          <w:shd w:fill="FFFFFF" w:val="clear"/>
        </w:rPr>
        <w:t>Any future issuances of additional shares of Class B common stock will not be subject to approval by our stockholders except for our Co-Founders and as required by the Nasdaq listing rules.</w:t>
      </w:r>
      <w:r>
        <w:rPr>
          <w:color w:val="000000"/>
        </w:rPr>
        <w:t xml:space="preserve"> </w:t>
      </w:r>
      <w:r>
        <w:rPr>
          <w:rFonts w:ascii="Times New Roman;serif" w:hAnsi="Times New Roman;serif"/>
          <w:b w:val="false"/>
          <w:color w:val="000000"/>
          <w:sz w:val="20"/>
        </w:rPr>
        <w:t xml:space="preserve">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multi-class structure of our common stock may adversely affect the trading market for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may lose all or part of your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 including fluctuations due to general economic uncertainty or negative market sentiment;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market and trading volumes of technology and financial services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operating performance and stock market valuations of other technology or financial services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lock-up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significant data breaches involving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or non-financial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data published about us or other companies in our industry, whether or not such data is accurate;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shares of our Class A common stock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repurchases or expectations with respect to repurchases of our Class A common stock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Class A common stock or related derivative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issuance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regulatory action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or similar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such as war, incidents of terrorism, pandemics, or responses to such events;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certain stockholders are entitled, under our amended and restated investors’ rights agreement,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issuance of additional stock in connection with financings, acquisitions, investments, our equity incentive plans, or otherwise will dilute all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Repurchases of shares of our Class A Common Stock could also increase the volatility of the trading price of our Class A Common Stock and could diminish our cash reserves.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a share repurchase program to repurchase up to $200.0 million of our outstanding shares of Class A common stock. In May 2026, our board of directors approved an additional $200.0 million share repurchase authorization. Under this program, repurchases may be made from time to time through open market purchases, in privately negotiated transactions, or by other means, including through the use of trading plans intended to qualify under Rule 10b5-1 under the Exchange Act, in accordance with applicable securities laws. Open market repurchases may be structured to occur in accordance with the requirements of Rule 10b-18 of the Exchange Act. The share repurchase program does not have a fixed expiration date, may be suspended or discontinued at any time, and does not obligate us to acquire any amount of Class A common stock. The timing, manner, and amount of any repurchases will depend on a variety of factors, including legal requirements, price, economic and market conditions and other considerations. In addition, the United States imposes a 1% excise tax on certain stock repurchases, which may increase the costs associated with repurchasing shares of our Class A common stock. We cannot guarantee that the share repurchase program will be fully consummated or that it will enhance long-term stockholder value. The share repurchase program could also affect the trading price of our Class A common stock and increase volatility, and any announcement of a reduction, suspension or termination of the program may result in a decrease in the trading price of our Class A common stock. In addition, repurchasing shares of our Class A common stock could diminish our cash and cash equivalents and marketable securities available to fund working capital, repayment of debt, capital expenditures, strategic acquisitions, investments, or business opportunities, and other general corporate purposes.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may make a merger, tender offer, or proxy contest difficult, thereby depressing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amendments to our amended and restated certificate of incorporation that require stockholder approval will require the affirmative vote of the holders of at least a majority of the voting power of the outstanding shares of our capital stock entitled to vote generally in the election of directors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special meeting of our stockholders will only be able to be called by a majority of our entire board of directors, the chairman of our board of directors, our Chief Executive Officer, or our president;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allows stockholders to remove directors only for cause;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authorizes undesignated preferred stock, the terms of which may be established and shares of which may be issued by our board of directors, without further action by our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our IPO of approximately 770.6 million, after deducting underwriting discounts of 43.5 million and offering expenses of 14.8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proceeds from our IPO were used to satisfy our tax withholding and remittance obligations related to the settlement of certain equity awards in connection with the IPO. There has been no material change in the expected use of the net proceeds from our IPO as described in the final prospectus filed with the SEC on June 12, 2025, pursuant to Rule 424(b) of the Securities Act.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 Issuer Purchase of Equity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relating to repurchases of our equity securities during the three months ended June 30, 2026:</w:t>
      </w:r>
    </w:p>
    <w:tbl>
      <w:tblPr>
        <w:tblW w:w="10205" w:type="dxa"/>
        <w:jc w:val="left"/>
        <w:tblInd w:w="0" w:type="dxa"/>
        <w:tblLayout w:type="fixed"/>
        <w:tblCellMar>
          <w:top w:w="28" w:type="dxa"/>
          <w:left w:w="28" w:type="dxa"/>
          <w:bottom w:w="28" w:type="dxa"/>
          <w:right w:w="28" w:type="dxa"/>
        </w:tblCellMar>
      </w:tblPr>
      <w:tblGrid>
        <w:gridCol w:w="367"/>
        <w:gridCol w:w="322"/>
        <w:gridCol w:w="323"/>
        <w:gridCol w:w="109"/>
        <w:gridCol w:w="109"/>
        <w:gridCol w:w="109"/>
        <w:gridCol w:w="692"/>
        <w:gridCol w:w="540"/>
        <w:gridCol w:w="541"/>
        <w:gridCol w:w="109"/>
        <w:gridCol w:w="109"/>
        <w:gridCol w:w="109"/>
        <w:gridCol w:w="282"/>
        <w:gridCol w:w="823"/>
        <w:gridCol w:w="145"/>
        <w:gridCol w:w="109"/>
        <w:gridCol w:w="109"/>
        <w:gridCol w:w="109"/>
        <w:gridCol w:w="955"/>
        <w:gridCol w:w="718"/>
        <w:gridCol w:w="720"/>
        <w:gridCol w:w="109"/>
        <w:gridCol w:w="109"/>
        <w:gridCol w:w="109"/>
        <w:gridCol w:w="624"/>
        <w:gridCol w:w="1380"/>
        <w:gridCol w:w="465"/>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Repurchased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Program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(1)</w:t>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1,752,002 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1,752,002 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4,343,841 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4,343,841 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1,226,894 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1,226,894 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7,322,737 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7,322,737 </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(1) In November 2025, our board of directors approved a share repurchase program with authorization to purchase up to $200.0 million of our Class A common stock at management’s discretion. During April 2026, the maximum dollar amount was expended under the November 2025 share repurchase program. In May 2026, our board of directors approved an additional $200.0 million share repurchase authorization.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have a fixed expiration date, does not obligate us to repurchase any particular amount of Class A common stock, and may be suspended or discontinued at any time at our discretion without prior notice, subject to all applicable securities laws. The shares of Class A common stock repurchased during the three months ended June 30, 2026, as reflected in the table above, were repurchased under both share repurchase authorizations.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below, during the three months ended June 30, 2026, none of our officers or directors, as defined in Rule 16a-1(f) of the Exchange Act, adopted, modified, or terminated any contract, instruction, or written plan for the purchase or sale of our securities that was intended to satisfy the affirmative defense conditions of Rule 10b5-1(c) (a “Rule 10b5-1 trading arrangement”) or any “non Rule 10b5-1 trading arrangement,” as defined in Regulation S-K Item 408.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9, 2026, Amine Asmerom, our Chief Accounting Officer, adopted a “Rule 10b5-1 trading arrangement” (as defined in Item 408(a) of Regulation S-K) intended to satisfy the affirmative defense of Rule 10b5-1(c) under the Exchange Act pursuant to which he may sell up to 39,505 shares of our Class A common stock on or prior to March 15, 2027. This trading arrangement will not commence until the expiration of Mr. Asmerom’s previous trading arrangement by its terms on September 6,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16, 2026, Adam Frankel, our General Counsel, adopted a “Rule 10b5-1 trading arrangement” (as defined in Item 408(a) of Regulation S-K) intended to satisfy the affirmative defense of Rule 10b5-1(c) under the Exchange Act pursuant to which he may sell up to 247,329 shares of our Class A common stock on or prior to March 31,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949"/>
        <w:gridCol w:w="1791"/>
        <w:gridCol w:w="1812"/>
        <w:gridCol w:w="109"/>
        <w:gridCol w:w="109"/>
        <w:gridCol w:w="109"/>
        <w:gridCol w:w="142"/>
        <w:gridCol w:w="142"/>
        <w:gridCol w:w="143"/>
        <w:gridCol w:w="109"/>
        <w:gridCol w:w="109"/>
        <w:gridCol w:w="109"/>
        <w:gridCol w:w="275"/>
        <w:gridCol w:w="246"/>
        <w:gridCol w:w="190"/>
        <w:gridCol w:w="109"/>
        <w:gridCol w:w="109"/>
        <w:gridCol w:w="109"/>
        <w:gridCol w:w="185"/>
        <w:gridCol w:w="185"/>
        <w:gridCol w:w="186"/>
        <w:gridCol w:w="109"/>
        <w:gridCol w:w="109"/>
        <w:gridCol w:w="109"/>
        <w:gridCol w:w="213"/>
        <w:gridCol w:w="213"/>
        <w:gridCol w:w="31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Filed Herewith</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10-qexx311.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10-qxexx312.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10-qxexx321.htm">
              <w:r>
                <w:rPr>
                  <w:rStyle w:val="InternetLink"/>
                  <w:rFonts w:ascii="Times New Roman;serif" w:hAnsi="Times New Roman;serif"/>
                  <w:b w:val="false"/>
                  <w:color w:val="0000FF"/>
                  <w:sz w:val="18"/>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30, 2026, formatted in Inline XBRL: (i) Condensed Consolidated Balance Sheets, (ii) Condensed Consolidated Statements of Operations, (iii) Condensed Consolidated Statements of Comprehensive Income (Loss), (iv) Condensed Consolidated Statements of Cash Flows, (v) Condensed Consolidated Statements of Stockholders’ Equity, and (vi) Notes to Condensed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(included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color w:val="000000"/>
        </w:rPr>
      </w:pPr>
      <w:r>
        <w:rPr>
          <w:color w:val="000000"/>
        </w:rPr>
        <w:t>†    </w:t>
      </w:r>
      <w:r>
        <w:rPr>
          <w:rFonts w:ascii="Times New Roman;serif" w:hAnsi="Times New Roman;serif"/>
          <w:b w:val="false"/>
          <w:color w:val="000000"/>
          <w:sz w:val="20"/>
        </w:rPr>
        <w:t xml:space="preserve">The certifications attached as Exhibit 32.1 that accompany this Quarterly Report on Form 10-Q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San Francisco, California, on August 6, 2026.</w:t>
      </w:r>
    </w:p>
    <w:tbl>
      <w:tblPr>
        <w:tblW w:w="5388" w:type="dxa"/>
        <w:jc w:val="left"/>
        <w:tblInd w:w="0" w:type="dxa"/>
        <w:tblLayout w:type="fixed"/>
        <w:tblCellMar>
          <w:top w:w="28" w:type="dxa"/>
          <w:left w:w="28" w:type="dxa"/>
          <w:bottom w:w="28" w:type="dxa"/>
          <w:right w:w="28" w:type="dxa"/>
        </w:tblCellMar>
      </w:tblPr>
      <w:tblGrid>
        <w:gridCol w:w="493"/>
        <w:gridCol w:w="435"/>
        <w:gridCol w:w="437"/>
        <w:gridCol w:w="257"/>
        <w:gridCol w:w="257"/>
        <w:gridCol w:w="257"/>
        <w:gridCol w:w="716"/>
        <w:gridCol w:w="716"/>
        <w:gridCol w:w="716"/>
        <w:gridCol w:w="320"/>
        <w:gridCol w:w="320"/>
        <w:gridCol w:w="46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CHIME FINANCIAL,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Britt,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Newcomb,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237"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256"/>
        <w:gridCol w:w="256"/>
        <w:gridCol w:w="256"/>
        <w:gridCol w:w="256"/>
        <w:gridCol w:w="256"/>
        <w:gridCol w:w="256"/>
        <w:gridCol w:w="256"/>
        <w:gridCol w:w="256"/>
        <w:gridCol w:w="363"/>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Britt, certify, pursuant to 18 U.S.C. Section 1350, as adopted pursuant to Section 906 of the Sarbanes-Oxley Act of 2002, that the Quarterly Report on Form 10-Q of Chime Financial, Inc. for the fiscal quarter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 </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780" w:after="300"/>
        <w:jc w:val="both"/>
        <w:rPr>
          <w:rFonts w:ascii="Times New Roman;serif" w:hAnsi="Times New Roman;serif"/>
          <w:b w:val="false"/>
          <w:color w:val="000000"/>
          <w:sz w:val="20"/>
        </w:rPr>
      </w:pPr>
      <w:r>
        <w:rPr>
          <w:rFonts w:ascii="Times New Roman;serif" w:hAnsi="Times New Roman;serif"/>
          <w:b w:val="false"/>
          <w:color w:val="000000"/>
          <w:sz w:val="20"/>
        </w:rPr>
        <w:t>I, Matthew Newcomb, certify, pursuant to 18 U.S.C. Section 1350, as adopted pursuant to Section 906 of the Sarbanes-Oxley Act of 2002, that the Quarterly Report on Form 10-Q of Chime Financial, Inc. for the fiscal quarter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tbl>
      <w:tblPr>
        <w:tblW w:w="8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5586/000179558625000009/amendedandrestatedcertif.htm" TargetMode="External"/><Relationship Id="rId4" Type="http://schemas.openxmlformats.org/officeDocument/2006/relationships/hyperlink" Target="https://www.sec.gov/Archives/edgar/data/1795586/000179558625000009/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57546</Words>
  <Characters>319874</Characters>
  <CharactersWithSpaces>375274</CharactersWithSpaces>
  <Paragraphs>3675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