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4"/>
          <w:szCs w:val="24"/>
          <w:color w:val="auto"/>
        </w:rPr>
      </w:pPr>
    </w:p>
    <w:p>
      <w:pPr>
        <w:spacing w:after="0" w:line="370" w:lineRule="exact"/>
        <w:rPr>
          <w:sz w:val="24"/>
          <w:szCs w:val="24"/>
          <w:color w:val="auto"/>
        </w:rPr>
      </w:pPr>
    </w:p>
    <w:p>
      <w:pPr>
        <w:jc w:val="center"/>
        <w:spacing w:after="0" w:line="263" w:lineRule="auto"/>
        <w:rPr>
          <w:sz w:val="20"/>
          <w:szCs w:val="20"/>
          <w:color w:val="auto"/>
        </w:rPr>
      </w:pPr>
      <w:r>
        <w:rPr>
          <w:rFonts w:ascii="Times New Roman" w:cs="Times New Roman" w:eastAsia="Times New Roman" w:hAnsi="Times New Roman"/>
          <w:sz w:val="14"/>
          <w:szCs w:val="14"/>
          <w:b w:val="1"/>
          <w:bCs w:val="1"/>
          <w:color w:val="auto"/>
        </w:rPr>
        <w:t>Confidential draft No. 3 as confidentially submitted to the Securities and Exchange Commission on March 12, 2025. This draft registration statement has not been publicly filed with the Securities and Exchange Commission and all information herein remains strictly confidential.</w:t>
      </w:r>
    </w:p>
    <w:p>
      <w:pPr>
        <w:spacing w:after="0" w:line="2" w:lineRule="exact"/>
        <w:rPr>
          <w:sz w:val="24"/>
          <w:szCs w:val="24"/>
          <w:color w:val="auto"/>
        </w:rPr>
      </w:pPr>
    </w:p>
    <w:p>
      <w:pPr>
        <w:ind w:left="9580"/>
        <w:spacing w:after="0"/>
        <w:rPr>
          <w:sz w:val="20"/>
          <w:szCs w:val="20"/>
          <w:color w:val="auto"/>
        </w:rPr>
      </w:pPr>
      <w:r>
        <w:rPr>
          <w:rFonts w:ascii="Times New Roman" w:cs="Times New Roman" w:eastAsia="Times New Roman" w:hAnsi="Times New Roman"/>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50800</wp:posOffset>
            </wp:positionV>
            <wp:extent cx="11912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S-1</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REGISTRATION STATEMENT</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UNDER</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43180</wp:posOffset>
            </wp:positionV>
            <wp:extent cx="11912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Chime Financial,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63500</wp:posOffset>
            </wp:positionV>
            <wp:extent cx="11912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307" w:lineRule="exact"/>
        <w:rPr>
          <w:sz w:val="24"/>
          <w:szCs w:val="24"/>
          <w:color w:val="auto"/>
        </w:rPr>
      </w:pPr>
    </w:p>
    <w:tbl>
      <w:tblPr>
        <w:tblLayout w:type="fixed"/>
        <w:tblInd w:w="260" w:type="dxa"/>
        <w:tblCellMar>
          <w:top w:w="0" w:type="dxa"/>
          <w:left w:w="0" w:type="dxa"/>
          <w:bottom w:w="0" w:type="dxa"/>
          <w:right w:w="0" w:type="dxa"/>
        </w:tblCellMar>
      </w:tblPr>
      <w:tr>
        <w:trPr>
          <w:trHeight w:val="212"/>
        </w:trPr>
        <w:tc>
          <w:tcPr>
            <w:tcW w:w="2560" w:type="dxa"/>
            <w:vAlign w:val="bottom"/>
          </w:tcPr>
          <w:p>
            <w:pPr>
              <w:jc w:val="center"/>
              <w:ind w:left="593"/>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20" w:type="dxa"/>
            <w:vAlign w:val="bottom"/>
          </w:tcPr>
          <w:p>
            <w:pPr>
              <w:jc w:val="center"/>
              <w:ind w:right="511"/>
              <w:spacing w:after="0"/>
              <w:rPr>
                <w:sz w:val="20"/>
                <w:szCs w:val="20"/>
                <w:color w:val="auto"/>
              </w:rPr>
            </w:pPr>
            <w:r>
              <w:rPr>
                <w:rFonts w:ascii="Times New Roman" w:cs="Times New Roman" w:eastAsia="Times New Roman" w:hAnsi="Times New Roman"/>
                <w:sz w:val="16"/>
                <w:szCs w:val="16"/>
                <w:b w:val="1"/>
                <w:bCs w:val="1"/>
                <w:color w:val="auto"/>
              </w:rPr>
              <w:t>6199</w:t>
            </w:r>
          </w:p>
        </w:tc>
        <w:tc>
          <w:tcPr>
            <w:tcW w:w="2160" w:type="dxa"/>
            <w:vAlign w:val="bottom"/>
          </w:tcPr>
          <w:p>
            <w:pPr>
              <w:spacing w:after="0"/>
              <w:rPr>
                <w:sz w:val="18"/>
                <w:szCs w:val="18"/>
                <w:color w:val="auto"/>
              </w:rPr>
            </w:pPr>
          </w:p>
        </w:tc>
        <w:tc>
          <w:tcPr>
            <w:tcW w:w="1940" w:type="dxa"/>
            <w:vAlign w:val="bottom"/>
          </w:tcPr>
          <w:p>
            <w:pPr>
              <w:jc w:val="center"/>
              <w:ind w:right="572"/>
              <w:spacing w:after="0"/>
              <w:rPr>
                <w:sz w:val="20"/>
                <w:szCs w:val="20"/>
                <w:color w:val="auto"/>
              </w:rPr>
            </w:pPr>
            <w:r>
              <w:rPr>
                <w:rFonts w:ascii="Times New Roman" w:cs="Times New Roman" w:eastAsia="Times New Roman" w:hAnsi="Times New Roman"/>
                <w:sz w:val="16"/>
                <w:szCs w:val="16"/>
                <w:b w:val="1"/>
                <w:bCs w:val="1"/>
                <w:color w:val="auto"/>
              </w:rPr>
              <w:t>46-0925388</w:t>
            </w:r>
          </w:p>
        </w:tc>
      </w:tr>
      <w:tr>
        <w:trPr>
          <w:trHeight w:val="337"/>
        </w:trPr>
        <w:tc>
          <w:tcPr>
            <w:tcW w:w="2560" w:type="dxa"/>
            <w:vAlign w:val="bottom"/>
          </w:tcPr>
          <w:p>
            <w:pPr>
              <w:jc w:val="center"/>
              <w:ind w:left="593"/>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1880" w:type="dxa"/>
            <w:vAlign w:val="bottom"/>
          </w:tcPr>
          <w:p>
            <w:pPr>
              <w:spacing w:after="0"/>
              <w:rPr>
                <w:sz w:val="24"/>
                <w:szCs w:val="24"/>
                <w:color w:val="auto"/>
              </w:rPr>
            </w:pPr>
          </w:p>
        </w:tc>
        <w:tc>
          <w:tcPr>
            <w:tcW w:w="4020" w:type="dxa"/>
            <w:vAlign w:val="bottom"/>
            <w:gridSpan w:val="3"/>
          </w:tcPr>
          <w:p>
            <w:pPr>
              <w:jc w:val="center"/>
              <w:ind w:right="2133"/>
              <w:spacing w:after="0"/>
              <w:rPr>
                <w:sz w:val="20"/>
                <w:szCs w:val="20"/>
                <w:color w:val="auto"/>
              </w:rPr>
            </w:pPr>
            <w:r>
              <w:rPr>
                <w:rFonts w:ascii="Times New Roman" w:cs="Times New Roman" w:eastAsia="Times New Roman" w:hAnsi="Times New Roman"/>
                <w:sz w:val="13"/>
                <w:szCs w:val="13"/>
                <w:b w:val="1"/>
                <w:bCs w:val="1"/>
                <w:color w:val="auto"/>
                <w:w w:val="97"/>
              </w:rPr>
              <w:t>(Primary Standard Industrial</w:t>
            </w:r>
          </w:p>
        </w:tc>
        <w:tc>
          <w:tcPr>
            <w:tcW w:w="1940" w:type="dxa"/>
            <w:vAlign w:val="bottom"/>
          </w:tcPr>
          <w:p>
            <w:pPr>
              <w:jc w:val="center"/>
              <w:ind w:right="592"/>
              <w:spacing w:after="0"/>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2560" w:type="dxa"/>
            <w:vAlign w:val="bottom"/>
          </w:tcPr>
          <w:p>
            <w:pPr>
              <w:jc w:val="center"/>
              <w:ind w:left="593"/>
              <w:spacing w:after="0"/>
              <w:rPr>
                <w:sz w:val="20"/>
                <w:szCs w:val="20"/>
                <w:color w:val="auto"/>
              </w:rPr>
            </w:pPr>
            <w:r>
              <w:rPr>
                <w:rFonts w:ascii="Times New Roman" w:cs="Times New Roman" w:eastAsia="Times New Roman" w:hAnsi="Times New Roman"/>
                <w:sz w:val="13"/>
                <w:szCs w:val="13"/>
                <w:b w:val="1"/>
                <w:bCs w:val="1"/>
                <w:color w:val="auto"/>
                <w:w w:val="97"/>
              </w:rPr>
              <w:t>incorporation or organization)</w:t>
            </w:r>
          </w:p>
        </w:tc>
        <w:tc>
          <w:tcPr>
            <w:tcW w:w="1880" w:type="dxa"/>
            <w:vAlign w:val="bottom"/>
          </w:tcPr>
          <w:p>
            <w:pPr>
              <w:spacing w:after="0"/>
              <w:rPr>
                <w:sz w:val="14"/>
                <w:szCs w:val="14"/>
                <w:color w:val="auto"/>
              </w:rPr>
            </w:pPr>
          </w:p>
        </w:tc>
        <w:tc>
          <w:tcPr>
            <w:tcW w:w="4020" w:type="dxa"/>
            <w:vAlign w:val="bottom"/>
            <w:gridSpan w:val="3"/>
          </w:tcPr>
          <w:p>
            <w:pPr>
              <w:jc w:val="center"/>
              <w:ind w:right="2113"/>
              <w:spacing w:after="0"/>
              <w:rPr>
                <w:sz w:val="20"/>
                <w:szCs w:val="20"/>
                <w:color w:val="auto"/>
              </w:rPr>
            </w:pPr>
            <w:r>
              <w:rPr>
                <w:rFonts w:ascii="Times New Roman" w:cs="Times New Roman" w:eastAsia="Times New Roman" w:hAnsi="Times New Roman"/>
                <w:sz w:val="13"/>
                <w:szCs w:val="13"/>
                <w:b w:val="1"/>
                <w:bCs w:val="1"/>
                <w:color w:val="auto"/>
                <w:w w:val="96"/>
              </w:rPr>
              <w:t>Classification Code Number)</w:t>
            </w:r>
          </w:p>
        </w:tc>
        <w:tc>
          <w:tcPr>
            <w:tcW w:w="1940" w:type="dxa"/>
            <w:vAlign w:val="bottom"/>
          </w:tcPr>
          <w:p>
            <w:pPr>
              <w:jc w:val="center"/>
              <w:ind w:right="592"/>
              <w:spacing w:after="0"/>
              <w:rPr>
                <w:sz w:val="20"/>
                <w:szCs w:val="20"/>
                <w:color w:val="auto"/>
              </w:rPr>
            </w:pPr>
            <w:r>
              <w:rPr>
                <w:rFonts w:ascii="Times New Roman" w:cs="Times New Roman" w:eastAsia="Times New Roman" w:hAnsi="Times New Roman"/>
                <w:sz w:val="13"/>
                <w:szCs w:val="13"/>
                <w:b w:val="1"/>
                <w:bCs w:val="1"/>
                <w:color w:val="auto"/>
                <w:w w:val="96"/>
              </w:rPr>
              <w:t>Identification Number)</w:t>
            </w:r>
          </w:p>
        </w:tc>
      </w:tr>
      <w:tr>
        <w:trPr>
          <w:trHeight w:val="351"/>
        </w:trPr>
        <w:tc>
          <w:tcPr>
            <w:tcW w:w="2560" w:type="dxa"/>
            <w:vAlign w:val="bottom"/>
          </w:tcPr>
          <w:p>
            <w:pPr>
              <w:spacing w:after="0"/>
              <w:rPr>
                <w:sz w:val="24"/>
                <w:szCs w:val="24"/>
                <w:color w:val="auto"/>
              </w:rPr>
            </w:pPr>
          </w:p>
        </w:tc>
        <w:tc>
          <w:tcPr>
            <w:tcW w:w="5900" w:type="dxa"/>
            <w:vAlign w:val="bottom"/>
            <w:gridSpan w:val="4"/>
          </w:tcPr>
          <w:p>
            <w:pPr>
              <w:jc w:val="center"/>
              <w:ind w:right="233"/>
              <w:spacing w:after="0"/>
              <w:rPr>
                <w:sz w:val="20"/>
                <w:szCs w:val="20"/>
                <w:color w:val="auto"/>
              </w:rPr>
            </w:pPr>
            <w:r>
              <w:rPr>
                <w:rFonts w:ascii="Times New Roman" w:cs="Times New Roman" w:eastAsia="Times New Roman" w:hAnsi="Times New Roman"/>
                <w:sz w:val="16"/>
                <w:szCs w:val="16"/>
                <w:b w:val="1"/>
                <w:bCs w:val="1"/>
                <w:color w:val="auto"/>
              </w:rPr>
              <w:t>101 California Street, Suite 500</w:t>
            </w:r>
          </w:p>
        </w:tc>
        <w:tc>
          <w:tcPr>
            <w:tcW w:w="1940" w:type="dxa"/>
            <w:vAlign w:val="bottom"/>
          </w:tcPr>
          <w:p>
            <w:pPr>
              <w:spacing w:after="0"/>
              <w:rPr>
                <w:sz w:val="24"/>
                <w:szCs w:val="24"/>
                <w:color w:val="auto"/>
              </w:rPr>
            </w:pPr>
          </w:p>
        </w:tc>
      </w:tr>
      <w:tr>
        <w:trPr>
          <w:trHeight w:val="203"/>
        </w:trPr>
        <w:tc>
          <w:tcPr>
            <w:tcW w:w="2560" w:type="dxa"/>
            <w:vAlign w:val="bottom"/>
          </w:tcPr>
          <w:p>
            <w:pPr>
              <w:spacing w:after="0"/>
              <w:rPr>
                <w:sz w:val="17"/>
                <w:szCs w:val="17"/>
                <w:color w:val="auto"/>
              </w:rPr>
            </w:pPr>
          </w:p>
        </w:tc>
        <w:tc>
          <w:tcPr>
            <w:tcW w:w="5900" w:type="dxa"/>
            <w:vAlign w:val="bottom"/>
            <w:gridSpan w:val="4"/>
          </w:tcPr>
          <w:p>
            <w:pPr>
              <w:jc w:val="center"/>
              <w:ind w:right="233"/>
              <w:spacing w:after="0"/>
              <w:rPr>
                <w:sz w:val="20"/>
                <w:szCs w:val="20"/>
                <w:color w:val="auto"/>
              </w:rPr>
            </w:pPr>
            <w:r>
              <w:rPr>
                <w:rFonts w:ascii="Times New Roman" w:cs="Times New Roman" w:eastAsia="Times New Roman" w:hAnsi="Times New Roman"/>
                <w:sz w:val="16"/>
                <w:szCs w:val="16"/>
                <w:b w:val="1"/>
                <w:bCs w:val="1"/>
                <w:color w:val="auto"/>
              </w:rPr>
              <w:t>San Francisco, California 94111</w:t>
            </w:r>
          </w:p>
        </w:tc>
        <w:tc>
          <w:tcPr>
            <w:tcW w:w="1940" w:type="dxa"/>
            <w:vAlign w:val="bottom"/>
          </w:tcPr>
          <w:p>
            <w:pPr>
              <w:spacing w:after="0"/>
              <w:rPr>
                <w:sz w:val="17"/>
                <w:szCs w:val="17"/>
                <w:color w:val="auto"/>
              </w:rPr>
            </w:pPr>
          </w:p>
        </w:tc>
      </w:tr>
      <w:tr>
        <w:trPr>
          <w:trHeight w:val="185"/>
        </w:trPr>
        <w:tc>
          <w:tcPr>
            <w:tcW w:w="2560" w:type="dxa"/>
            <w:vAlign w:val="bottom"/>
          </w:tcPr>
          <w:p>
            <w:pPr>
              <w:spacing w:after="0"/>
              <w:rPr>
                <w:sz w:val="16"/>
                <w:szCs w:val="16"/>
                <w:color w:val="auto"/>
              </w:rPr>
            </w:pPr>
          </w:p>
        </w:tc>
        <w:tc>
          <w:tcPr>
            <w:tcW w:w="3740" w:type="dxa"/>
            <w:vAlign w:val="bottom"/>
            <w:gridSpan w:val="3"/>
          </w:tcPr>
          <w:p>
            <w:pPr>
              <w:jc w:val="center"/>
              <w:ind w:left="1806"/>
              <w:spacing w:after="0"/>
              <w:rPr>
                <w:sz w:val="20"/>
                <w:szCs w:val="20"/>
                <w:color w:val="auto"/>
              </w:rPr>
            </w:pPr>
            <w:r>
              <w:rPr>
                <w:rFonts w:ascii="Times New Roman" w:cs="Times New Roman" w:eastAsia="Times New Roman" w:hAnsi="Times New Roman"/>
                <w:sz w:val="16"/>
                <w:szCs w:val="16"/>
                <w:b w:val="1"/>
                <w:bCs w:val="1"/>
                <w:color w:val="auto"/>
              </w:rPr>
              <w:t>(844) 244-6363</w:t>
            </w:r>
          </w:p>
        </w:tc>
        <w:tc>
          <w:tcPr>
            <w:tcW w:w="216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66"/>
        </w:trPr>
        <w:tc>
          <w:tcPr>
            <w:tcW w:w="8460" w:type="dxa"/>
            <w:vAlign w:val="bottom"/>
            <w:gridSpan w:val="5"/>
          </w:tcPr>
          <w:p>
            <w:pPr>
              <w:jc w:val="center"/>
              <w:ind w:left="2193"/>
              <w:spacing w:after="0"/>
              <w:rPr>
                <w:sz w:val="20"/>
                <w:szCs w:val="20"/>
                <w:color w:val="auto"/>
              </w:rPr>
            </w:pPr>
            <w:r>
              <w:rPr>
                <w:rFonts w:ascii="Times New Roman" w:cs="Times New Roman" w:eastAsia="Times New Roman" w:hAnsi="Times New Roman"/>
                <w:sz w:val="13"/>
                <w:szCs w:val="13"/>
                <w:b w:val="1"/>
                <w:bCs w:val="1"/>
                <w:color w:val="auto"/>
                <w:w w:val="96"/>
              </w:rPr>
              <w:t>(Address, including zip code, and telephone number, including area code, of registrant’s principal executive offices)</w:t>
            </w:r>
          </w:p>
        </w:tc>
        <w:tc>
          <w:tcPr>
            <w:tcW w:w="1940" w:type="dxa"/>
            <w:vAlign w:val="bottom"/>
          </w:tcPr>
          <w:p>
            <w:pPr>
              <w:spacing w:after="0"/>
              <w:rPr>
                <w:sz w:val="14"/>
                <w:szCs w:val="14"/>
                <w:color w:val="auto"/>
              </w:rPr>
            </w:pPr>
          </w:p>
        </w:tc>
      </w:tr>
      <w:tr>
        <w:trPr>
          <w:trHeight w:val="84"/>
        </w:trPr>
        <w:tc>
          <w:tcPr>
            <w:tcW w:w="256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860" w:type="dxa"/>
            <w:vAlign w:val="bottom"/>
            <w:tcBorders>
              <w:bottom w:val="single" w:sz="8" w:color="auto"/>
            </w:tcBorders>
            <w:gridSpan w:val="2"/>
          </w:tcPr>
          <w:p>
            <w:pPr>
              <w:spacing w:after="0"/>
              <w:rPr>
                <w:sz w:val="7"/>
                <w:szCs w:val="7"/>
                <w:color w:val="auto"/>
              </w:rPr>
            </w:pPr>
          </w:p>
        </w:tc>
        <w:tc>
          <w:tcPr>
            <w:tcW w:w="2160" w:type="dxa"/>
            <w:vAlign w:val="bottom"/>
          </w:tcPr>
          <w:p>
            <w:pPr>
              <w:spacing w:after="0"/>
              <w:rPr>
                <w:sz w:val="7"/>
                <w:szCs w:val="7"/>
                <w:color w:val="auto"/>
              </w:rPr>
            </w:pPr>
          </w:p>
        </w:tc>
        <w:tc>
          <w:tcPr>
            <w:tcW w:w="1940" w:type="dxa"/>
            <w:vAlign w:val="bottom"/>
          </w:tcPr>
          <w:p>
            <w:pPr>
              <w:spacing w:after="0"/>
              <w:rPr>
                <w:sz w:val="7"/>
                <w:szCs w:val="7"/>
                <w:color w:val="auto"/>
              </w:rPr>
            </w:pPr>
          </w:p>
        </w:tc>
      </w:tr>
      <w:tr>
        <w:trPr>
          <w:trHeight w:val="356"/>
        </w:trPr>
        <w:tc>
          <w:tcPr>
            <w:tcW w:w="25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020" w:type="dxa"/>
            <w:vAlign w:val="bottom"/>
            <w:gridSpan w:val="3"/>
          </w:tcPr>
          <w:p>
            <w:pPr>
              <w:jc w:val="center"/>
              <w:ind w:right="2093"/>
              <w:spacing w:after="0"/>
              <w:rPr>
                <w:sz w:val="20"/>
                <w:szCs w:val="20"/>
                <w:color w:val="auto"/>
              </w:rPr>
            </w:pPr>
            <w:r>
              <w:rPr>
                <w:rFonts w:ascii="Times New Roman" w:cs="Times New Roman" w:eastAsia="Times New Roman" w:hAnsi="Times New Roman"/>
                <w:sz w:val="16"/>
                <w:szCs w:val="16"/>
                <w:b w:val="1"/>
                <w:bCs w:val="1"/>
                <w:color w:val="auto"/>
              </w:rPr>
              <w:t>Christopher Britt</w:t>
            </w:r>
          </w:p>
        </w:tc>
        <w:tc>
          <w:tcPr>
            <w:tcW w:w="1940" w:type="dxa"/>
            <w:vAlign w:val="bottom"/>
          </w:tcPr>
          <w:p>
            <w:pPr>
              <w:spacing w:after="0"/>
              <w:rPr>
                <w:sz w:val="24"/>
                <w:szCs w:val="24"/>
                <w:color w:val="auto"/>
              </w:rPr>
            </w:pPr>
          </w:p>
        </w:tc>
      </w:tr>
      <w:tr>
        <w:trPr>
          <w:trHeight w:val="203"/>
        </w:trPr>
        <w:tc>
          <w:tcPr>
            <w:tcW w:w="2560" w:type="dxa"/>
            <w:vAlign w:val="bottom"/>
          </w:tcPr>
          <w:p>
            <w:pPr>
              <w:spacing w:after="0"/>
              <w:rPr>
                <w:sz w:val="17"/>
                <w:szCs w:val="17"/>
                <w:color w:val="auto"/>
              </w:rPr>
            </w:pPr>
          </w:p>
        </w:tc>
        <w:tc>
          <w:tcPr>
            <w:tcW w:w="5900" w:type="dxa"/>
            <w:vAlign w:val="bottom"/>
            <w:gridSpan w:val="4"/>
          </w:tcPr>
          <w:p>
            <w:pPr>
              <w:jc w:val="center"/>
              <w:ind w:right="233"/>
              <w:spacing w:after="0"/>
              <w:rPr>
                <w:sz w:val="20"/>
                <w:szCs w:val="20"/>
                <w:color w:val="auto"/>
              </w:rPr>
            </w:pPr>
            <w:r>
              <w:rPr>
                <w:rFonts w:ascii="Times New Roman" w:cs="Times New Roman" w:eastAsia="Times New Roman" w:hAnsi="Times New Roman"/>
                <w:sz w:val="16"/>
                <w:szCs w:val="16"/>
                <w:b w:val="1"/>
                <w:bCs w:val="1"/>
                <w:color w:val="auto"/>
              </w:rPr>
              <w:t>Chief Executive Officer, Chairman, and Co-Founder</w:t>
            </w:r>
          </w:p>
        </w:tc>
        <w:tc>
          <w:tcPr>
            <w:tcW w:w="1940" w:type="dxa"/>
            <w:vAlign w:val="bottom"/>
          </w:tcPr>
          <w:p>
            <w:pPr>
              <w:spacing w:after="0"/>
              <w:rPr>
                <w:sz w:val="17"/>
                <w:szCs w:val="17"/>
                <w:color w:val="auto"/>
              </w:rPr>
            </w:pPr>
          </w:p>
        </w:tc>
      </w:tr>
      <w:tr>
        <w:trPr>
          <w:trHeight w:val="189"/>
        </w:trPr>
        <w:tc>
          <w:tcPr>
            <w:tcW w:w="25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020" w:type="dxa"/>
            <w:vAlign w:val="bottom"/>
            <w:gridSpan w:val="3"/>
          </w:tcPr>
          <w:p>
            <w:pPr>
              <w:jc w:val="center"/>
              <w:ind w:right="2093"/>
              <w:spacing w:after="0"/>
              <w:rPr>
                <w:sz w:val="20"/>
                <w:szCs w:val="20"/>
                <w:color w:val="auto"/>
              </w:rPr>
            </w:pPr>
            <w:r>
              <w:rPr>
                <w:rFonts w:ascii="Times New Roman" w:cs="Times New Roman" w:eastAsia="Times New Roman" w:hAnsi="Times New Roman"/>
                <w:sz w:val="16"/>
                <w:szCs w:val="16"/>
                <w:b w:val="1"/>
                <w:bCs w:val="1"/>
                <w:color w:val="auto"/>
              </w:rPr>
              <w:t>Chime Financial, Inc.</w:t>
            </w:r>
          </w:p>
        </w:tc>
        <w:tc>
          <w:tcPr>
            <w:tcW w:w="1940" w:type="dxa"/>
            <w:vAlign w:val="bottom"/>
          </w:tcPr>
          <w:p>
            <w:pPr>
              <w:spacing w:after="0"/>
              <w:rPr>
                <w:sz w:val="16"/>
                <w:szCs w:val="16"/>
                <w:color w:val="auto"/>
              </w:rPr>
            </w:pPr>
          </w:p>
        </w:tc>
      </w:tr>
      <w:tr>
        <w:trPr>
          <w:trHeight w:val="203"/>
        </w:trPr>
        <w:tc>
          <w:tcPr>
            <w:tcW w:w="2560" w:type="dxa"/>
            <w:vAlign w:val="bottom"/>
          </w:tcPr>
          <w:p>
            <w:pPr>
              <w:spacing w:after="0"/>
              <w:rPr>
                <w:sz w:val="17"/>
                <w:szCs w:val="17"/>
                <w:color w:val="auto"/>
              </w:rPr>
            </w:pPr>
          </w:p>
        </w:tc>
        <w:tc>
          <w:tcPr>
            <w:tcW w:w="5900" w:type="dxa"/>
            <w:vAlign w:val="bottom"/>
            <w:gridSpan w:val="4"/>
          </w:tcPr>
          <w:p>
            <w:pPr>
              <w:jc w:val="center"/>
              <w:ind w:right="233"/>
              <w:spacing w:after="0"/>
              <w:rPr>
                <w:sz w:val="20"/>
                <w:szCs w:val="20"/>
                <w:color w:val="auto"/>
              </w:rPr>
            </w:pPr>
            <w:r>
              <w:rPr>
                <w:rFonts w:ascii="Times New Roman" w:cs="Times New Roman" w:eastAsia="Times New Roman" w:hAnsi="Times New Roman"/>
                <w:sz w:val="16"/>
                <w:szCs w:val="16"/>
                <w:b w:val="1"/>
                <w:bCs w:val="1"/>
                <w:color w:val="auto"/>
              </w:rPr>
              <w:t>101 California Street, Suite 500</w:t>
            </w:r>
          </w:p>
        </w:tc>
        <w:tc>
          <w:tcPr>
            <w:tcW w:w="1940" w:type="dxa"/>
            <w:vAlign w:val="bottom"/>
          </w:tcPr>
          <w:p>
            <w:pPr>
              <w:spacing w:after="0"/>
              <w:rPr>
                <w:sz w:val="17"/>
                <w:szCs w:val="17"/>
                <w:color w:val="auto"/>
              </w:rPr>
            </w:pPr>
          </w:p>
        </w:tc>
      </w:tr>
      <w:tr>
        <w:trPr>
          <w:trHeight w:val="189"/>
        </w:trPr>
        <w:tc>
          <w:tcPr>
            <w:tcW w:w="2560" w:type="dxa"/>
            <w:vAlign w:val="bottom"/>
          </w:tcPr>
          <w:p>
            <w:pPr>
              <w:spacing w:after="0"/>
              <w:rPr>
                <w:sz w:val="16"/>
                <w:szCs w:val="16"/>
                <w:color w:val="auto"/>
              </w:rPr>
            </w:pPr>
          </w:p>
        </w:tc>
        <w:tc>
          <w:tcPr>
            <w:tcW w:w="5900" w:type="dxa"/>
            <w:vAlign w:val="bottom"/>
            <w:gridSpan w:val="4"/>
          </w:tcPr>
          <w:p>
            <w:pPr>
              <w:jc w:val="center"/>
              <w:ind w:right="233"/>
              <w:spacing w:after="0"/>
              <w:rPr>
                <w:sz w:val="20"/>
                <w:szCs w:val="20"/>
                <w:color w:val="auto"/>
              </w:rPr>
            </w:pPr>
            <w:r>
              <w:rPr>
                <w:rFonts w:ascii="Times New Roman" w:cs="Times New Roman" w:eastAsia="Times New Roman" w:hAnsi="Times New Roman"/>
                <w:sz w:val="16"/>
                <w:szCs w:val="16"/>
                <w:b w:val="1"/>
                <w:bCs w:val="1"/>
                <w:color w:val="auto"/>
              </w:rPr>
              <w:t>San Francisco, California 94111</w:t>
            </w:r>
          </w:p>
        </w:tc>
        <w:tc>
          <w:tcPr>
            <w:tcW w:w="1940" w:type="dxa"/>
            <w:vAlign w:val="bottom"/>
          </w:tcPr>
          <w:p>
            <w:pPr>
              <w:spacing w:after="0"/>
              <w:rPr>
                <w:sz w:val="16"/>
                <w:szCs w:val="16"/>
                <w:color w:val="auto"/>
              </w:rPr>
            </w:pPr>
          </w:p>
        </w:tc>
      </w:tr>
      <w:tr>
        <w:trPr>
          <w:trHeight w:val="185"/>
        </w:trPr>
        <w:tc>
          <w:tcPr>
            <w:tcW w:w="2560" w:type="dxa"/>
            <w:vAlign w:val="bottom"/>
          </w:tcPr>
          <w:p>
            <w:pPr>
              <w:spacing w:after="0"/>
              <w:rPr>
                <w:sz w:val="16"/>
                <w:szCs w:val="16"/>
                <w:color w:val="auto"/>
              </w:rPr>
            </w:pPr>
          </w:p>
        </w:tc>
        <w:tc>
          <w:tcPr>
            <w:tcW w:w="3740" w:type="dxa"/>
            <w:vAlign w:val="bottom"/>
            <w:gridSpan w:val="3"/>
          </w:tcPr>
          <w:p>
            <w:pPr>
              <w:jc w:val="center"/>
              <w:ind w:left="1806"/>
              <w:spacing w:after="0"/>
              <w:rPr>
                <w:sz w:val="20"/>
                <w:szCs w:val="20"/>
                <w:color w:val="auto"/>
              </w:rPr>
            </w:pPr>
            <w:r>
              <w:rPr>
                <w:rFonts w:ascii="Times New Roman" w:cs="Times New Roman" w:eastAsia="Times New Roman" w:hAnsi="Times New Roman"/>
                <w:sz w:val="16"/>
                <w:szCs w:val="16"/>
                <w:b w:val="1"/>
                <w:bCs w:val="1"/>
                <w:color w:val="auto"/>
              </w:rPr>
              <w:t>(844) 244-6363</w:t>
            </w:r>
          </w:p>
        </w:tc>
        <w:tc>
          <w:tcPr>
            <w:tcW w:w="216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66"/>
        </w:trPr>
        <w:tc>
          <w:tcPr>
            <w:tcW w:w="2560" w:type="dxa"/>
            <w:vAlign w:val="bottom"/>
          </w:tcPr>
          <w:p>
            <w:pPr>
              <w:spacing w:after="0"/>
              <w:rPr>
                <w:sz w:val="14"/>
                <w:szCs w:val="14"/>
                <w:color w:val="auto"/>
              </w:rPr>
            </w:pPr>
          </w:p>
        </w:tc>
        <w:tc>
          <w:tcPr>
            <w:tcW w:w="5900" w:type="dxa"/>
            <w:vAlign w:val="bottom"/>
            <w:gridSpan w:val="4"/>
          </w:tcPr>
          <w:p>
            <w:pPr>
              <w:jc w:val="center"/>
              <w:ind w:right="233"/>
              <w:spacing w:after="0"/>
              <w:rPr>
                <w:sz w:val="20"/>
                <w:szCs w:val="20"/>
                <w:color w:val="auto"/>
              </w:rPr>
            </w:pPr>
            <w:r>
              <w:rPr>
                <w:rFonts w:ascii="Times New Roman" w:cs="Times New Roman" w:eastAsia="Times New Roman" w:hAnsi="Times New Roman"/>
                <w:sz w:val="13"/>
                <w:szCs w:val="13"/>
                <w:b w:val="1"/>
                <w:bCs w:val="1"/>
                <w:color w:val="auto"/>
                <w:w w:val="96"/>
              </w:rPr>
              <w:t>(Name, address, including zip code, and telephone number, including area code, of agent for service)</w:t>
            </w:r>
          </w:p>
        </w:tc>
        <w:tc>
          <w:tcPr>
            <w:tcW w:w="1940" w:type="dxa"/>
            <w:vAlign w:val="bottom"/>
          </w:tcPr>
          <w:p>
            <w:pPr>
              <w:spacing w:after="0"/>
              <w:rPr>
                <w:sz w:val="14"/>
                <w:szCs w:val="14"/>
                <w:color w:val="auto"/>
              </w:rPr>
            </w:pPr>
          </w:p>
        </w:tc>
      </w:tr>
      <w:tr>
        <w:trPr>
          <w:trHeight w:val="84"/>
        </w:trPr>
        <w:tc>
          <w:tcPr>
            <w:tcW w:w="2560" w:type="dxa"/>
            <w:vAlign w:val="bottom"/>
          </w:tcPr>
          <w:p>
            <w:pPr>
              <w:spacing w:after="0"/>
              <w:rPr>
                <w:sz w:val="7"/>
                <w:szCs w:val="7"/>
                <w:color w:val="auto"/>
              </w:rPr>
            </w:pPr>
          </w:p>
        </w:tc>
        <w:tc>
          <w:tcPr>
            <w:tcW w:w="188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160" w:type="dxa"/>
            <w:vAlign w:val="bottom"/>
          </w:tcPr>
          <w:p>
            <w:pPr>
              <w:spacing w:after="0"/>
              <w:rPr>
                <w:sz w:val="7"/>
                <w:szCs w:val="7"/>
                <w:color w:val="auto"/>
              </w:rPr>
            </w:pPr>
          </w:p>
        </w:tc>
        <w:tc>
          <w:tcPr>
            <w:tcW w:w="1940" w:type="dxa"/>
            <w:vAlign w:val="bottom"/>
          </w:tcPr>
          <w:p>
            <w:pPr>
              <w:spacing w:after="0"/>
              <w:rPr>
                <w:sz w:val="7"/>
                <w:szCs w:val="7"/>
                <w:color w:val="auto"/>
              </w:rPr>
            </w:pPr>
          </w:p>
        </w:tc>
      </w:tr>
      <w:tr>
        <w:trPr>
          <w:trHeight w:val="344"/>
        </w:trPr>
        <w:tc>
          <w:tcPr>
            <w:tcW w:w="25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80" w:type="dxa"/>
            <w:vAlign w:val="bottom"/>
            <w:gridSpan w:val="2"/>
          </w:tcPr>
          <w:p>
            <w:pPr>
              <w:jc w:val="center"/>
              <w:ind w:right="2653"/>
              <w:spacing w:after="0"/>
              <w:rPr>
                <w:sz w:val="20"/>
                <w:szCs w:val="20"/>
                <w:color w:val="auto"/>
              </w:rPr>
            </w:pPr>
            <w:r>
              <w:rPr>
                <w:rFonts w:ascii="Times New Roman" w:cs="Times New Roman" w:eastAsia="Times New Roman" w:hAnsi="Times New Roman"/>
                <w:sz w:val="13"/>
                <w:szCs w:val="13"/>
                <w:b w:val="1"/>
                <w:bCs w:val="1"/>
                <w:i w:val="1"/>
                <w:iCs w:val="1"/>
                <w:color w:val="auto"/>
              </w:rPr>
              <w:t>Copies to:</w:t>
            </w:r>
          </w:p>
        </w:tc>
        <w:tc>
          <w:tcPr>
            <w:tcW w:w="1940" w:type="dxa"/>
            <w:vAlign w:val="bottom"/>
          </w:tcPr>
          <w:p>
            <w:pPr>
              <w:spacing w:after="0"/>
              <w:rPr>
                <w:sz w:val="24"/>
                <w:szCs w:val="24"/>
                <w:color w:val="auto"/>
              </w:rPr>
            </w:pPr>
          </w:p>
        </w:tc>
      </w:tr>
      <w:tr>
        <w:trPr>
          <w:trHeight w:val="217"/>
        </w:trPr>
        <w:tc>
          <w:tcPr>
            <w:tcW w:w="2560" w:type="dxa"/>
            <w:vAlign w:val="bottom"/>
          </w:tcPr>
          <w:p>
            <w:pPr>
              <w:jc w:val="center"/>
              <w:ind w:right="193"/>
              <w:spacing w:after="0"/>
              <w:rPr>
                <w:sz w:val="20"/>
                <w:szCs w:val="20"/>
                <w:color w:val="auto"/>
              </w:rPr>
            </w:pPr>
            <w:r>
              <w:rPr>
                <w:rFonts w:ascii="Times New Roman" w:cs="Times New Roman" w:eastAsia="Times New Roman" w:hAnsi="Times New Roman"/>
                <w:sz w:val="13"/>
                <w:szCs w:val="13"/>
                <w:b w:val="1"/>
                <w:bCs w:val="1"/>
                <w:color w:val="auto"/>
              </w:rPr>
              <w:t>Rezwan D. Pavri</w:t>
            </w:r>
          </w:p>
        </w:tc>
        <w:tc>
          <w:tcPr>
            <w:tcW w:w="2420" w:type="dxa"/>
            <w:vAlign w:val="bottom"/>
            <w:gridSpan w:val="2"/>
          </w:tcPr>
          <w:p>
            <w:pPr>
              <w:jc w:val="center"/>
              <w:ind w:left="306"/>
              <w:spacing w:after="0"/>
              <w:rPr>
                <w:sz w:val="20"/>
                <w:szCs w:val="20"/>
                <w:color w:val="auto"/>
              </w:rPr>
            </w:pPr>
            <w:r>
              <w:rPr>
                <w:rFonts w:ascii="Times New Roman" w:cs="Times New Roman" w:eastAsia="Times New Roman" w:hAnsi="Times New Roman"/>
                <w:sz w:val="13"/>
                <w:szCs w:val="13"/>
                <w:b w:val="1"/>
                <w:bCs w:val="1"/>
                <w:color w:val="auto"/>
              </w:rPr>
              <w:t>David K. Lam</w:t>
            </w:r>
          </w:p>
        </w:tc>
        <w:tc>
          <w:tcPr>
            <w:tcW w:w="1320" w:type="dxa"/>
            <w:vAlign w:val="bottom"/>
          </w:tcPr>
          <w:p>
            <w:pPr>
              <w:spacing w:after="0"/>
              <w:rPr>
                <w:sz w:val="18"/>
                <w:szCs w:val="18"/>
                <w:color w:val="auto"/>
              </w:rPr>
            </w:pPr>
          </w:p>
        </w:tc>
        <w:tc>
          <w:tcPr>
            <w:tcW w:w="2160" w:type="dxa"/>
            <w:vAlign w:val="bottom"/>
          </w:tcPr>
          <w:p>
            <w:pPr>
              <w:jc w:val="center"/>
              <w:ind w:right="1173"/>
              <w:spacing w:after="0"/>
              <w:rPr>
                <w:sz w:val="20"/>
                <w:szCs w:val="20"/>
                <w:color w:val="auto"/>
              </w:rPr>
            </w:pPr>
            <w:r>
              <w:rPr>
                <w:rFonts w:ascii="Times New Roman" w:cs="Times New Roman" w:eastAsia="Times New Roman" w:hAnsi="Times New Roman"/>
                <w:sz w:val="13"/>
                <w:szCs w:val="13"/>
                <w:b w:val="1"/>
                <w:bCs w:val="1"/>
                <w:color w:val="auto"/>
              </w:rPr>
              <w:t>Adam Frankel</w:t>
            </w:r>
          </w:p>
        </w:tc>
        <w:tc>
          <w:tcPr>
            <w:tcW w:w="1940" w:type="dxa"/>
            <w:vAlign w:val="bottom"/>
          </w:tcPr>
          <w:p>
            <w:pPr>
              <w:jc w:val="center"/>
              <w:ind w:left="212"/>
              <w:spacing w:after="0"/>
              <w:rPr>
                <w:sz w:val="20"/>
                <w:szCs w:val="20"/>
                <w:color w:val="auto"/>
              </w:rPr>
            </w:pPr>
            <w:r>
              <w:rPr>
                <w:rFonts w:ascii="Times New Roman" w:cs="Times New Roman" w:eastAsia="Times New Roman" w:hAnsi="Times New Roman"/>
                <w:sz w:val="13"/>
                <w:szCs w:val="13"/>
                <w:b w:val="1"/>
                <w:bCs w:val="1"/>
                <w:color w:val="auto"/>
              </w:rPr>
              <w:t>Byron B. Rooney</w:t>
            </w:r>
          </w:p>
        </w:tc>
      </w:tr>
      <w:tr>
        <w:trPr>
          <w:trHeight w:val="135"/>
        </w:trPr>
        <w:tc>
          <w:tcPr>
            <w:tcW w:w="2560" w:type="dxa"/>
            <w:vAlign w:val="bottom"/>
          </w:tcPr>
          <w:p>
            <w:pPr>
              <w:jc w:val="center"/>
              <w:ind w:right="173"/>
              <w:spacing w:after="0" w:line="135" w:lineRule="exact"/>
              <w:rPr>
                <w:sz w:val="20"/>
                <w:szCs w:val="20"/>
                <w:color w:val="auto"/>
              </w:rPr>
            </w:pPr>
            <w:r>
              <w:rPr>
                <w:rFonts w:ascii="Times New Roman" w:cs="Times New Roman" w:eastAsia="Times New Roman" w:hAnsi="Times New Roman"/>
                <w:sz w:val="13"/>
                <w:szCs w:val="13"/>
                <w:b w:val="1"/>
                <w:bCs w:val="1"/>
                <w:color w:val="auto"/>
              </w:rPr>
              <w:t>Lisa L. Stimmell</w:t>
            </w:r>
          </w:p>
        </w:tc>
        <w:tc>
          <w:tcPr>
            <w:tcW w:w="2420" w:type="dxa"/>
            <w:vAlign w:val="bottom"/>
            <w:gridSpan w:val="2"/>
          </w:tcPr>
          <w:p>
            <w:pPr>
              <w:jc w:val="center"/>
              <w:ind w:left="306"/>
              <w:spacing w:after="0" w:line="135" w:lineRule="exact"/>
              <w:rPr>
                <w:sz w:val="20"/>
                <w:szCs w:val="20"/>
                <w:color w:val="auto"/>
              </w:rPr>
            </w:pPr>
            <w:r>
              <w:rPr>
                <w:rFonts w:ascii="Times New Roman" w:cs="Times New Roman" w:eastAsia="Times New Roman" w:hAnsi="Times New Roman"/>
                <w:sz w:val="13"/>
                <w:szCs w:val="13"/>
                <w:b w:val="1"/>
                <w:bCs w:val="1"/>
                <w:color w:val="auto"/>
              </w:rPr>
              <w:t>Steven R. Green</w:t>
            </w:r>
          </w:p>
        </w:tc>
        <w:tc>
          <w:tcPr>
            <w:tcW w:w="1320" w:type="dxa"/>
            <w:vAlign w:val="bottom"/>
          </w:tcPr>
          <w:p>
            <w:pPr>
              <w:spacing w:after="0"/>
              <w:rPr>
                <w:sz w:val="11"/>
                <w:szCs w:val="11"/>
                <w:color w:val="auto"/>
              </w:rPr>
            </w:pPr>
          </w:p>
        </w:tc>
        <w:tc>
          <w:tcPr>
            <w:tcW w:w="2160" w:type="dxa"/>
            <w:vAlign w:val="bottom"/>
          </w:tcPr>
          <w:p>
            <w:pPr>
              <w:jc w:val="center"/>
              <w:ind w:right="1153"/>
              <w:spacing w:after="0" w:line="135" w:lineRule="exact"/>
              <w:rPr>
                <w:sz w:val="20"/>
                <w:szCs w:val="20"/>
                <w:color w:val="auto"/>
              </w:rPr>
            </w:pPr>
            <w:r>
              <w:rPr>
                <w:rFonts w:ascii="Times New Roman" w:cs="Times New Roman" w:eastAsia="Times New Roman" w:hAnsi="Times New Roman"/>
                <w:sz w:val="13"/>
                <w:szCs w:val="13"/>
                <w:b w:val="1"/>
                <w:bCs w:val="1"/>
                <w:color w:val="auto"/>
              </w:rPr>
              <w:t>Apple Palarca</w:t>
            </w:r>
          </w:p>
        </w:tc>
        <w:tc>
          <w:tcPr>
            <w:tcW w:w="1940" w:type="dxa"/>
            <w:vAlign w:val="bottom"/>
          </w:tcPr>
          <w:p>
            <w:pPr>
              <w:jc w:val="center"/>
              <w:ind w:left="212"/>
              <w:spacing w:after="0" w:line="135" w:lineRule="exact"/>
              <w:rPr>
                <w:sz w:val="20"/>
                <w:szCs w:val="20"/>
                <w:color w:val="auto"/>
              </w:rPr>
            </w:pPr>
            <w:r>
              <w:rPr>
                <w:rFonts w:ascii="Times New Roman" w:cs="Times New Roman" w:eastAsia="Times New Roman" w:hAnsi="Times New Roman"/>
                <w:sz w:val="13"/>
                <w:szCs w:val="13"/>
                <w:b w:val="1"/>
                <w:bCs w:val="1"/>
                <w:color w:val="auto"/>
              </w:rPr>
              <w:t>Marcel R. Fausten</w:t>
            </w:r>
          </w:p>
        </w:tc>
      </w:tr>
      <w:tr>
        <w:trPr>
          <w:trHeight w:val="135"/>
        </w:trPr>
        <w:tc>
          <w:tcPr>
            <w:tcW w:w="2560" w:type="dxa"/>
            <w:vAlign w:val="bottom"/>
          </w:tcPr>
          <w:p>
            <w:pPr>
              <w:jc w:val="center"/>
              <w:ind w:right="193"/>
              <w:spacing w:after="0" w:line="135" w:lineRule="exact"/>
              <w:rPr>
                <w:sz w:val="20"/>
                <w:szCs w:val="20"/>
                <w:color w:val="auto"/>
              </w:rPr>
            </w:pPr>
            <w:r>
              <w:rPr>
                <w:rFonts w:ascii="Times New Roman" w:cs="Times New Roman" w:eastAsia="Times New Roman" w:hAnsi="Times New Roman"/>
                <w:sz w:val="13"/>
                <w:szCs w:val="13"/>
                <w:b w:val="1"/>
                <w:bCs w:val="1"/>
                <w:color w:val="auto"/>
              </w:rPr>
              <w:t>Colin G. Conklin</w:t>
            </w:r>
          </w:p>
        </w:tc>
        <w:tc>
          <w:tcPr>
            <w:tcW w:w="2420" w:type="dxa"/>
            <w:vAlign w:val="bottom"/>
            <w:gridSpan w:val="2"/>
          </w:tcPr>
          <w:p>
            <w:pPr>
              <w:jc w:val="center"/>
              <w:ind w:left="306"/>
              <w:spacing w:after="0" w:line="135" w:lineRule="exact"/>
              <w:rPr>
                <w:sz w:val="20"/>
                <w:szCs w:val="20"/>
                <w:color w:val="auto"/>
              </w:rPr>
            </w:pPr>
            <w:r>
              <w:rPr>
                <w:rFonts w:ascii="Times New Roman" w:cs="Times New Roman" w:eastAsia="Times New Roman" w:hAnsi="Times New Roman"/>
                <w:sz w:val="13"/>
                <w:szCs w:val="13"/>
                <w:b w:val="1"/>
                <w:bCs w:val="1"/>
                <w:color w:val="auto"/>
              </w:rPr>
              <w:t>Wachtell, Lipton, Rosen &amp; Katz</w:t>
            </w:r>
          </w:p>
        </w:tc>
        <w:tc>
          <w:tcPr>
            <w:tcW w:w="3480" w:type="dxa"/>
            <w:vAlign w:val="bottom"/>
            <w:gridSpan w:val="2"/>
          </w:tcPr>
          <w:p>
            <w:pPr>
              <w:jc w:val="center"/>
              <w:ind w:left="31"/>
              <w:spacing w:after="0" w:line="135" w:lineRule="exact"/>
              <w:rPr>
                <w:sz w:val="20"/>
                <w:szCs w:val="20"/>
                <w:color w:val="auto"/>
              </w:rPr>
            </w:pPr>
            <w:r>
              <w:rPr>
                <w:rFonts w:ascii="Times New Roman" w:cs="Times New Roman" w:eastAsia="Times New Roman" w:hAnsi="Times New Roman"/>
                <w:sz w:val="13"/>
                <w:szCs w:val="13"/>
                <w:b w:val="1"/>
                <w:bCs w:val="1"/>
                <w:color w:val="auto"/>
              </w:rPr>
              <w:t>Chime Financial, Inc.</w:t>
            </w:r>
          </w:p>
        </w:tc>
        <w:tc>
          <w:tcPr>
            <w:tcW w:w="1940" w:type="dxa"/>
            <w:vAlign w:val="bottom"/>
          </w:tcPr>
          <w:p>
            <w:pPr>
              <w:jc w:val="center"/>
              <w:ind w:left="232"/>
              <w:spacing w:after="0" w:line="135" w:lineRule="exact"/>
              <w:rPr>
                <w:sz w:val="20"/>
                <w:szCs w:val="20"/>
                <w:color w:val="auto"/>
              </w:rPr>
            </w:pPr>
            <w:r>
              <w:rPr>
                <w:rFonts w:ascii="Times New Roman" w:cs="Times New Roman" w:eastAsia="Times New Roman" w:hAnsi="Times New Roman"/>
                <w:sz w:val="13"/>
                <w:szCs w:val="13"/>
                <w:b w:val="1"/>
                <w:bCs w:val="1"/>
                <w:color w:val="auto"/>
              </w:rPr>
              <w:t>Emily Roberts</w:t>
            </w:r>
          </w:p>
        </w:tc>
      </w:tr>
      <w:tr>
        <w:trPr>
          <w:trHeight w:val="135"/>
        </w:trPr>
        <w:tc>
          <w:tcPr>
            <w:tcW w:w="2560" w:type="dxa"/>
            <w:vAlign w:val="bottom"/>
          </w:tcPr>
          <w:p>
            <w:pPr>
              <w:jc w:val="center"/>
              <w:ind w:right="173"/>
              <w:spacing w:after="0" w:line="135" w:lineRule="exact"/>
              <w:rPr>
                <w:sz w:val="20"/>
                <w:szCs w:val="20"/>
                <w:color w:val="auto"/>
              </w:rPr>
            </w:pPr>
            <w:r>
              <w:rPr>
                <w:rFonts w:ascii="Times New Roman" w:cs="Times New Roman" w:eastAsia="Times New Roman" w:hAnsi="Times New Roman"/>
                <w:sz w:val="13"/>
                <w:szCs w:val="13"/>
                <w:b w:val="1"/>
                <w:bCs w:val="1"/>
                <w:color w:val="auto"/>
              </w:rPr>
              <w:t>Gordon W. Grafft</w:t>
            </w:r>
          </w:p>
        </w:tc>
        <w:tc>
          <w:tcPr>
            <w:tcW w:w="2420" w:type="dxa"/>
            <w:vAlign w:val="bottom"/>
            <w:gridSpan w:val="2"/>
          </w:tcPr>
          <w:p>
            <w:pPr>
              <w:jc w:val="center"/>
              <w:ind w:left="306"/>
              <w:spacing w:after="0" w:line="135" w:lineRule="exact"/>
              <w:rPr>
                <w:sz w:val="20"/>
                <w:szCs w:val="20"/>
                <w:color w:val="auto"/>
              </w:rPr>
            </w:pPr>
            <w:r>
              <w:rPr>
                <w:rFonts w:ascii="Times New Roman" w:cs="Times New Roman" w:eastAsia="Times New Roman" w:hAnsi="Times New Roman"/>
                <w:sz w:val="13"/>
                <w:szCs w:val="13"/>
                <w:b w:val="1"/>
                <w:bCs w:val="1"/>
                <w:color w:val="auto"/>
              </w:rPr>
              <w:t>51 West 52nd Street</w:t>
            </w:r>
          </w:p>
        </w:tc>
        <w:tc>
          <w:tcPr>
            <w:tcW w:w="3480" w:type="dxa"/>
            <w:vAlign w:val="bottom"/>
            <w:gridSpan w:val="2"/>
          </w:tcPr>
          <w:p>
            <w:pPr>
              <w:jc w:val="center"/>
              <w:ind w:left="11"/>
              <w:spacing w:after="0" w:line="135" w:lineRule="exact"/>
              <w:rPr>
                <w:sz w:val="20"/>
                <w:szCs w:val="20"/>
                <w:color w:val="auto"/>
              </w:rPr>
            </w:pPr>
            <w:r>
              <w:rPr>
                <w:rFonts w:ascii="Times New Roman" w:cs="Times New Roman" w:eastAsia="Times New Roman" w:hAnsi="Times New Roman"/>
                <w:sz w:val="13"/>
                <w:szCs w:val="13"/>
                <w:b w:val="1"/>
                <w:bCs w:val="1"/>
                <w:color w:val="auto"/>
              </w:rPr>
              <w:t>101 California Street, Suite 500</w:t>
            </w:r>
          </w:p>
        </w:tc>
        <w:tc>
          <w:tcPr>
            <w:tcW w:w="1940" w:type="dxa"/>
            <w:vAlign w:val="bottom"/>
          </w:tcPr>
          <w:p>
            <w:pPr>
              <w:jc w:val="center"/>
              <w:ind w:left="212"/>
              <w:spacing w:after="0" w:line="135" w:lineRule="exact"/>
              <w:rPr>
                <w:sz w:val="20"/>
                <w:szCs w:val="20"/>
                <w:color w:val="auto"/>
              </w:rPr>
            </w:pPr>
            <w:r>
              <w:rPr>
                <w:rFonts w:ascii="Times New Roman" w:cs="Times New Roman" w:eastAsia="Times New Roman" w:hAnsi="Times New Roman"/>
                <w:sz w:val="13"/>
                <w:szCs w:val="13"/>
                <w:b w:val="1"/>
                <w:bCs w:val="1"/>
                <w:color w:val="auto"/>
              </w:rPr>
              <w:t>Davis Polk &amp; Wardwell LLP</w:t>
            </w:r>
          </w:p>
        </w:tc>
      </w:tr>
      <w:tr>
        <w:trPr>
          <w:trHeight w:val="135"/>
        </w:trPr>
        <w:tc>
          <w:tcPr>
            <w:tcW w:w="2560" w:type="dxa"/>
            <w:vAlign w:val="bottom"/>
          </w:tcPr>
          <w:p>
            <w:pPr>
              <w:jc w:val="center"/>
              <w:ind w:right="193"/>
              <w:spacing w:after="0" w:line="135" w:lineRule="exact"/>
              <w:rPr>
                <w:sz w:val="20"/>
                <w:szCs w:val="20"/>
                <w:color w:val="auto"/>
              </w:rPr>
            </w:pPr>
            <w:r>
              <w:rPr>
                <w:rFonts w:ascii="Times New Roman" w:cs="Times New Roman" w:eastAsia="Times New Roman" w:hAnsi="Times New Roman"/>
                <w:sz w:val="13"/>
                <w:szCs w:val="13"/>
                <w:b w:val="1"/>
                <w:bCs w:val="1"/>
                <w:color w:val="auto"/>
              </w:rPr>
              <w:t>Wilson Sonsini Goodrich &amp; Rosati, P.C.</w:t>
            </w:r>
          </w:p>
        </w:tc>
        <w:tc>
          <w:tcPr>
            <w:tcW w:w="2420" w:type="dxa"/>
            <w:vAlign w:val="bottom"/>
            <w:gridSpan w:val="2"/>
          </w:tcPr>
          <w:p>
            <w:pPr>
              <w:jc w:val="center"/>
              <w:ind w:left="306"/>
              <w:spacing w:after="0" w:line="135" w:lineRule="exact"/>
              <w:rPr>
                <w:sz w:val="20"/>
                <w:szCs w:val="20"/>
                <w:color w:val="auto"/>
              </w:rPr>
            </w:pPr>
            <w:r>
              <w:rPr>
                <w:rFonts w:ascii="Times New Roman" w:cs="Times New Roman" w:eastAsia="Times New Roman" w:hAnsi="Times New Roman"/>
                <w:sz w:val="13"/>
                <w:szCs w:val="13"/>
                <w:b w:val="1"/>
                <w:bCs w:val="1"/>
                <w:color w:val="auto"/>
              </w:rPr>
              <w:t>New York, New York 10019</w:t>
            </w:r>
          </w:p>
        </w:tc>
        <w:tc>
          <w:tcPr>
            <w:tcW w:w="3480" w:type="dxa"/>
            <w:vAlign w:val="bottom"/>
            <w:gridSpan w:val="2"/>
          </w:tcPr>
          <w:p>
            <w:pPr>
              <w:jc w:val="center"/>
              <w:ind w:left="31"/>
              <w:spacing w:after="0" w:line="135" w:lineRule="exact"/>
              <w:rPr>
                <w:sz w:val="20"/>
                <w:szCs w:val="20"/>
                <w:color w:val="auto"/>
              </w:rPr>
            </w:pPr>
            <w:r>
              <w:rPr>
                <w:rFonts w:ascii="Times New Roman" w:cs="Times New Roman" w:eastAsia="Times New Roman" w:hAnsi="Times New Roman"/>
                <w:sz w:val="13"/>
                <w:szCs w:val="13"/>
                <w:b w:val="1"/>
                <w:bCs w:val="1"/>
                <w:color w:val="auto"/>
              </w:rPr>
              <w:t>San Francisco, California 94111</w:t>
            </w:r>
          </w:p>
        </w:tc>
        <w:tc>
          <w:tcPr>
            <w:tcW w:w="1940" w:type="dxa"/>
            <w:vAlign w:val="bottom"/>
          </w:tcPr>
          <w:p>
            <w:pPr>
              <w:jc w:val="center"/>
              <w:ind w:left="232"/>
              <w:spacing w:after="0" w:line="135" w:lineRule="exact"/>
              <w:rPr>
                <w:sz w:val="20"/>
                <w:szCs w:val="20"/>
                <w:color w:val="auto"/>
              </w:rPr>
            </w:pPr>
            <w:r>
              <w:rPr>
                <w:rFonts w:ascii="Times New Roman" w:cs="Times New Roman" w:eastAsia="Times New Roman" w:hAnsi="Times New Roman"/>
                <w:sz w:val="13"/>
                <w:szCs w:val="13"/>
                <w:b w:val="1"/>
                <w:bCs w:val="1"/>
                <w:color w:val="auto"/>
              </w:rPr>
              <w:t>450 Lexington Avenue</w:t>
            </w:r>
          </w:p>
        </w:tc>
      </w:tr>
      <w:tr>
        <w:trPr>
          <w:trHeight w:val="135"/>
        </w:trPr>
        <w:tc>
          <w:tcPr>
            <w:tcW w:w="2560" w:type="dxa"/>
            <w:vAlign w:val="bottom"/>
          </w:tcPr>
          <w:p>
            <w:pPr>
              <w:jc w:val="center"/>
              <w:ind w:right="193"/>
              <w:spacing w:after="0" w:line="135" w:lineRule="exact"/>
              <w:rPr>
                <w:sz w:val="20"/>
                <w:szCs w:val="20"/>
                <w:color w:val="auto"/>
              </w:rPr>
            </w:pPr>
            <w:r>
              <w:rPr>
                <w:rFonts w:ascii="Times New Roman" w:cs="Times New Roman" w:eastAsia="Times New Roman" w:hAnsi="Times New Roman"/>
                <w:sz w:val="13"/>
                <w:szCs w:val="13"/>
                <w:b w:val="1"/>
                <w:bCs w:val="1"/>
                <w:color w:val="auto"/>
              </w:rPr>
              <w:t>650 Page Mill Road</w:t>
            </w:r>
          </w:p>
        </w:tc>
        <w:tc>
          <w:tcPr>
            <w:tcW w:w="1880" w:type="dxa"/>
            <w:vAlign w:val="bottom"/>
          </w:tcPr>
          <w:p>
            <w:pPr>
              <w:jc w:val="center"/>
              <w:ind w:left="846"/>
              <w:spacing w:after="0" w:line="135" w:lineRule="exact"/>
              <w:rPr>
                <w:sz w:val="20"/>
                <w:szCs w:val="20"/>
                <w:color w:val="auto"/>
              </w:rPr>
            </w:pPr>
            <w:r>
              <w:rPr>
                <w:rFonts w:ascii="Times New Roman" w:cs="Times New Roman" w:eastAsia="Times New Roman" w:hAnsi="Times New Roman"/>
                <w:sz w:val="13"/>
                <w:szCs w:val="13"/>
                <w:b w:val="1"/>
                <w:bCs w:val="1"/>
                <w:color w:val="auto"/>
              </w:rPr>
              <w:t>(212) 403-1000</w:t>
            </w:r>
          </w:p>
        </w:tc>
        <w:tc>
          <w:tcPr>
            <w:tcW w:w="540" w:type="dxa"/>
            <w:vAlign w:val="bottom"/>
          </w:tcPr>
          <w:p>
            <w:pPr>
              <w:spacing w:after="0"/>
              <w:rPr>
                <w:sz w:val="11"/>
                <w:szCs w:val="11"/>
                <w:color w:val="auto"/>
              </w:rPr>
            </w:pPr>
          </w:p>
        </w:tc>
        <w:tc>
          <w:tcPr>
            <w:tcW w:w="3480" w:type="dxa"/>
            <w:vAlign w:val="bottom"/>
            <w:gridSpan w:val="2"/>
          </w:tcPr>
          <w:p>
            <w:pPr>
              <w:jc w:val="center"/>
              <w:ind w:left="31"/>
              <w:spacing w:after="0" w:line="135" w:lineRule="exact"/>
              <w:rPr>
                <w:sz w:val="20"/>
                <w:szCs w:val="20"/>
                <w:color w:val="auto"/>
              </w:rPr>
            </w:pPr>
            <w:r>
              <w:rPr>
                <w:rFonts w:ascii="Times New Roman" w:cs="Times New Roman" w:eastAsia="Times New Roman" w:hAnsi="Times New Roman"/>
                <w:sz w:val="13"/>
                <w:szCs w:val="13"/>
                <w:b w:val="1"/>
                <w:bCs w:val="1"/>
                <w:color w:val="auto"/>
                <w:w w:val="95"/>
              </w:rPr>
              <w:t>(844) 244-6363</w:t>
            </w:r>
          </w:p>
        </w:tc>
        <w:tc>
          <w:tcPr>
            <w:tcW w:w="1940" w:type="dxa"/>
            <w:vAlign w:val="bottom"/>
          </w:tcPr>
          <w:p>
            <w:pPr>
              <w:jc w:val="center"/>
              <w:ind w:left="212"/>
              <w:spacing w:after="0" w:line="135" w:lineRule="exact"/>
              <w:rPr>
                <w:sz w:val="20"/>
                <w:szCs w:val="20"/>
                <w:color w:val="auto"/>
              </w:rPr>
            </w:pPr>
            <w:r>
              <w:rPr>
                <w:rFonts w:ascii="Times New Roman" w:cs="Times New Roman" w:eastAsia="Times New Roman" w:hAnsi="Times New Roman"/>
                <w:sz w:val="13"/>
                <w:szCs w:val="13"/>
                <w:b w:val="1"/>
                <w:bCs w:val="1"/>
                <w:color w:val="auto"/>
              </w:rPr>
              <w:t>New York, New York 10017</w:t>
            </w:r>
          </w:p>
        </w:tc>
      </w:tr>
      <w:tr>
        <w:trPr>
          <w:trHeight w:val="135"/>
        </w:trPr>
        <w:tc>
          <w:tcPr>
            <w:tcW w:w="2560" w:type="dxa"/>
            <w:vAlign w:val="bottom"/>
          </w:tcPr>
          <w:p>
            <w:pPr>
              <w:jc w:val="center"/>
              <w:ind w:right="193"/>
              <w:spacing w:after="0" w:line="135" w:lineRule="exact"/>
              <w:rPr>
                <w:sz w:val="20"/>
                <w:szCs w:val="20"/>
                <w:color w:val="auto"/>
              </w:rPr>
            </w:pPr>
            <w:r>
              <w:rPr>
                <w:rFonts w:ascii="Times New Roman" w:cs="Times New Roman" w:eastAsia="Times New Roman" w:hAnsi="Times New Roman"/>
                <w:sz w:val="13"/>
                <w:szCs w:val="13"/>
                <w:b w:val="1"/>
                <w:bCs w:val="1"/>
                <w:color w:val="auto"/>
              </w:rPr>
              <w:t>Palo Alto, California 94304</w:t>
            </w:r>
          </w:p>
        </w:tc>
        <w:tc>
          <w:tcPr>
            <w:tcW w:w="18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940" w:type="dxa"/>
            <w:vAlign w:val="bottom"/>
          </w:tcPr>
          <w:p>
            <w:pPr>
              <w:jc w:val="center"/>
              <w:ind w:left="232"/>
              <w:spacing w:after="0" w:line="135" w:lineRule="exact"/>
              <w:rPr>
                <w:sz w:val="20"/>
                <w:szCs w:val="20"/>
                <w:color w:val="auto"/>
              </w:rPr>
            </w:pPr>
            <w:r>
              <w:rPr>
                <w:rFonts w:ascii="Times New Roman" w:cs="Times New Roman" w:eastAsia="Times New Roman" w:hAnsi="Times New Roman"/>
                <w:sz w:val="13"/>
                <w:szCs w:val="13"/>
                <w:b w:val="1"/>
                <w:bCs w:val="1"/>
                <w:color w:val="auto"/>
              </w:rPr>
              <w:t>(212) 450-4000</w:t>
            </w:r>
          </w:p>
        </w:tc>
      </w:tr>
      <w:tr>
        <w:trPr>
          <w:trHeight w:val="178"/>
        </w:trPr>
        <w:tc>
          <w:tcPr>
            <w:tcW w:w="2560" w:type="dxa"/>
            <w:vAlign w:val="bottom"/>
          </w:tcPr>
          <w:p>
            <w:pPr>
              <w:jc w:val="center"/>
              <w:ind w:right="173"/>
              <w:spacing w:after="0"/>
              <w:rPr>
                <w:sz w:val="20"/>
                <w:szCs w:val="20"/>
                <w:color w:val="auto"/>
              </w:rPr>
            </w:pPr>
            <w:r>
              <w:rPr>
                <w:rFonts w:ascii="Times New Roman" w:cs="Times New Roman" w:eastAsia="Times New Roman" w:hAnsi="Times New Roman"/>
                <w:sz w:val="13"/>
                <w:szCs w:val="13"/>
                <w:b w:val="1"/>
                <w:bCs w:val="1"/>
                <w:color w:val="auto"/>
              </w:rPr>
              <w:t>(650) 493-9300</w:t>
            </w:r>
          </w:p>
        </w:tc>
        <w:tc>
          <w:tcPr>
            <w:tcW w:w="1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94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118110</wp:posOffset>
            </wp:positionV>
            <wp:extent cx="11912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33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Approximate date of commencement of proposed sale to the public: As soon as practicable after this registration statement becomes effective.</w:t>
      </w:r>
    </w:p>
    <w:p>
      <w:pPr>
        <w:spacing w:after="0" w:line="53"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100" w:lineRule="exact"/>
        <w:rPr>
          <w:sz w:val="24"/>
          <w:szCs w:val="24"/>
          <w:color w:val="auto"/>
        </w:rPr>
      </w:pPr>
    </w:p>
    <w:p>
      <w:pPr>
        <w:jc w:val="both"/>
        <w:spacing w:after="0" w:line="200"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0" w:lineRule="exact"/>
        <w:rPr>
          <w:sz w:val="24"/>
          <w:szCs w:val="24"/>
          <w:color w:val="auto"/>
        </w:rPr>
      </w:pPr>
    </w:p>
    <w:p>
      <w:pPr>
        <w:jc w:val="both"/>
        <w:spacing w:after="0" w:line="193"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0" w:lineRule="exact"/>
        <w:rPr>
          <w:sz w:val="24"/>
          <w:szCs w:val="24"/>
          <w:color w:val="auto"/>
        </w:rPr>
      </w:pPr>
    </w:p>
    <w:p>
      <w:pPr>
        <w:jc w:val="both"/>
        <w:spacing w:after="0" w:line="200"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0" w:lineRule="exact"/>
        <w:rPr>
          <w:sz w:val="24"/>
          <w:szCs w:val="24"/>
          <w:color w:val="auto"/>
        </w:rPr>
      </w:pPr>
    </w:p>
    <w:p>
      <w:pPr>
        <w:jc w:val="both"/>
        <w:ind w:right="2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3"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86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160" w:type="dxa"/>
            <w:vAlign w:val="bottom"/>
          </w:tcPr>
          <w:p>
            <w:pPr>
              <w:ind w:left="3440"/>
              <w:spacing w:after="0"/>
              <w:rPr>
                <w:sz w:val="20"/>
                <w:szCs w:val="20"/>
                <w:color w:val="auto"/>
              </w:rPr>
            </w:pPr>
            <w:r>
              <w:rPr>
                <w:rFonts w:ascii="Times New Roman" w:cs="Times New Roman" w:eastAsia="Times New Roman" w:hAnsi="Times New Roman"/>
                <w:sz w:val="14"/>
                <w:szCs w:val="14"/>
                <w:color w:val="auto"/>
              </w:rPr>
              <w:t>Accelerated filer</w:t>
            </w:r>
          </w:p>
        </w:tc>
        <w:tc>
          <w:tcPr>
            <w:tcW w:w="300" w:type="dxa"/>
            <w:vAlign w:val="bottom"/>
          </w:tcPr>
          <w:p>
            <w:pPr>
              <w:ind w:left="1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86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160" w:type="dxa"/>
            <w:vAlign w:val="bottom"/>
          </w:tcPr>
          <w:p>
            <w:pPr>
              <w:ind w:left="34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300" w:type="dxa"/>
            <w:vAlign w:val="bottom"/>
          </w:tcPr>
          <w:p>
            <w:pPr>
              <w:ind w:left="1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158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5160" w:type="dxa"/>
            <w:vAlign w:val="bottom"/>
          </w:tcPr>
          <w:p>
            <w:pPr>
              <w:ind w:left="3440"/>
              <w:spacing w:after="0"/>
              <w:rPr>
                <w:sz w:val="20"/>
                <w:szCs w:val="20"/>
                <w:color w:val="auto"/>
              </w:rPr>
            </w:pPr>
            <w:r>
              <w:rPr>
                <w:rFonts w:ascii="Times New Roman" w:cs="Times New Roman" w:eastAsia="Times New Roman" w:hAnsi="Times New Roman"/>
                <w:sz w:val="14"/>
                <w:szCs w:val="14"/>
                <w:color w:val="auto"/>
              </w:rPr>
              <w:t>Emerging growth company</w:t>
            </w:r>
          </w:p>
        </w:tc>
        <w:tc>
          <w:tcPr>
            <w:tcW w:w="300" w:type="dxa"/>
            <w:vAlign w:val="bottom"/>
          </w:tcPr>
          <w:p>
            <w:pPr>
              <w:ind w:left="16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27" w:lineRule="exact"/>
        <w:rPr>
          <w:sz w:val="24"/>
          <w:szCs w:val="24"/>
          <w:color w:val="auto"/>
        </w:rPr>
      </w:pPr>
    </w:p>
    <w:p>
      <w:pPr>
        <w:ind w:right="560"/>
        <w:spacing w:after="0" w:line="20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44450</wp:posOffset>
            </wp:positionV>
            <wp:extent cx="11912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14" w:lineRule="exact"/>
        <w:rPr>
          <w:sz w:val="24"/>
          <w:szCs w:val="24"/>
          <w:color w:val="auto"/>
        </w:rPr>
      </w:pPr>
    </w:p>
    <w:p>
      <w:pPr>
        <w:jc w:val="both"/>
        <w:spacing w:after="0" w:line="283"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will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65405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37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F1665F"/>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17" w:lineRule="exact"/>
        <w:rPr>
          <w:sz w:val="20"/>
          <w:szCs w:val="20"/>
          <w:color w:val="auto"/>
        </w:rPr>
      </w:pPr>
    </w:p>
    <w:p>
      <w:pPr>
        <w:jc w:val="center"/>
        <w:spacing w:after="0"/>
        <w:tabs>
          <w:tab w:leader="none" w:pos="240" w:val="left"/>
        </w:tabs>
        <w:rPr>
          <w:sz w:val="20"/>
          <w:szCs w:val="20"/>
          <w:color w:val="auto"/>
        </w:rPr>
      </w:pPr>
      <w:r>
        <w:rPr>
          <w:rFonts w:ascii="Times New Roman" w:cs="Times New Roman" w:eastAsia="Times New Roman" w:hAnsi="Times New Roman"/>
          <w:sz w:val="18"/>
          <w:szCs w:val="18"/>
          <w:b w:val="1"/>
          <w:bCs w:val="1"/>
          <w:color w:val="F1665F"/>
        </w:rPr>
        <w:t>Subject To Completion. Dated</w:t>
        <w:tab/>
        <w:t>, 2025.</w:t>
      </w:r>
    </w:p>
    <w:p>
      <w:pPr>
        <w:spacing w:after="0" w:line="16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32"/>
          <w:szCs w:val="3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36195</wp:posOffset>
            </wp:positionV>
            <wp:extent cx="1645920" cy="4718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4592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153035</wp:posOffset>
            </wp:positionV>
            <wp:extent cx="13112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an initial public offering of shares of common stock of Chime Financial, Inc.</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common stock. It is currently estimated that the initial public offering price per share will be between $ and $ . We intend to apply to list our common stock on the Nasdaq Global Select Market under the symbol “CHYM”.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See “</w:t>
      </w:r>
      <w:r>
        <w:rPr>
          <w:rFonts w:ascii="Times New Roman" w:cs="Times New Roman" w:eastAsia="Times New Roman" w:hAnsi="Times New Roman"/>
          <w:sz w:val="18"/>
          <w:szCs w:val="18"/>
          <w:b w:val="1"/>
          <w:bCs w:val="1"/>
          <w:u w:val="single" w:color="auto"/>
          <w:color w:val="0000FF"/>
        </w:rPr>
        <w:t>Risk Factors</w:t>
      </w:r>
      <w:r>
        <w:rPr>
          <w:rFonts w:ascii="Times New Roman" w:cs="Times New Roman" w:eastAsia="Times New Roman" w:hAnsi="Times New Roman"/>
          <w:sz w:val="18"/>
          <w:szCs w:val="18"/>
          <w:b w:val="1"/>
          <w:bCs w:val="1"/>
          <w:color w:val="auto"/>
        </w:rPr>
        <w:t xml:space="preserve">” beginning on page </w:t>
      </w:r>
      <w:r>
        <w:rPr>
          <w:rFonts w:ascii="Times New Roman" w:cs="Times New Roman" w:eastAsia="Times New Roman" w:hAnsi="Times New Roman"/>
          <w:sz w:val="18"/>
          <w:szCs w:val="18"/>
          <w:b w:val="1"/>
          <w:bCs w:val="1"/>
          <w:u w:val="single" w:color="auto"/>
          <w:color w:val="0000FF"/>
        </w:rPr>
        <w:t>20</w:t>
      </w:r>
      <w:r>
        <w:rPr>
          <w:rFonts w:ascii="Times New Roman" w:cs="Times New Roman" w:eastAsia="Times New Roman" w:hAnsi="Times New Roman"/>
          <w:sz w:val="18"/>
          <w:szCs w:val="18"/>
          <w:b w:val="1"/>
          <w:bCs w:val="1"/>
          <w:color w:val="auto"/>
        </w:rPr>
        <w:t xml:space="preserve"> to read about factors you should consider before buying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139700</wp:posOffset>
            </wp:positionV>
            <wp:extent cx="13112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95250</wp:posOffset>
            </wp:positionV>
            <wp:extent cx="13112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3"/>
                <w:szCs w:val="13"/>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w:t>
            </w:r>
          </w:p>
        </w:tc>
        <w:tc>
          <w:tcPr>
            <w:tcW w:w="1360" w:type="dxa"/>
            <w:vAlign w:val="bottom"/>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8440" w:type="dxa"/>
            <w:vAlign w:val="bottom"/>
          </w:tcPr>
          <w:p>
            <w:pPr>
              <w:spacing w:after="0"/>
              <w:rPr>
                <w:sz w:val="17"/>
                <w:szCs w:val="17"/>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Initial public offering price</w:t>
            </w:r>
          </w:p>
        </w:tc>
        <w:tc>
          <w:tcPr>
            <w:tcW w:w="1360" w:type="dxa"/>
            <w:vAlign w:val="bottom"/>
            <w:tcBorders>
              <w:top w:val="single" w:sz="8" w:color="auto"/>
            </w:tcBorders>
          </w:tcPr>
          <w:p>
            <w:pPr>
              <w:jc w:val="right"/>
              <w:ind w:right="1208"/>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6"/>
                <w:szCs w:val="16"/>
                <w:color w:val="auto"/>
              </w:rPr>
            </w:pPr>
          </w:p>
        </w:tc>
        <w:tc>
          <w:tcPr>
            <w:tcW w:w="1360" w:type="dxa"/>
            <w:vAlign w:val="bottom"/>
            <w:tcBorders>
              <w:top w:val="single" w:sz="8" w:color="auto"/>
            </w:tcBorders>
          </w:tcPr>
          <w:p>
            <w:pPr>
              <w:jc w:val="right"/>
              <w:ind w:right="1208"/>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08"/>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Underwriting discount</w:t>
            </w:r>
            <w:r>
              <w:rPr>
                <w:rFonts w:ascii="Times New Roman" w:cs="Times New Roman" w:eastAsia="Times New Roman" w:hAnsi="Times New Roman"/>
                <w:sz w:val="18"/>
                <w:szCs w:val="18"/>
                <w:color w:val="auto"/>
                <w:vertAlign w:val="superscript"/>
              </w:rPr>
              <w:t>(1)</w:t>
            </w:r>
          </w:p>
        </w:tc>
        <w:tc>
          <w:tcPr>
            <w:tcW w:w="1360" w:type="dxa"/>
            <w:vAlign w:val="bottom"/>
          </w:tcPr>
          <w:p>
            <w:pPr>
              <w:jc w:val="right"/>
              <w:ind w:right="1208"/>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8"/>
                <w:szCs w:val="18"/>
                <w:color w:val="auto"/>
              </w:rPr>
            </w:pPr>
          </w:p>
        </w:tc>
        <w:tc>
          <w:tcPr>
            <w:tcW w:w="1360" w:type="dxa"/>
            <w:vAlign w:val="bottom"/>
          </w:tcPr>
          <w:p>
            <w:pPr>
              <w:jc w:val="right"/>
              <w:ind w:right="1208"/>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88"/>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before expenses, to Chime Financial, Inc.</w:t>
            </w:r>
          </w:p>
        </w:tc>
        <w:tc>
          <w:tcPr>
            <w:tcW w:w="1360" w:type="dxa"/>
            <w:vAlign w:val="bottom"/>
          </w:tcPr>
          <w:p>
            <w:pPr>
              <w:jc w:val="right"/>
              <w:ind w:right="1208"/>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6"/>
                <w:szCs w:val="16"/>
                <w:color w:val="auto"/>
              </w:rPr>
            </w:pPr>
          </w:p>
        </w:tc>
        <w:tc>
          <w:tcPr>
            <w:tcW w:w="1360" w:type="dxa"/>
            <w:vAlign w:val="bottom"/>
          </w:tcPr>
          <w:p>
            <w:pPr>
              <w:jc w:val="right"/>
              <w:ind w:right="1208"/>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70"/>
        </w:trPr>
        <w:tc>
          <w:tcPr>
            <w:tcW w:w="8440" w:type="dxa"/>
            <w:vAlign w:val="bottom"/>
          </w:tcPr>
          <w:p>
            <w:pPr>
              <w:jc w:val="right"/>
              <w:ind w:right="7068"/>
              <w:spacing w:after="0"/>
              <w:rPr>
                <w:sz w:val="20"/>
                <w:szCs w:val="20"/>
                <w:color w:val="auto"/>
              </w:rPr>
            </w:pPr>
            <w:r>
              <w:rPr>
                <w:rFonts w:ascii="Times New Roman" w:cs="Times New Roman" w:eastAsia="Times New Roman" w:hAnsi="Times New Roman"/>
                <w:sz w:val="14"/>
                <w:szCs w:val="14"/>
                <w:color w:val="auto"/>
              </w:rPr>
              <w:t>__________________</w:t>
            </w:r>
          </w:p>
        </w:tc>
        <w:tc>
          <w:tcPr>
            <w:tcW w:w="1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the section titled “Underwriters” for a description of the compensation payable to the underwriters.</w:t>
      </w:r>
    </w:p>
    <w:p>
      <w:pPr>
        <w:sectPr>
          <w:pgSz w:w="11900" w:h="16838" w:orient="portrait"/>
          <w:cols w:equalWidth="0" w:num="1">
            <w:col w:w="11240"/>
          </w:cols>
          <w:pgMar w:left="320" w:top="124" w:right="339" w:bottom="1440" w:gutter="0" w:footer="0" w:header="0"/>
        </w:sectPr>
      </w:pPr>
    </w:p>
    <w:p>
      <w:pPr>
        <w:spacing w:after="0" w:line="1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 the extent that the underwriters sell more than shares of common stock, the underwriters have the option to purchase up to an additional from Chime Financial, Inc. at the initial public offering price less the underwriting discount.</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w:t>
      </w:r>
    </w:p>
    <w:p>
      <w:pPr>
        <w:spacing w:after="0" w:line="398" w:lineRule="exact"/>
        <w:rPr>
          <w:sz w:val="20"/>
          <w:szCs w:val="20"/>
          <w:color w:val="auto"/>
        </w:rPr>
      </w:pPr>
    </w:p>
    <w:p>
      <w:pPr>
        <w:sectPr>
          <w:pgSz w:w="11900" w:h="16838" w:orient="portrait"/>
          <w:cols w:equalWidth="0" w:num="2">
            <w:col w:w="10280" w:space="320"/>
            <w:col w:w="640"/>
          </w:cols>
          <w:pgMar w:left="320" w:top="12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The underwriters expect to deliver the shares against payment in New York, New York, on or about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2025.</w:t>
      </w:r>
    </w:p>
    <w:p>
      <w:pPr>
        <w:spacing w:after="0" w:line="200" w:lineRule="exact"/>
        <w:rPr>
          <w:sz w:val="20"/>
          <w:szCs w:val="20"/>
          <w:color w:val="auto"/>
        </w:rPr>
      </w:pPr>
    </w:p>
    <w:p>
      <w:pPr>
        <w:sectPr>
          <w:pgSz w:w="11900" w:h="16838" w:orient="portrait"/>
          <w:cols w:equalWidth="0" w:num="2">
            <w:col w:w="7160" w:space="280"/>
            <w:col w:w="3800"/>
          </w:cols>
          <w:pgMar w:left="320" w:top="124" w:right="339" w:bottom="1440" w:gutter="0" w:footer="0" w:header="0"/>
          <w:type w:val="continuous"/>
        </w:sectPr>
      </w:pPr>
    </w:p>
    <w:p>
      <w:pPr>
        <w:spacing w:after="0" w:line="1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b w:val="1"/>
          <w:bCs w:val="1"/>
          <w:color w:val="auto"/>
        </w:rPr>
        <w:t>Morgan Stanley</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Goldman Sachs &amp; Co. LLC</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J.P. Morgan</w:t>
      </w:r>
    </w:p>
    <w:p>
      <w:pPr>
        <w:spacing w:after="0" w:line="211" w:lineRule="exact"/>
        <w:rPr>
          <w:sz w:val="20"/>
          <w:szCs w:val="20"/>
          <w:color w:val="auto"/>
        </w:rPr>
      </w:pPr>
    </w:p>
    <w:p>
      <w:pPr>
        <w:sectPr>
          <w:pgSz w:w="11900" w:h="16838" w:orient="portrait"/>
          <w:cols w:equalWidth="0" w:num="3">
            <w:col w:w="3420" w:space="720"/>
            <w:col w:w="5040" w:space="720"/>
            <w:col w:w="1340"/>
          </w:cols>
          <w:pgMar w:left="320" w:top="124" w:right="339" w:bottom="1440" w:gutter="0" w:footer="0" w:header="0"/>
          <w:type w:val="continuous"/>
        </w:sectPr>
      </w:pP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Barclays</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Evercore ISI</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Deutsche Bank Securities</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Piper Sandler</w:t>
      </w:r>
    </w:p>
    <w:p>
      <w:pPr>
        <w:spacing w:after="0" w:line="200" w:lineRule="exact"/>
        <w:rPr>
          <w:sz w:val="20"/>
          <w:szCs w:val="20"/>
          <w:color w:val="auto"/>
        </w:rPr>
      </w:pPr>
    </w:p>
    <w:p>
      <w:pPr>
        <w:sectPr>
          <w:pgSz w:w="11900" w:h="16838" w:orient="portrait"/>
          <w:cols w:equalWidth="0" w:num="4">
            <w:col w:w="2720" w:space="720"/>
            <w:col w:w="1860" w:space="720"/>
            <w:col w:w="3200" w:space="720"/>
            <w:col w:w="1300"/>
          </w:cols>
          <w:pgMar w:left="320" w:top="124" w:right="339" w:bottom="1440" w:gutter="0" w:footer="0" w:header="0"/>
          <w:type w:val="continuous"/>
        </w:sectPr>
      </w:pP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William Blair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Canaccord Genuity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Keefe, Bruyette &amp; Woods</w:t>
      </w:r>
    </w:p>
    <w:p>
      <w:pPr>
        <w:spacing w:after="0" w:line="42" w:lineRule="exact"/>
        <w:rPr>
          <w:sz w:val="20"/>
          <w:szCs w:val="20"/>
          <w:color w:val="auto"/>
        </w:rPr>
      </w:pPr>
    </w:p>
    <w:p>
      <w:pPr>
        <w:sectPr>
          <w:pgSz w:w="11900" w:h="16838" w:orient="portrait"/>
          <w:cols w:equalWidth="0" w:num="3">
            <w:col w:w="4140" w:space="720"/>
            <w:col w:w="3680" w:space="720"/>
            <w:col w:w="1980"/>
          </w:cols>
          <w:pgMar w:left="320" w:top="124" w:right="339" w:bottom="1440" w:gutter="0" w:footer="0" w:header="0"/>
          <w:type w:val="continuous"/>
        </w:sectPr>
      </w:pPr>
    </w:p>
    <w:p>
      <w:pPr>
        <w:ind w:left="10220"/>
        <w:spacing w:after="0"/>
        <w:rPr>
          <w:sz w:val="20"/>
          <w:szCs w:val="20"/>
          <w:color w:val="auto"/>
        </w:rPr>
      </w:pPr>
      <w:r>
        <w:rPr>
          <w:rFonts w:ascii="Times New Roman" w:cs="Times New Roman" w:eastAsia="Times New Roman" w:hAnsi="Times New Roman"/>
          <w:sz w:val="14"/>
          <w:szCs w:val="14"/>
          <w:i w:val="1"/>
          <w:iCs w:val="1"/>
          <w:color w:val="auto"/>
        </w:rPr>
        <w:t>A Stifel Company</w:t>
      </w:r>
    </w:p>
    <w:p>
      <w:pPr>
        <w:spacing w:after="0" w:line="276" w:lineRule="exact"/>
        <w:rPr>
          <w:sz w:val="20"/>
          <w:szCs w:val="20"/>
          <w:color w:val="auto"/>
        </w:rPr>
      </w:pPr>
    </w:p>
    <w:p>
      <w:pPr>
        <w:jc w:val="center"/>
        <w:spacing w:after="0"/>
        <w:tabs>
          <w:tab w:leader="none" w:pos="240" w:val="left"/>
        </w:tabs>
        <w:rPr>
          <w:sz w:val="20"/>
          <w:szCs w:val="20"/>
          <w:color w:val="auto"/>
        </w:rPr>
      </w:pPr>
      <w:r>
        <w:rPr>
          <w:rFonts w:ascii="Times New Roman" w:cs="Times New Roman" w:eastAsia="Times New Roman" w:hAnsi="Times New Roman"/>
          <w:sz w:val="18"/>
          <w:szCs w:val="18"/>
          <w:b w:val="1"/>
          <w:bCs w:val="1"/>
          <w:color w:val="auto"/>
        </w:rPr>
        <w:t>Prospectus dated</w:t>
        <w:tab/>
        <w:t>, 2025</w:t>
      </w:r>
    </w:p>
    <w:p>
      <w:pPr>
        <w:sectPr>
          <w:pgSz w:w="11900" w:h="16838" w:orient="portrait"/>
          <w:cols w:equalWidth="0" w:num="1">
            <w:col w:w="11240"/>
          </w:cols>
          <w:pgMar w:left="320" w:top="124" w:right="339" w:bottom="1440" w:gutter="0" w:footer="0" w:header="0"/>
          <w:type w:val="continuous"/>
        </w:sectPr>
      </w:pPr>
    </w:p>
    <w:bookmarkStart w:id="2" w:name="page3"/>
    <w:bookmarkEnd w:id="2"/>
    <w:p>
      <w:pPr>
        <w:jc w:val="center"/>
        <w:spacing w:after="0"/>
        <w:tabs>
          <w:tab w:leader="none" w:pos="2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379730</wp:posOffset>
            </wp:positionH>
            <wp:positionV relativeFrom="page">
              <wp:posOffset>346075</wp:posOffset>
            </wp:positionV>
            <wp:extent cx="6789420" cy="9052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678942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jc w:val="center"/>
        <w:spacing w:after="0"/>
        <w:tabs>
          <w:tab w:leader="none" w:pos="2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387985</wp:posOffset>
            </wp:positionH>
            <wp:positionV relativeFrom="page">
              <wp:posOffset>346075</wp:posOffset>
            </wp:positionV>
            <wp:extent cx="6780530" cy="9052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678053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jc w:val="center"/>
        <w:spacing w:after="0"/>
        <w:tabs>
          <w:tab w:leader="none" w:pos="2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379730</wp:posOffset>
            </wp:positionH>
            <wp:positionV relativeFrom="page">
              <wp:posOffset>346075</wp:posOffset>
            </wp:positionV>
            <wp:extent cx="6789420" cy="90436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6789420" cy="9043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jc w:val="center"/>
        <w:spacing w:after="0"/>
        <w:tabs>
          <w:tab w:leader="none" w:pos="2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379730</wp:posOffset>
            </wp:positionH>
            <wp:positionV relativeFrom="page">
              <wp:posOffset>346075</wp:posOffset>
            </wp:positionV>
            <wp:extent cx="6789420" cy="9052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78942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jc w:val="center"/>
        <w:spacing w:after="0"/>
        <w:tabs>
          <w:tab w:leader="none" w:pos="2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379730</wp:posOffset>
            </wp:positionH>
            <wp:positionV relativeFrom="page">
              <wp:posOffset>346075</wp:posOffset>
            </wp:positionV>
            <wp:extent cx="6789420" cy="90436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789420" cy="9043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jc w:val="center"/>
        <w:spacing w:after="0"/>
        <w:tabs>
          <w:tab w:leader="none" w:pos="2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379730</wp:posOffset>
            </wp:positionH>
            <wp:positionV relativeFrom="page">
              <wp:posOffset>346075</wp:posOffset>
            </wp:positionV>
            <wp:extent cx="6789420" cy="905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678942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8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78"/>
        </w:trPr>
        <w:tc>
          <w:tcPr>
            <w:tcW w:w="99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GLOSSARY OF TERMS</w:t>
            </w:r>
          </w:p>
        </w:tc>
        <w:tc>
          <w:tcPr>
            <w:tcW w:w="112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79"/>
              </w:rPr>
              <w:t>iii</w:t>
            </w: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21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PROSPECTUS SUMMARY</w:t>
            </w:r>
          </w:p>
        </w:tc>
        <w:tc>
          <w:tcPr>
            <w:tcW w:w="7840" w:type="dxa"/>
            <w:vAlign w:val="bottom"/>
            <w:gridSpan w:val="11"/>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2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840" w:type="dxa"/>
            <w:vAlign w:val="bottom"/>
            <w:gridSpan w:val="8"/>
          </w:tcPr>
          <w:p>
            <w:pPr>
              <w:spacing w:after="0"/>
              <w:rPr>
                <w:sz w:val="18"/>
                <w:szCs w:val="18"/>
                <w:color w:val="auto"/>
              </w:rPr>
            </w:pPr>
          </w:p>
        </w:tc>
        <w:tc>
          <w:tcPr>
            <w:tcW w:w="7840" w:type="dxa"/>
            <w:vAlign w:val="bottom"/>
            <w:gridSpan w:val="11"/>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70"/>
              </w:rPr>
              <w:t>20</w:t>
            </w:r>
          </w:p>
        </w:tc>
      </w:tr>
      <w:tr>
        <w:trPr>
          <w:trHeight w:val="209"/>
        </w:trPr>
        <w:tc>
          <w:tcPr>
            <w:tcW w:w="534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8"/>
              </w:rPr>
              <w:t>SPECIAL NOTE REGARDING FORWARD-LOOKING STATEMENTS</w:t>
            </w:r>
          </w:p>
        </w:tc>
        <w:tc>
          <w:tcPr>
            <w:tcW w:w="4600" w:type="dxa"/>
            <w:vAlign w:val="bottom"/>
            <w:gridSpan w:val="3"/>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70"/>
              </w:rPr>
              <w:t>63</w:t>
            </w:r>
          </w:p>
        </w:tc>
      </w:tr>
      <w:tr>
        <w:trPr>
          <w:trHeight w:val="209"/>
        </w:trPr>
        <w:tc>
          <w:tcPr>
            <w:tcW w:w="99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INDUSTRY, MARKET, AND OTHER DATA</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65</w:t>
            </w:r>
          </w:p>
        </w:tc>
      </w:tr>
      <w:tr>
        <w:trPr>
          <w:trHeight w:val="210"/>
        </w:trPr>
        <w:tc>
          <w:tcPr>
            <w:tcW w:w="160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USE OF PROCEEDS</w:t>
            </w:r>
          </w:p>
        </w:tc>
        <w:tc>
          <w:tcPr>
            <w:tcW w:w="1760" w:type="dxa"/>
            <w:vAlign w:val="bottom"/>
            <w:tcBorders>
              <w:top w:val="single" w:sz="8" w:color="0000FF"/>
            </w:tcBorders>
            <w:gridSpan w:val="7"/>
          </w:tcPr>
          <w:p>
            <w:pPr>
              <w:spacing w:after="0"/>
              <w:rPr>
                <w:sz w:val="18"/>
                <w:szCs w:val="18"/>
                <w:color w:val="auto"/>
              </w:rPr>
            </w:pPr>
          </w:p>
        </w:tc>
        <w:tc>
          <w:tcPr>
            <w:tcW w:w="6580" w:type="dxa"/>
            <w:vAlign w:val="bottom"/>
            <w:gridSpan w:val="6"/>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70"/>
              </w:rPr>
              <w:t>67</w:t>
            </w:r>
          </w:p>
        </w:tc>
      </w:tr>
      <w:tr>
        <w:trPr>
          <w:trHeight w:val="209"/>
        </w:trPr>
        <w:tc>
          <w:tcPr>
            <w:tcW w:w="99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DIVIDEND POLICY</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68</w:t>
            </w:r>
          </w:p>
        </w:tc>
      </w:tr>
      <w:tr>
        <w:trPr>
          <w:trHeight w:val="209"/>
        </w:trPr>
        <w:tc>
          <w:tcPr>
            <w:tcW w:w="148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7"/>
              </w:rPr>
              <w:t>CAPITALIZATION</w:t>
            </w:r>
          </w:p>
        </w:tc>
        <w:tc>
          <w:tcPr>
            <w:tcW w:w="100" w:type="dxa"/>
            <w:vAlign w:val="bottom"/>
            <w:tcBorders>
              <w:top w:val="single" w:sz="8" w:color="0000FF"/>
            </w:tcBorders>
          </w:tcPr>
          <w:p>
            <w:pPr>
              <w:spacing w:after="0"/>
              <w:rPr>
                <w:sz w:val="18"/>
                <w:szCs w:val="18"/>
                <w:color w:val="auto"/>
              </w:rPr>
            </w:pPr>
          </w:p>
        </w:tc>
        <w:tc>
          <w:tcPr>
            <w:tcW w:w="8360" w:type="dxa"/>
            <w:vAlign w:val="bottom"/>
            <w:gridSpan w:val="14"/>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70"/>
              </w:rPr>
              <w:t>69</w:t>
            </w:r>
          </w:p>
        </w:tc>
      </w:tr>
      <w:tr>
        <w:trPr>
          <w:trHeight w:val="210"/>
        </w:trPr>
        <w:tc>
          <w:tcPr>
            <w:tcW w:w="8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DILUTION</w:t>
            </w:r>
          </w:p>
        </w:tc>
        <w:tc>
          <w:tcPr>
            <w:tcW w:w="9060" w:type="dxa"/>
            <w:vAlign w:val="bottom"/>
            <w:gridSpan w:val="20"/>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70"/>
              </w:rPr>
              <w:t>71</w:t>
            </w:r>
          </w:p>
        </w:tc>
      </w:tr>
      <w:tr>
        <w:trPr>
          <w:trHeight w:val="209"/>
        </w:trPr>
        <w:tc>
          <w:tcPr>
            <w:tcW w:w="894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1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70"/>
              </w:rPr>
              <w:t>74</w:t>
            </w:r>
          </w:p>
        </w:tc>
      </w:tr>
      <w:tr>
        <w:trPr>
          <w:trHeight w:val="210"/>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8"/>
              </w:rPr>
              <w:t>BUSINESS</w:t>
            </w:r>
          </w:p>
        </w:tc>
        <w:tc>
          <w:tcPr>
            <w:tcW w:w="9080" w:type="dxa"/>
            <w:vAlign w:val="bottom"/>
            <w:gridSpan w:val="21"/>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115</w:t>
            </w: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09"/>
        </w:trPr>
        <w:tc>
          <w:tcPr>
            <w:tcW w:w="99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MANAGEMENT</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181</w:t>
            </w:r>
          </w:p>
        </w:tc>
      </w:tr>
      <w:tr>
        <w:trPr>
          <w:trHeight w:val="20"/>
        </w:trPr>
        <w:tc>
          <w:tcPr>
            <w:tcW w:w="780" w:type="dxa"/>
            <w:vAlign w:val="bottom"/>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09"/>
        </w:trPr>
        <w:tc>
          <w:tcPr>
            <w:tcW w:w="24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7480" w:type="dxa"/>
            <w:vAlign w:val="bottom"/>
            <w:gridSpan w:val="9"/>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190</w:t>
            </w:r>
          </w:p>
        </w:tc>
      </w:tr>
      <w:tr>
        <w:trPr>
          <w:trHeight w:val="20"/>
        </w:trPr>
        <w:tc>
          <w:tcPr>
            <w:tcW w:w="780" w:type="dxa"/>
            <w:vAlign w:val="bottom"/>
            <w:shd w:val="clear" w:color="auto" w:fill="0000FF"/>
          </w:tcPr>
          <w:p>
            <w:pPr>
              <w:spacing w:after="0" w:line="20" w:lineRule="exact"/>
              <w:rPr>
                <w:sz w:val="1"/>
                <w:szCs w:val="1"/>
                <w:color w:val="auto"/>
              </w:rPr>
            </w:pPr>
          </w:p>
        </w:tc>
        <w:tc>
          <w:tcPr>
            <w:tcW w:w="620" w:type="dxa"/>
            <w:vAlign w:val="bottom"/>
            <w:gridSpan w:val="5"/>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20" w:type="dxa"/>
            <w:vAlign w:val="bottom"/>
            <w:gridSpan w:val="6"/>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10"/>
        </w:trPr>
        <w:tc>
          <w:tcPr>
            <w:tcW w:w="54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w w:val="98"/>
              </w:rPr>
              <w:t>CERTAIN RELATIONSHIPS AND RELATED PARTY TRANSACTIONS</w:t>
            </w:r>
          </w:p>
        </w:tc>
        <w:tc>
          <w:tcPr>
            <w:tcW w:w="4460" w:type="dxa"/>
            <w:vAlign w:val="bottom"/>
            <w:gridSpan w:val="2"/>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212</w:t>
            </w:r>
          </w:p>
        </w:tc>
      </w:tr>
      <w:tr>
        <w:trPr>
          <w:trHeight w:val="20"/>
        </w:trPr>
        <w:tc>
          <w:tcPr>
            <w:tcW w:w="780" w:type="dxa"/>
            <w:vAlign w:val="bottom"/>
            <w:shd w:val="clear" w:color="auto" w:fill="0000FF"/>
          </w:tcPr>
          <w:p>
            <w:pPr>
              <w:spacing w:after="0" w:line="20" w:lineRule="exact"/>
              <w:rPr>
                <w:sz w:val="1"/>
                <w:szCs w:val="1"/>
                <w:color w:val="auto"/>
              </w:rPr>
            </w:pPr>
          </w:p>
        </w:tc>
        <w:tc>
          <w:tcPr>
            <w:tcW w:w="620" w:type="dxa"/>
            <w:vAlign w:val="bottom"/>
            <w:gridSpan w:val="5"/>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20" w:type="dxa"/>
            <w:vAlign w:val="bottom"/>
            <w:gridSpan w:val="6"/>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09"/>
        </w:trPr>
        <w:tc>
          <w:tcPr>
            <w:tcW w:w="54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PRINCIPAL STOCKHOLDERS</w:t>
            </w:r>
          </w:p>
        </w:tc>
        <w:tc>
          <w:tcPr>
            <w:tcW w:w="4460" w:type="dxa"/>
            <w:vAlign w:val="bottom"/>
            <w:gridSpan w:val="2"/>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215</w:t>
            </w:r>
          </w:p>
        </w:tc>
      </w:tr>
      <w:tr>
        <w:trPr>
          <w:trHeight w:val="20"/>
        </w:trPr>
        <w:tc>
          <w:tcPr>
            <w:tcW w:w="780" w:type="dxa"/>
            <w:vAlign w:val="bottom"/>
            <w:shd w:val="clear" w:color="auto" w:fill="0000FF"/>
          </w:tcPr>
          <w:p>
            <w:pPr>
              <w:spacing w:after="0" w:line="20" w:lineRule="exact"/>
              <w:rPr>
                <w:sz w:val="1"/>
                <w:szCs w:val="1"/>
                <w:color w:val="auto"/>
              </w:rPr>
            </w:pPr>
          </w:p>
        </w:tc>
        <w:tc>
          <w:tcPr>
            <w:tcW w:w="620" w:type="dxa"/>
            <w:vAlign w:val="bottom"/>
            <w:gridSpan w:val="5"/>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20" w:type="dxa"/>
            <w:vAlign w:val="bottom"/>
            <w:gridSpan w:val="6"/>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8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09"/>
        </w:trPr>
        <w:tc>
          <w:tcPr>
            <w:tcW w:w="28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DESCRIPTION OF CAPITAL STOCK</w:t>
            </w:r>
          </w:p>
        </w:tc>
        <w:tc>
          <w:tcPr>
            <w:tcW w:w="7060" w:type="dxa"/>
            <w:vAlign w:val="bottom"/>
            <w:gridSpan w:val="8"/>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217</w:t>
            </w:r>
          </w:p>
        </w:tc>
      </w:tr>
      <w:tr>
        <w:trPr>
          <w:trHeight w:val="20"/>
        </w:trPr>
        <w:tc>
          <w:tcPr>
            <w:tcW w:w="780" w:type="dxa"/>
            <w:vAlign w:val="bottom"/>
            <w:shd w:val="clear" w:color="auto" w:fill="0000FF"/>
          </w:tcPr>
          <w:p>
            <w:pPr>
              <w:spacing w:after="0" w:line="20" w:lineRule="exact"/>
              <w:rPr>
                <w:sz w:val="1"/>
                <w:szCs w:val="1"/>
                <w:color w:val="auto"/>
              </w:rPr>
            </w:pPr>
          </w:p>
        </w:tc>
        <w:tc>
          <w:tcPr>
            <w:tcW w:w="620" w:type="dxa"/>
            <w:vAlign w:val="bottom"/>
            <w:gridSpan w:val="5"/>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20" w:type="dxa"/>
            <w:vAlign w:val="bottom"/>
            <w:gridSpan w:val="8"/>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8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10"/>
        </w:trPr>
        <w:tc>
          <w:tcPr>
            <w:tcW w:w="99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SHARES ELIGIBLE FOR FUTURE SALE</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222</w:t>
            </w:r>
          </w:p>
        </w:tc>
      </w:tr>
      <w:tr>
        <w:trPr>
          <w:trHeight w:val="20"/>
        </w:trPr>
        <w:tc>
          <w:tcPr>
            <w:tcW w:w="780" w:type="dxa"/>
            <w:vAlign w:val="bottom"/>
            <w:shd w:val="clear" w:color="auto" w:fill="0000FF"/>
          </w:tcPr>
          <w:p>
            <w:pPr>
              <w:spacing w:after="0" w:line="20" w:lineRule="exact"/>
              <w:rPr>
                <w:sz w:val="1"/>
                <w:szCs w:val="1"/>
                <w:color w:val="auto"/>
              </w:rPr>
            </w:pPr>
          </w:p>
        </w:tc>
        <w:tc>
          <w:tcPr>
            <w:tcW w:w="620" w:type="dxa"/>
            <w:vAlign w:val="bottom"/>
            <w:gridSpan w:val="5"/>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720" w:type="dxa"/>
            <w:vAlign w:val="bottom"/>
            <w:gridSpan w:val="9"/>
            <w:shd w:val="clear" w:color="auto" w:fill="0000FF"/>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8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09"/>
        </w:trPr>
        <w:tc>
          <w:tcPr>
            <w:tcW w:w="89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w w:val="99"/>
              </w:rPr>
              <w:t>MATERIAL U.S. FEDERAL INCOME TAX CONSEQUENCES TO NON-U.S. HOLDERS OF OUR COMMON STOCK</w:t>
            </w:r>
          </w:p>
        </w:tc>
        <w:tc>
          <w:tcPr>
            <w:tcW w:w="100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225</w:t>
            </w: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6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89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UNDERWRITERS</w:t>
            </w:r>
          </w:p>
        </w:tc>
        <w:tc>
          <w:tcPr>
            <w:tcW w:w="100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230</w:t>
            </w:r>
          </w:p>
        </w:tc>
      </w:tr>
      <w:tr>
        <w:trPr>
          <w:trHeight w:val="20"/>
        </w:trPr>
        <w:tc>
          <w:tcPr>
            <w:tcW w:w="780" w:type="dxa"/>
            <w:vAlign w:val="bottom"/>
            <w:shd w:val="clear" w:color="auto" w:fill="0000FF"/>
          </w:tcPr>
          <w:p>
            <w:pPr>
              <w:spacing w:after="0" w:line="20" w:lineRule="exact"/>
              <w:rPr>
                <w:sz w:val="1"/>
                <w:szCs w:val="1"/>
                <w:color w:val="auto"/>
              </w:rPr>
            </w:pPr>
          </w:p>
        </w:tc>
        <w:tc>
          <w:tcPr>
            <w:tcW w:w="62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60" w:type="dxa"/>
            <w:vAlign w:val="bottom"/>
            <w:gridSpan w:val="1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80" w:type="dxa"/>
            <w:vAlign w:val="bottom"/>
            <w:gridSpan w:val="4"/>
          </w:tcPr>
          <w:p>
            <w:pPr>
              <w:spacing w:after="0" w:line="20" w:lineRule="exact"/>
              <w:rPr>
                <w:sz w:val="1"/>
                <w:szCs w:val="1"/>
                <w:color w:val="auto"/>
              </w:rPr>
            </w:pPr>
          </w:p>
        </w:tc>
        <w:tc>
          <w:tcPr>
            <w:tcW w:w="11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09"/>
        </w:trPr>
        <w:tc>
          <w:tcPr>
            <w:tcW w:w="99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LEGAL MATTERS</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239</w:t>
            </w: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6"/>
            <w:shd w:val="clear" w:color="auto" w:fill="0000FF"/>
          </w:tcPr>
          <w:p>
            <w:pPr>
              <w:spacing w:after="0" w:line="20" w:lineRule="exact"/>
              <w:rPr>
                <w:sz w:val="1"/>
                <w:szCs w:val="1"/>
                <w:color w:val="auto"/>
              </w:rPr>
            </w:pPr>
          </w:p>
        </w:tc>
        <w:tc>
          <w:tcPr>
            <w:tcW w:w="2960" w:type="dxa"/>
            <w:vAlign w:val="bottom"/>
            <w:gridSpan w:val="1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80" w:type="dxa"/>
            <w:vAlign w:val="bottom"/>
            <w:gridSpan w:val="4"/>
          </w:tcPr>
          <w:p>
            <w:pPr>
              <w:spacing w:after="0" w:line="20" w:lineRule="exact"/>
              <w:rPr>
                <w:sz w:val="1"/>
                <w:szCs w:val="1"/>
                <w:color w:val="auto"/>
              </w:rPr>
            </w:pPr>
          </w:p>
        </w:tc>
        <w:tc>
          <w:tcPr>
            <w:tcW w:w="11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1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0000FF"/>
                <w:w w:val="97"/>
              </w:rPr>
              <w:t>EXPERTS</w:t>
            </w:r>
          </w:p>
        </w:tc>
        <w:tc>
          <w:tcPr>
            <w:tcW w:w="680" w:type="dxa"/>
            <w:vAlign w:val="bottom"/>
            <w:gridSpan w:val="6"/>
          </w:tcPr>
          <w:p>
            <w:pPr>
              <w:spacing w:after="0"/>
              <w:rPr>
                <w:sz w:val="18"/>
                <w:szCs w:val="18"/>
                <w:color w:val="auto"/>
              </w:rPr>
            </w:pPr>
          </w:p>
        </w:tc>
        <w:tc>
          <w:tcPr>
            <w:tcW w:w="8480" w:type="dxa"/>
            <w:vAlign w:val="bottom"/>
            <w:gridSpan w:val="16"/>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239</w:t>
            </w:r>
          </w:p>
        </w:tc>
      </w:tr>
      <w:tr>
        <w:trPr>
          <w:trHeight w:val="20"/>
        </w:trPr>
        <w:tc>
          <w:tcPr>
            <w:tcW w:w="780" w:type="dxa"/>
            <w:vAlign w:val="bottom"/>
            <w:shd w:val="clear" w:color="auto" w:fill="0000FF"/>
          </w:tcPr>
          <w:p>
            <w:pPr>
              <w:spacing w:after="0" w:line="20" w:lineRule="exact"/>
              <w:rPr>
                <w:sz w:val="1"/>
                <w:szCs w:val="1"/>
                <w:color w:val="auto"/>
              </w:rPr>
            </w:pPr>
          </w:p>
        </w:tc>
        <w:tc>
          <w:tcPr>
            <w:tcW w:w="3640" w:type="dxa"/>
            <w:vAlign w:val="bottom"/>
            <w:gridSpan w:val="1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80" w:type="dxa"/>
            <w:vAlign w:val="bottom"/>
            <w:gridSpan w:val="4"/>
          </w:tcPr>
          <w:p>
            <w:pPr>
              <w:spacing w:after="0" w:line="20" w:lineRule="exact"/>
              <w:rPr>
                <w:sz w:val="1"/>
                <w:szCs w:val="1"/>
                <w:color w:val="auto"/>
              </w:rPr>
            </w:pPr>
          </w:p>
        </w:tc>
        <w:tc>
          <w:tcPr>
            <w:tcW w:w="11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09"/>
        </w:trPr>
        <w:tc>
          <w:tcPr>
            <w:tcW w:w="44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WHERE YOU CAN FIND ADDITIONAL INFORMATION</w:t>
            </w:r>
          </w:p>
        </w:tc>
        <w:tc>
          <w:tcPr>
            <w:tcW w:w="5520" w:type="dxa"/>
            <w:vAlign w:val="bottom"/>
            <w:gridSpan w:val="5"/>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239</w:t>
            </w:r>
          </w:p>
        </w:tc>
      </w:tr>
      <w:tr>
        <w:trPr>
          <w:trHeight w:val="20"/>
        </w:trPr>
        <w:tc>
          <w:tcPr>
            <w:tcW w:w="4420" w:type="dxa"/>
            <w:vAlign w:val="bottom"/>
            <w:gridSpan w:val="18"/>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80" w:type="dxa"/>
            <w:vAlign w:val="bottom"/>
            <w:gridSpan w:val="4"/>
          </w:tcPr>
          <w:p>
            <w:pPr>
              <w:spacing w:after="0" w:line="20" w:lineRule="exact"/>
              <w:rPr>
                <w:sz w:val="1"/>
                <w:szCs w:val="1"/>
                <w:color w:val="auto"/>
              </w:rPr>
            </w:pPr>
          </w:p>
        </w:tc>
        <w:tc>
          <w:tcPr>
            <w:tcW w:w="11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10"/>
        </w:trPr>
        <w:tc>
          <w:tcPr>
            <w:tcW w:w="44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8"/>
              </w:rPr>
              <w:t>INDEX TO CONSOLIDATED FINANCIAL STATEMENTS</w:t>
            </w:r>
          </w:p>
        </w:tc>
        <w:tc>
          <w:tcPr>
            <w:tcW w:w="5480" w:type="dxa"/>
            <w:vAlign w:val="bottom"/>
            <w:gridSpan w:val="4"/>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2"/>
                <w:szCs w:val="12"/>
                <w:color w:val="0000FF"/>
                <w:w w:val="71"/>
              </w:rPr>
              <w:t>F-1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196850</wp:posOffset>
            </wp:positionV>
            <wp:extent cx="1517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right="16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Through and including , 2025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105410</wp:posOffset>
            </wp:positionV>
            <wp:extent cx="15170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17015" cy="8890"/>
                    </a:xfrm>
                    <a:prstGeom prst="rect">
                      <a:avLst/>
                    </a:prstGeom>
                    <a:noFill/>
                  </pic:spPr>
                </pic:pic>
              </a:graphicData>
            </a:graphic>
          </wp:anchor>
        </w:drawing>
      </w:r>
    </w:p>
    <w:p>
      <w:pPr>
        <w:spacing w:after="0" w:line="27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Neither we nor any of the underwriters have authorized anyone to provide any information or to make any representations other than those contained in this prospectus or in any free writing prospectuses we have prepared. Neither we nor any of the underwriters take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is current only as of its date, regardless of the time of delivery of this prospectus or of any sale of our common stock. Our business, financial condition, results of operations, and prospects may have changed since such date.</w:t>
      </w:r>
    </w:p>
    <w:p>
      <w:pPr>
        <w:spacing w:after="0" w:line="13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For investors outside the United States: Neither we nor any of the underwriters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our common stock and the distribution of this prospectus outside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40"/>
          </w:cols>
          <w:pgMar w:left="320" w:top="124" w:right="339" w:bottom="1440" w:gutter="0" w:footer="0" w:header="0"/>
        </w:sectPr>
      </w:pPr>
    </w:p>
    <w:bookmarkStart w:id="9" w:name="page10"/>
    <w:bookmarkEnd w:id="9"/>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Chime is a technology company, not a bank. Banking services are provided by The Bancorp Bank, N.A. or Stride Bank, N.A.; Members FDIC. We are not a Member of the Federal Deposit Insurance Corporation (“FDIC”), and FDIC-insured accounts are provided by our bank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80"/>
          </w:cols>
          <w:pgMar w:left="320" w:top="124" w:right="39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GLOSSARY OF TERMS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is a glossary of certain terms we use to discuss our business in this prospectus. Our definitions, including for our key metrics and non-GAAP financial measures, may differ from the definitions used by other companies and therefore comparability may be limited. In addition, other companies may not publish these or similar metrics or may use other financial measures to evaluate their performance, all of which could reduce the usefulness of our key metrics as comparative measures.</w:t>
      </w:r>
    </w:p>
    <w:p>
      <w:pPr>
        <w:spacing w:after="0" w:line="12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“acquisition cost” refers to the total amount of the following expenses: advertising, brand marketing, referral bonuses, and other marketing incentives, incurred in the acquisition of new Active Members.</w:t>
      </w:r>
    </w:p>
    <w:p>
      <w:pPr>
        <w:spacing w:after="0" w:line="10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“Active Member” refers to a member who has initiated a money movement transaction on our platform in the last calendar month of the applicable period. Member-initiated money movement transactions include, but are not limited to, purchases with Chime-branded debit or credit cards, funding a member account, withdrawing funds from an ATM, sending or receiving funds with Pay Anyone, or taking a MyPay advance.</w:t>
      </w:r>
    </w:p>
    <w:p>
      <w:pPr>
        <w:spacing w:after="0" w:line="12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“annual member retention” is calculated by comparing the number of members who first become Active Members in a month to the number of such members who remain active in the same month in the following year. For subsequent years, we compare the number of remaining members at the start of the measurement period with those who remain active in the same month in the following year.</w:t>
      </w:r>
    </w:p>
    <w:p>
      <w:pPr>
        <w:spacing w:after="0" w:line="122"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“attach rate” for a product refers to the percentage of Active Members who used that product in a certain period. We discuss our monthly attach rates, which refer to attach rates for a specific month, and we measure attach rates across the following products: Chime-branded debit cards (including purchases, ATM withdrawals with the debit card and cash deposits), Credit Builder (including purchases and ATM withdrawals with the Credit Builder secured credit card), Pay Anyone, high yield savings (with a balance), SpotMe, Tax Filing, MyPay, Credit Tracking, and Chime Deals &amp; Offers. For a description of the products offered through our platform, see the section titled “Business—Our Products.”</w:t>
      </w:r>
    </w:p>
    <w:p>
      <w:pPr>
        <w:spacing w:after="0" w:line="12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“Average Revenue per Active Member,” or “ARPAM” is defined as revenue generated in the calendar quarter multiplied by four and divided by the average of the number of Active Members at the end of the prior quarter and the end of the current quarter.</w:t>
      </w:r>
    </w:p>
    <w:p>
      <w:pPr>
        <w:spacing w:after="0" w:line="10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“bank partners” refer to the FDIC-insured bank partners we collaborate with to offer many of the products available on our platform. Our bank partners today are The Bancorp Bank, N.A. and Stride Bank, N.A.</w:t>
      </w:r>
    </w:p>
    <w:p>
      <w:pPr>
        <w:spacing w:after="0" w:line="108"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“card networks” mean entities, such as Visa and STAR Network, that provide the proprietary services, infrastructure, and software that route information and data to enable authorization, clearance, and settlement of debit card or credit card transactions, and that merchants use in order to accept as a form of payment a brand of debit card, credit card, or other device that may be used to carry out debit or credit card transactions.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“Chime-branded debit or credit cards” are payment cards issued by our bank partners and offered through our platform to our members.</w:t>
      </w:r>
    </w:p>
    <w:p>
      <w:pPr>
        <w:spacing w:after="0" w:line="17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“ChimeCore” refers to our proprietary payment processor and ledger, launched in 2024. ChimeCore processes a portion of the payments, transfers, deposits, withdrawals, and other financial transactions that are conducted through our platform. ChimeCore also serves as the system of record for a portion of member accounts, keeping track of transaction, balance, and other data.</w:t>
      </w:r>
    </w:p>
    <w:p>
      <w:pPr>
        <w:spacing w:after="0" w:line="122"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“cohorts” or “member cohorts” refer to groups of members who first became an Active Member in a given period. A “quarterly cohort” refers to all members who first became active in a fiscal quarter and an “annual cohort” refers to all members who first became active in a fiscal year.</w:t>
      </w:r>
    </w:p>
    <w:p>
      <w:pPr>
        <w:spacing w:after="0" w:line="108"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“community connection” is defined with regard to each member as another member to whom such member has sent a referral, SpotMe Boost, or Pay Anyone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220"/>
          </w:cols>
          <w:pgMar w:left="320" w:top="124" w:right="35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“community deposit sweep program” refers to the arrangement under which our bank partners sweep a portion of our members’ savings deposits to a diversified set of community and regional banks.</w:t>
      </w:r>
    </w:p>
    <w:p>
      <w:pPr>
        <w:spacing w:after="0" w:line="10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“Credit Builder” refers to the Credit Builder secured credit card and dedicated account provided by our bank partners which help our members build credit through their everyday spend without paying fees or interest. Eligible members can move funds into a dedicated account that secures a line of credit equal to that amount. This line of credit is accessed through the Credit Builder secured credit card wherever Visa is accepted. Following repayment in full from the dedicated account, we report our members’ balances to major credit bureaus at the end of each statement cycle, helping our members improve their credit scores without the risk of debt or missed payments.</w:t>
      </w:r>
    </w:p>
    <w:p>
      <w:pPr>
        <w:spacing w:after="0" w:line="1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“cumulative transaction profit” refers to the total transaction profit generated by a member, or a cohort of members, across the entirety of such member’s, or member cohort’s, relationship with us.</w:t>
      </w:r>
    </w:p>
    <w:p>
      <w:pPr>
        <w:spacing w:after="0" w:line="108"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“liquidity products” refers to the products offered through our platform and provided by our bank partners that are designed to provide our eligible members access to short-term liquidity. Liquidity products include MyPay and SpotMe.</w:t>
      </w:r>
    </w:p>
    <w:p>
      <w:pPr>
        <w:spacing w:after="0" w:line="10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“member” refers to any user who has completed Chime’s member onboarding and account verification process and has been approved for an account on the Chime platform.</w:t>
      </w:r>
    </w:p>
    <w:p>
      <w:pPr>
        <w:spacing w:after="0" w:line="10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“MyPay” is a liquidity product that allows eligible members receiving direct deposit to access up to $500 of their earned pay on demand before payday for free within 24 hours, or instantly for a low fee.</w:t>
      </w:r>
    </w:p>
    <w:p>
      <w:pPr>
        <w:spacing w:after="0" w:line="1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“net dollar Purchase Volume retention” is a measure of the total Purchase Volume retained by existing members across periods net of churn. We calculate net dollar Purchase Volume retention by dividing Purchase Volume in the current period from all members that first became active at least one year prior to such period, by Purchase Volume from those same members in the prior period, inclusive of any members that have churned. We only include members that first became active at least one year prior to avoid comparing a full period of Purchase Volume in the current period to a partial period of Purchase Volume in the prior period.</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“net dollar transaction profit retention” is a measure of the total transaction profit retained by existing members across periods net of churn. We calculate net dollar transaction profit retention by dividing transaction profit in the current period from all members that first became active at least one year prior to such period, by transaction profit from those same members in the prior period, inclusive of any members that have churned. We only include members that first became active at least one year prior to avoid comparing a full period of transaction profit in the current period to a partial period of transaction profit in the prior period.</w:t>
      </w:r>
    </w:p>
    <w:p>
      <w:pPr>
        <w:spacing w:after="0" w:line="1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“organic and member-driven channels” refers to member acquisition channels that are either organic or driven by our members, such as word-of-mouth, referrals, and receiving Pay Anyone payments.</w:t>
      </w:r>
    </w:p>
    <w:p>
      <w:pPr>
        <w:spacing w:after="0" w:line="10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“payback” refers to the point at which cumulative transaction profit for a member cohort has met the acquisition costs incurred during the period when the cohort first became active.</w:t>
      </w:r>
    </w:p>
    <w:p>
      <w:pPr>
        <w:spacing w:after="0" w:line="10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“Pay Anyone” is a peer-to-peer payments product that enables our members to make instant, secure payments directly from the Chime mobile application to anyone, regardless of whether the recipient uses Chime.</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“primary account relationship” or “primary financial relationship” refers to a member who made 15 or more purchases using their Chime-branded debit or credit cards in the past calendar month or who had at least one qualifying direct deposit of $200 or more through Chime in the past calendar month. We use $200 or more as the qualifying direct deposit threshold because that amount reflects the current eligibility criteria for several products offered through the Chime platform.</w:t>
      </w:r>
    </w:p>
    <w:p>
      <w:pPr>
        <w:spacing w:after="0" w:line="12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“Purchase Volume” is defined as the total dollar value of member purchase transactions using Chime-branded debit or credit cards during a given period, net of any adjustments or refunds. Purchase Volume drives payments revenue and is a key indicator of aggregate member engagement. Purchase Volume does not include other types of transaction volumes such as deposits, ATM withdrawals, SpotMe and MyPay advances, sending or receiving funds with Pay Anyone, and ACH or direct debit transfers.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240"/>
          </w:cols>
          <w:pgMar w:left="320" w:top="124" w:right="33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“SpotMe” is a liquidity product that allows eligible members to overdraft up to $200 fee-free. In certain instances, SpotMe limits may be temporarily increased above $200, such as through SpotMe Boosts. SpotMe can be used for debit card purchases, Credit Builder secured credit card purchases, cash-back transactions, and ATM withdrawals.</w:t>
      </w:r>
    </w:p>
    <w:p>
      <w:pPr>
        <w:spacing w:after="0" w:line="1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“SpotMe Boost” is a product that enables eligible Chime members to temporarily increase the overdraft limits of other members by up to $20 per month for free.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“SpotMe tips” refer to amounts that members voluntarily “tip” to Chime for the use of SpotMe once an overdraft is repaid.</w:t>
      </w:r>
    </w:p>
    <w:p>
      <w:pPr>
        <w:spacing w:after="0" w:line="17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“transactions” or “member transactions” or “money movement transactions” mean transactions that include, but are not limited to, purchases with Chime-branded debit or credit cards, funding a member account, withdrawing funds from an ATM, sending or receiving funds with Pay Anyone, or taking a MyPay advance.</w:t>
      </w:r>
    </w:p>
    <w:p>
      <w:pPr>
        <w:spacing w:after="0" w:line="12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“transaction profit” is defined as gross profit less transaction and risk losses. Transaction profit is a non-GAAP financial measure. See the section titled “Management’s Discussion and Analysis of Financial Condition and Results of Operations—Key Metrics and Non-GAAP Financial Measures.”</w:t>
      </w:r>
    </w:p>
    <w:p>
      <w:pPr>
        <w:spacing w:after="0" w:line="10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Active Members, ARPAM, and Purchase Volume are key metrics. See the section titled “Management’s Discussion and Analysis of Financial Condition and Results of Operations—Key Metrics and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1220"/>
          </w:cols>
          <w:pgMar w:left="320" w:top="124" w:right="35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111760</wp:posOffset>
            </wp:positionV>
            <wp:extent cx="6995160" cy="9052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0" w:num="1">
            <w:col w:w="9019"/>
          </w:cols>
          <w:pgMar w:left="1440" w:top="124" w:right="1440" w:bottom="1440" w:gutter="0" w:footer="0" w:header="0"/>
        </w:sectPr>
      </w:pPr>
    </w:p>
    <w:bookmarkStart w:id="14" w:name="page15"/>
    <w:bookmarkEnd w:id="14"/>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684530</wp:posOffset>
            </wp:positionV>
            <wp:extent cx="7136130" cy="69221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6922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73" w:lineRule="exact"/>
        <w:rPr>
          <w:sz w:val="20"/>
          <w:szCs w:val="20"/>
          <w:color w:val="auto"/>
        </w:rPr>
      </w:pPr>
    </w:p>
    <w:p>
      <w:pPr>
        <w:ind w:left="6"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that is presented in greater detail elsewhere in this prospectus. This summary does not contain all of the information you should consider before investing in our common stock. You should read this entire prospectus carefully, including the sections titled “Risk Factors,” “Special Note Regarding Forward-Looking Statements,” “Management’s Discussion and Analysis of Financial Condition and Results of Operations,” and “Business,” and our consolidated financial statements and the related notes included elsewhere in this prospectus, before making an investment decision. Unless the context otherwise requires, the terms “Chime,” “the company,” “we,” “us,” and “our” in this prospectus refer to Chime Financial, Inc. and its consolidated subsidiaries. Chime is a technology company, not a bank. Banking services are provided by The Bancorp Bank, N.A. or Stride Bank, N.A.; Members FDIC. We are not a Member of the FDIC, and FDIC-insured accounts are provided by our bank partners.</w:t>
      </w:r>
    </w:p>
    <w:p>
      <w:pPr>
        <w:spacing w:after="0" w:line="129"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CHIME FINANCIAL, INC.</w:t>
      </w:r>
    </w:p>
    <w:p>
      <w:pPr>
        <w:spacing w:after="0" w:line="17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left="6" w:firstLine="324"/>
        <w:spacing w:after="0" w:line="258" w:lineRule="auto"/>
        <w:rPr>
          <w:sz w:val="20"/>
          <w:szCs w:val="20"/>
          <w:color w:val="auto"/>
        </w:rPr>
      </w:pPr>
      <w:r>
        <w:rPr>
          <w:rFonts w:ascii="Times New Roman" w:cs="Times New Roman" w:eastAsia="Times New Roman" w:hAnsi="Times New Roman"/>
          <w:sz w:val="18"/>
          <w:szCs w:val="18"/>
          <w:color w:val="auto"/>
        </w:rPr>
        <w:t>We created Chime to help everyday people make progress in their financial lives. For too long, millions of Americans, including the 75% of the adult population that earn up to $100,000 annually, have struggled with bank relationships that are not always aligned with their best interests. So we set out to create a new approach, built on a foundation of trust rather than fine print and punitive fees. Through our direct relationships with FDIC-insured bank partners, we deliver easy-to-use products that address the most critical financial needs of everyday people — spending, saving, accessing liquidity, and building credit, all while avoiding punitive fees.</w:t>
      </w:r>
    </w:p>
    <w:p>
      <w:pPr>
        <w:spacing w:after="0" w:line="129" w:lineRule="exact"/>
        <w:rPr>
          <w:sz w:val="20"/>
          <w:szCs w:val="20"/>
          <w:color w:val="auto"/>
        </w:rPr>
      </w:pPr>
    </w:p>
    <w:p>
      <w:pPr>
        <w:ind w:left="326"/>
        <w:spacing w:after="0"/>
        <w:rPr>
          <w:sz w:val="20"/>
          <w:szCs w:val="20"/>
          <w:color w:val="auto"/>
        </w:rPr>
      </w:pPr>
      <w:r>
        <w:rPr>
          <w:rFonts w:ascii="Times New Roman" w:cs="Times New Roman" w:eastAsia="Times New Roman" w:hAnsi="Times New Roman"/>
          <w:sz w:val="18"/>
          <w:szCs w:val="18"/>
          <w:color w:val="auto"/>
        </w:rPr>
        <w:t>Since our founding, we are proud to have created some of the most impactful product innovations in consumer banking and</w:t>
      </w:r>
    </w:p>
    <w:p>
      <w:pPr>
        <w:spacing w:after="0" w:line="2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payments. Through our broad suite of products, we have built trusted relationships with 8.0 million Active Members, with 67% of them</w:t>
      </w:r>
    </w:p>
    <w:p>
      <w:pPr>
        <w:ind w:left="6"/>
        <w:spacing w:after="0" w:line="205" w:lineRule="auto"/>
        <w:rPr>
          <w:sz w:val="20"/>
          <w:szCs w:val="20"/>
          <w:color w:val="auto"/>
        </w:rPr>
      </w:pPr>
      <w:r>
        <w:rPr>
          <w:rFonts w:ascii="Times New Roman" w:cs="Times New Roman" w:eastAsia="Times New Roman" w:hAnsi="Times New Roman"/>
          <w:sz w:val="18"/>
          <w:szCs w:val="18"/>
          <w:color w:val="auto"/>
        </w:rPr>
        <w:t>relying on Chime to serve as their primary financial relationship as of December 31, 2024.</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Being the primary account relationship for</w:t>
      </w:r>
    </w:p>
    <w:p>
      <w:pPr>
        <w:spacing w:after="0" w:line="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our members establishes Chime as their central financial hub, and we believe these relationships are the most valuable in consumer</w:t>
      </w:r>
    </w:p>
    <w:p>
      <w:pPr>
        <w:spacing w:after="0" w:line="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financial services. As the central hub, Chime becomes the platform through which members consistently deposit their paychecks and</w:t>
      </w:r>
    </w:p>
    <w:p>
      <w:pPr>
        <w:spacing w:after="0" w:line="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conduct their everyday spend, creating durable and long-lasting relationships with high engagement. In the fourth quarter of 2024, our</w:t>
      </w:r>
    </w:p>
    <w:p>
      <w:pPr>
        <w:ind w:left="6"/>
        <w:spacing w:after="0" w:line="205" w:lineRule="auto"/>
        <w:rPr>
          <w:sz w:val="20"/>
          <w:szCs w:val="20"/>
          <w:color w:val="auto"/>
        </w:rPr>
      </w:pPr>
      <w:r>
        <w:rPr>
          <w:rFonts w:ascii="Times New Roman" w:cs="Times New Roman" w:eastAsia="Times New Roman" w:hAnsi="Times New Roman"/>
          <w:sz w:val="18"/>
          <w:szCs w:val="18"/>
          <w:color w:val="auto"/>
        </w:rPr>
        <w:t>Active Members used Chime for 55 transactions per month, on average, of which over 75% were purchase transactions.</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We also have</w:t>
      </w:r>
    </w:p>
    <w:p>
      <w:pPr>
        <w:ind w:left="6"/>
        <w:spacing w:after="0" w:line="196" w:lineRule="auto"/>
        <w:rPr>
          <w:sz w:val="20"/>
          <w:szCs w:val="20"/>
          <w:color w:val="auto"/>
        </w:rPr>
      </w:pPr>
      <w:r>
        <w:rPr>
          <w:rFonts w:ascii="Times New Roman" w:cs="Times New Roman" w:eastAsia="Times New Roman" w:hAnsi="Times New Roman"/>
          <w:sz w:val="18"/>
          <w:szCs w:val="18"/>
          <w:color w:val="auto"/>
        </w:rPr>
        <w:t>high member satisfaction with 75% of Chime members saying they will be Chime members for life.</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Among adults earning up to</w:t>
      </w:r>
    </w:p>
    <w:p>
      <w:pPr>
        <w:spacing w:after="0" w:line="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$100,000 annually, we have been the top brand for people establishing new, or switching existing, direct deposit relationships, according</w:t>
      </w:r>
    </w:p>
    <w:p>
      <w:pPr>
        <w:spacing w:after="0" w:line="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to a 2024 survey.</w:t>
      </w:r>
      <w:r>
        <w:rPr>
          <w:rFonts w:ascii="Times New Roman" w:cs="Times New Roman" w:eastAsia="Times New Roman" w:hAnsi="Times New Roman"/>
          <w:sz w:val="23"/>
          <w:szCs w:val="23"/>
          <w:color w:val="auto"/>
          <w:vertAlign w:val="superscript"/>
        </w:rPr>
        <w:t>4</w:t>
      </w:r>
    </w:p>
    <w:p>
      <w:pPr>
        <w:spacing w:after="0" w:line="95" w:lineRule="exact"/>
        <w:rPr>
          <w:sz w:val="20"/>
          <w:szCs w:val="20"/>
          <w:color w:val="auto"/>
        </w:rPr>
      </w:pPr>
    </w:p>
    <w:p>
      <w:pPr>
        <w:ind w:left="6" w:right="60" w:firstLine="324"/>
        <w:spacing w:after="0" w:line="256" w:lineRule="auto"/>
        <w:rPr>
          <w:sz w:val="20"/>
          <w:szCs w:val="20"/>
          <w:color w:val="auto"/>
        </w:rPr>
      </w:pPr>
      <w:r>
        <w:rPr>
          <w:rFonts w:ascii="Times New Roman" w:cs="Times New Roman" w:eastAsia="Times New Roman" w:hAnsi="Times New Roman"/>
          <w:sz w:val="18"/>
          <w:szCs w:val="18"/>
          <w:color w:val="auto"/>
        </w:rPr>
        <w:t>Our proprietary technology platform and our digital-first approach give us both a radical cost-to-serve advantage and greater innovation velocity compared to traditional banks. We believe these advantages will improve over the long term as we continue to scale. This structural advantage is complemented with a payments-based business model that is aligned with our members: we primarily generate revenue when members spend using a Chime-branded debit or credit card, based on fees paid via the card networks, rather than fees paid to us by our members. Recurring paycheck deposits through our platform also provide us with an advantage to offer our members access to valuable, short-term credit and liquidity products at scale given the privileged repayment position for such products.</w:t>
      </w:r>
    </w:p>
    <w:p>
      <w:pPr>
        <w:spacing w:after="0" w:line="264" w:lineRule="exact"/>
        <w:rPr>
          <w:sz w:val="20"/>
          <w:szCs w:val="20"/>
          <w:color w:val="auto"/>
        </w:rPr>
      </w:pPr>
    </w:p>
    <w:p>
      <w:pPr>
        <w:ind w:left="326" w:right="100" w:hanging="326"/>
        <w:spacing w:after="0" w:line="221" w:lineRule="auto"/>
        <w:tabs>
          <w:tab w:leader="none" w:pos="329" w:val="left"/>
        </w:tabs>
        <w:numPr>
          <w:ilvl w:val="0"/>
          <w:numId w:val="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We define a primary financial relationship or primary account relationship as a relationship with a member who made 15 or more purchases using their Chime-branded debit or credit cards in the past calendar month or who had at least one qualifying direct deposit of $200 or more through Chime in the past calendar month.</w:t>
      </w:r>
    </w:p>
    <w:p>
      <w:pPr>
        <w:spacing w:after="0" w:line="1" w:lineRule="exact"/>
        <w:rPr>
          <w:sz w:val="20"/>
          <w:szCs w:val="20"/>
          <w:color w:val="auto"/>
        </w:rPr>
      </w:pPr>
    </w:p>
    <w:p>
      <w:pPr>
        <w:ind w:left="326" w:right="180" w:hanging="326"/>
        <w:spacing w:after="0" w:line="257" w:lineRule="auto"/>
        <w:tabs>
          <w:tab w:leader="none" w:pos="329" w:val="left"/>
        </w:tabs>
        <w:numPr>
          <w:ilvl w:val="0"/>
          <w:numId w:val="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Transactions include, but are not limited to, purchases with Chime-branded debit or credit cards (collectively, “purchase transactions”), funding a member account, withdrawing funds from an ATM, sending or receiving funds with Pay Anyone, taking a MyPay advance, or other money movement transactions.</w:t>
      </w:r>
    </w:p>
    <w:p>
      <w:pPr>
        <w:ind w:left="326" w:hanging="326"/>
        <w:spacing w:after="0" w:line="199" w:lineRule="auto"/>
        <w:tabs>
          <w:tab w:leader="none" w:pos="326"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Based on a Chime survey conducted in July 2024 of members who direct deposit through Chime (the “Chime Financial Progress Survey”). See the section titled</w:t>
      </w:r>
    </w:p>
    <w:p>
      <w:pPr>
        <w:spacing w:after="0" w:line="4" w:lineRule="exact"/>
        <w:rPr>
          <w:sz w:val="20"/>
          <w:szCs w:val="20"/>
          <w:color w:val="auto"/>
        </w:rPr>
      </w:pPr>
    </w:p>
    <w:p>
      <w:pPr>
        <w:ind w:left="326"/>
        <w:spacing w:after="0"/>
        <w:rPr>
          <w:sz w:val="20"/>
          <w:szCs w:val="20"/>
          <w:color w:val="auto"/>
        </w:rPr>
      </w:pPr>
      <w:r>
        <w:rPr>
          <w:rFonts w:ascii="Times New Roman" w:cs="Times New Roman" w:eastAsia="Times New Roman" w:hAnsi="Times New Roman"/>
          <w:sz w:val="14"/>
          <w:szCs w:val="14"/>
          <w:color w:val="auto"/>
        </w:rPr>
        <w:t>“Industry, Market, and Other Data.”</w:t>
      </w:r>
    </w:p>
    <w:p>
      <w:pPr>
        <w:spacing w:after="0" w:line="1" w:lineRule="exact"/>
        <w:rPr>
          <w:sz w:val="20"/>
          <w:szCs w:val="20"/>
          <w:color w:val="auto"/>
        </w:rPr>
      </w:pPr>
    </w:p>
    <w:p>
      <w:pPr>
        <w:ind w:left="326" w:right="100" w:hanging="326"/>
        <w:spacing w:after="0" w:line="270" w:lineRule="auto"/>
        <w:tabs>
          <w:tab w:leader="none" w:pos="329" w:val="left"/>
        </w:tabs>
        <w:numPr>
          <w:ilvl w:val="0"/>
          <w:numId w:val="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Based on a Chime commissioned third-party survey conducted in July 2024 targeting Americans aged 18 to 54 years with a household income up to $100,000 who opened or switched to a new direct deposit account in the preceding 12-month period (the “Banking and Switcher Survey”). See the section titled “Industry, Market, and Other Data.”</w:t>
      </w:r>
    </w:p>
    <w:p>
      <w:pPr>
        <w:sectPr>
          <w:pgSz w:w="11900" w:h="16838" w:orient="portrait"/>
          <w:cols w:equalWidth="0" w:num="1">
            <w:col w:w="9886"/>
          </w:cols>
          <w:pgMar w:left="994" w:top="124"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886"/>
          </w:cols>
          <w:pgMar w:left="994" w:top="124" w:right="1019" w:bottom="1440" w:gutter="0" w:footer="0" w:header="0"/>
          <w:type w:val="continuous"/>
        </w:sectPr>
      </w:pPr>
    </w:p>
    <w:bookmarkStart w:id="15" w:name="page16"/>
    <w:bookmarkEnd w:id="15"/>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684530</wp:posOffset>
            </wp:positionV>
            <wp:extent cx="7136130" cy="71875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7187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 w:right="160" w:firstLine="324"/>
        <w:spacing w:after="0" w:line="277" w:lineRule="auto"/>
        <w:rPr>
          <w:sz w:val="20"/>
          <w:szCs w:val="20"/>
          <w:color w:val="auto"/>
        </w:rPr>
      </w:pPr>
      <w:r>
        <w:rPr>
          <w:rFonts w:ascii="Times New Roman" w:cs="Times New Roman" w:eastAsia="Times New Roman" w:hAnsi="Times New Roman"/>
          <w:sz w:val="17"/>
          <w:szCs w:val="17"/>
          <w:color w:val="auto"/>
        </w:rPr>
        <w:t>We are bold in our ambition to build a generational consumer brand that empowers everyday Americans to make progress in their financial journeys. While traditional banks focus on serving people with the largest deposits and highest credit scores, we will continue to raise the bar in financial services for everyday people. In 2024, Time Magazine published its World’s Best Brand survey, which identified Chime among the top five brands in the banking category in America. We believe we are setting a new standard in consumer financial services built on free or low-cost, innovative products and a member-obsessed philosophy. We are just getting started.</w:t>
      </w:r>
    </w:p>
    <w:p>
      <w:pPr>
        <w:spacing w:after="0" w:line="11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i w:val="1"/>
          <w:iCs w:val="1"/>
          <w:color w:val="auto"/>
        </w:rPr>
        <w:t>Our mission is to unite everyday people to unlock their financial progress.</w:t>
      </w:r>
    </w:p>
    <w:p>
      <w:pPr>
        <w:spacing w:after="0" w:line="175" w:lineRule="exact"/>
        <w:rPr>
          <w:sz w:val="20"/>
          <w:szCs w:val="20"/>
          <w:color w:val="auto"/>
        </w:rPr>
      </w:pPr>
    </w:p>
    <w:p>
      <w:pPr>
        <w:ind w:left="6" w:right="20" w:firstLine="324"/>
        <w:spacing w:after="0" w:line="245" w:lineRule="auto"/>
        <w:rPr>
          <w:sz w:val="20"/>
          <w:szCs w:val="20"/>
          <w:color w:val="auto"/>
        </w:rPr>
      </w:pPr>
      <w:r>
        <w:rPr>
          <w:rFonts w:ascii="Times New Roman" w:cs="Times New Roman" w:eastAsia="Times New Roman" w:hAnsi="Times New Roman"/>
          <w:sz w:val="18"/>
          <w:szCs w:val="18"/>
          <w:color w:val="auto"/>
        </w:rPr>
        <w:t>Everyday people are the individuals we all have the privilege of interacting with day to day. They work in healthcare, retail, hospitality, a variety of corporate jobs, and are essential workers who form the heart and soul of America. They are ambitious, resilient, and hustle to move their lives forward. Too often, however, their financial realities can make this progress challenging to achieve and easy to lose. In the United States, 196 million people — over 75% of the adult population — earn up to $100,000 annually.</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8"/>
          <w:szCs w:val="18"/>
          <w:color w:val="auto"/>
        </w:rPr>
        <w:t xml:space="preserve"> We primarily focus on attracting and serving these everyday Americans earning up to $100,000 annually. Many live paycheck-to-paycheck, often spending as much as — or more than — they earn each month to support themselves and their families. Everyday people need solutions that help avoid fees, bridge the gaps between paychecks, manage unexpected expenses, build credit, and grow savings for life’s major milestones. Yet, traditional banks have consistently fallen short in addressing these pressing needs for everyday Americans.</w:t>
      </w:r>
    </w:p>
    <w:p>
      <w:pPr>
        <w:spacing w:after="0" w:line="137" w:lineRule="exact"/>
        <w:rPr>
          <w:sz w:val="20"/>
          <w:szCs w:val="20"/>
          <w:color w:val="auto"/>
        </w:rPr>
      </w:pPr>
    </w:p>
    <w:p>
      <w:pPr>
        <w:ind w:left="6" w:right="140" w:firstLine="324"/>
        <w:spacing w:after="0" w:line="237" w:lineRule="auto"/>
        <w:rPr>
          <w:sz w:val="20"/>
          <w:szCs w:val="20"/>
          <w:color w:val="auto"/>
        </w:rPr>
      </w:pPr>
      <w:r>
        <w:rPr>
          <w:rFonts w:ascii="Times New Roman" w:cs="Times New Roman" w:eastAsia="Times New Roman" w:hAnsi="Times New Roman"/>
          <w:sz w:val="18"/>
          <w:szCs w:val="18"/>
          <w:b w:val="1"/>
          <w:bCs w:val="1"/>
          <w:color w:val="auto"/>
        </w:rPr>
        <w:t xml:space="preserve">Traditional banks face structural limitations that prevent them from effectively serving everyday people. </w:t>
      </w:r>
      <w:r>
        <w:rPr>
          <w:rFonts w:ascii="Times New Roman" w:cs="Times New Roman" w:eastAsia="Times New Roman" w:hAnsi="Times New Roman"/>
          <w:sz w:val="18"/>
          <w:szCs w:val="18"/>
          <w:color w:val="auto"/>
        </w:rPr>
        <w:t>Traditional banks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rely on a net interest margin-based business model with approximately 70% of their revenue coming from customer deposits and lending.</w:t>
      </w:r>
      <w:r>
        <w:rPr>
          <w:rFonts w:ascii="Times New Roman" w:cs="Times New Roman" w:eastAsia="Times New Roman" w:hAnsi="Times New Roman"/>
          <w:sz w:val="23"/>
          <w:szCs w:val="23"/>
          <w:color w:val="auto"/>
          <w:vertAlign w:val="superscript"/>
        </w:rPr>
        <w:t>6</w:t>
      </w:r>
      <w:r>
        <w:rPr>
          <w:rFonts w:ascii="Times New Roman" w:cs="Times New Roman" w:eastAsia="Times New Roman" w:hAnsi="Times New Roman"/>
          <w:sz w:val="18"/>
          <w:szCs w:val="18"/>
          <w:color w:val="auto"/>
        </w:rPr>
        <w:t xml:space="preserve"> This approach works well for the most affluent customers with higher credit scores, who have high deposit balances and large borrowing needs, but is ineffective for everyday Americans, most of whom live paycheck-to-paycheck and often have more modest account balances and limited credit histories. We believe that the majority of Americans can be better served by a payments-based banking model rather than the net interest margin-based model used by traditional banks. Everyday Americans earning up to $100,000 annually are estimated to account for less than 35% of consumer deposits yet over 75% of debit card transaction volume.</w:t>
      </w:r>
      <w:r>
        <w:rPr>
          <w:rFonts w:ascii="Times New Roman" w:cs="Times New Roman" w:eastAsia="Times New Roman" w:hAnsi="Times New Roman"/>
          <w:sz w:val="23"/>
          <w:szCs w:val="23"/>
          <w:color w:val="auto"/>
          <w:vertAlign w:val="superscript"/>
        </w:rPr>
        <w:t>7</w:t>
      </w:r>
      <w:r>
        <w:rPr>
          <w:rFonts w:ascii="Times New Roman" w:cs="Times New Roman" w:eastAsia="Times New Roman" w:hAnsi="Times New Roman"/>
          <w:sz w:val="18"/>
          <w:szCs w:val="18"/>
          <w:color w:val="auto"/>
        </w:rPr>
        <w:t xml:space="preserve"> We are focused on serving everyday Americans with a banking model aligned with this financial reality.</w:t>
      </w:r>
    </w:p>
    <w:p>
      <w:pPr>
        <w:spacing w:after="0" w:line="145" w:lineRule="exact"/>
        <w:rPr>
          <w:sz w:val="20"/>
          <w:szCs w:val="20"/>
          <w:color w:val="auto"/>
        </w:rPr>
      </w:pPr>
    </w:p>
    <w:p>
      <w:pPr>
        <w:ind w:left="6" w:right="120" w:firstLine="324"/>
        <w:spacing w:after="0" w:line="238" w:lineRule="auto"/>
        <w:rPr>
          <w:sz w:val="20"/>
          <w:szCs w:val="20"/>
          <w:color w:val="auto"/>
        </w:rPr>
      </w:pPr>
      <w:r>
        <w:rPr>
          <w:rFonts w:ascii="Times New Roman" w:cs="Times New Roman" w:eastAsia="Times New Roman" w:hAnsi="Times New Roman"/>
          <w:sz w:val="18"/>
          <w:szCs w:val="18"/>
          <w:color w:val="auto"/>
        </w:rPr>
        <w:t>Even if traditional banks were to focus on serving the core needs of everyday Americans, they are structurally limited due to rigid, high-cost business models, driven by their physical branch infrastructure and in-person delivery approach. The average annual cost-to-serve a retail deposit customer is estimated to be approximately three times higher for the three largest incumbent banks and five times higher for mid-sized and regional banks when compared to Chime.</w:t>
      </w:r>
      <w:r>
        <w:rPr>
          <w:rFonts w:ascii="Times New Roman" w:cs="Times New Roman" w:eastAsia="Times New Roman" w:hAnsi="Times New Roman"/>
          <w:sz w:val="23"/>
          <w:szCs w:val="23"/>
          <w:color w:val="auto"/>
          <w:vertAlign w:val="superscript"/>
        </w:rPr>
        <w:t>8</w:t>
      </w:r>
      <w:r>
        <w:rPr>
          <w:rFonts w:ascii="Times New Roman" w:cs="Times New Roman" w:eastAsia="Times New Roman" w:hAnsi="Times New Roman"/>
          <w:sz w:val="18"/>
          <w:szCs w:val="18"/>
          <w:color w:val="auto"/>
        </w:rPr>
        <w:t xml:space="preserve"> Traditional banks impose a range of fees to serve everyday Americans — overdraft fees, minimum balance fees, and monthly maintenance fees. We believe overdraft fees and non-sufficient funds fees can be particularly punitive for everyday Americans because by nature they occur when someone lacks adequate funds in their account. Americans paid an estimated $18.5 billion in banking fees in 2023, with an estimated 95% of these fees paid by everyday American households.</w:t>
      </w:r>
      <w:r>
        <w:rPr>
          <w:rFonts w:ascii="Times New Roman" w:cs="Times New Roman" w:eastAsia="Times New Roman" w:hAnsi="Times New Roman"/>
          <w:sz w:val="23"/>
          <w:szCs w:val="23"/>
          <w:color w:val="auto"/>
          <w:vertAlign w:val="superscript"/>
        </w:rPr>
        <w:t>9</w:t>
      </w:r>
      <w:r>
        <w:rPr>
          <w:rFonts w:ascii="Times New Roman" w:cs="Times New Roman" w:eastAsia="Times New Roman" w:hAnsi="Times New Roman"/>
          <w:sz w:val="18"/>
          <w:szCs w:val="18"/>
          <w:color w:val="auto"/>
        </w:rPr>
        <w:t xml:space="preserve"> This structural reality has led to distrust and poor customer satisfaction for traditional banks among everyday people.</w:t>
      </w:r>
    </w:p>
    <w:p>
      <w:pPr>
        <w:spacing w:after="0" w:line="141" w:lineRule="exact"/>
        <w:rPr>
          <w:sz w:val="20"/>
          <w:szCs w:val="20"/>
          <w:color w:val="auto"/>
        </w:rPr>
      </w:pPr>
    </w:p>
    <w:p>
      <w:pPr>
        <w:ind w:left="6" w:right="50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We created Chime to help our members move their financial lives forward. </w:t>
      </w:r>
      <w:r>
        <w:rPr>
          <w:rFonts w:ascii="Times New Roman" w:cs="Times New Roman" w:eastAsia="Times New Roman" w:hAnsi="Times New Roman"/>
          <w:sz w:val="18"/>
          <w:szCs w:val="18"/>
          <w:color w:val="auto"/>
        </w:rPr>
        <w:t>Since our founding, we have been focused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building and delivering affordable, easy-to-use products that address the most critical financial</w:t>
      </w:r>
    </w:p>
    <w:p>
      <w:pPr>
        <w:spacing w:after="0" w:line="195" w:lineRule="exact"/>
        <w:rPr>
          <w:sz w:val="20"/>
          <w:szCs w:val="20"/>
          <w:color w:val="auto"/>
        </w:rPr>
      </w:pPr>
    </w:p>
    <w:p>
      <w:pPr>
        <w:ind w:left="306" w:hanging="306"/>
        <w:spacing w:after="0"/>
        <w:tabs>
          <w:tab w:leader="none" w:pos="306"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U.S. Census Bureau, Current Population Survey, 2024 Annual Social and Economic Supplement (CPS ASEC).</w:t>
      </w:r>
    </w:p>
    <w:p>
      <w:pPr>
        <w:ind w:left="306" w:hanging="306"/>
        <w:spacing w:after="0"/>
        <w:tabs>
          <w:tab w:leader="none" w:pos="306" w:val="left"/>
        </w:tabs>
        <w:numPr>
          <w:ilvl w:val="0"/>
          <w:numId w:val="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S&amp;P Capital IQ Pro. Based on 2023 submissions from banking institutions to the Federal Financial Institutions Examination Council (FFIEC).</w:t>
      </w:r>
    </w:p>
    <w:p>
      <w:pPr>
        <w:spacing w:after="0" w:line="11" w:lineRule="exact"/>
        <w:rPr>
          <w:sz w:val="20"/>
          <w:szCs w:val="20"/>
          <w:color w:val="auto"/>
        </w:rPr>
      </w:pPr>
    </w:p>
    <w:p>
      <w:pPr>
        <w:ind w:left="306" w:hanging="306"/>
        <w:spacing w:after="0"/>
        <w:tabs>
          <w:tab w:leader="none" w:pos="306" w:val="left"/>
        </w:tabs>
        <w:numPr>
          <w:ilvl w:val="0"/>
          <w:numId w:val="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Chime commissioned study by FS Vector LLC, Chime vs. Traditional Retail Banking Study, January 2025 (the “FS Vector Report”). See the section titled “Industry,</w:t>
      </w:r>
    </w:p>
    <w:p>
      <w:pPr>
        <w:spacing w:after="0" w:line="15" w:lineRule="exact"/>
        <w:rPr>
          <w:sz w:val="20"/>
          <w:szCs w:val="20"/>
          <w:color w:val="auto"/>
        </w:rPr>
      </w:pPr>
    </w:p>
    <w:p>
      <w:pPr>
        <w:ind w:left="326"/>
        <w:spacing w:after="0"/>
        <w:rPr>
          <w:sz w:val="20"/>
          <w:szCs w:val="20"/>
          <w:color w:val="auto"/>
        </w:rPr>
      </w:pPr>
      <w:r>
        <w:rPr>
          <w:rFonts w:ascii="Times New Roman" w:cs="Times New Roman" w:eastAsia="Times New Roman" w:hAnsi="Times New Roman"/>
          <w:sz w:val="14"/>
          <w:szCs w:val="14"/>
          <w:color w:val="auto"/>
        </w:rPr>
        <w:t>Market, and Other Data.”</w:t>
      </w:r>
    </w:p>
    <w:p>
      <w:pPr>
        <w:spacing w:after="0" w:line="9" w:lineRule="exact"/>
        <w:rPr>
          <w:sz w:val="20"/>
          <w:szCs w:val="20"/>
          <w:color w:val="auto"/>
        </w:rPr>
      </w:pPr>
    </w:p>
    <w:p>
      <w:pPr>
        <w:ind w:left="326" w:hanging="326"/>
        <w:spacing w:after="0" w:line="243" w:lineRule="auto"/>
        <w:tabs>
          <w:tab w:leader="none" w:pos="305"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Comparing average cost-to-serve for 2023 (in each case, excluding marketing costs) for the three largest banks by U.S. deposit volume (Bank of America, J.P. Morgan Chase, and Wells Fargo) and for a group of medium-sized and regional banks (BMO, KeyBank, PNC Bank, TD Bank, and U.S. Bank), in each case as estimated by FS Vector Report, to Chime's average cost-to-serve for 2024. Chime’s average cost-to-serve a retail deposit customer is defined as the sum of cost of revenue and operating expenses, excluding transaction and risk losses associated with our liquidity products, customer acquisition expenses, depreciation and amortization relating to operating expenses, and stock-based compensation, divided by the average of the number of Active Members at the end of 2023 and 2024. See the section titled “Industry, Market, and Other Data.”</w:t>
      </w:r>
    </w:p>
    <w:p>
      <w:pPr>
        <w:spacing w:after="0" w:line="3" w:lineRule="exact"/>
        <w:rPr>
          <w:sz w:val="20"/>
          <w:szCs w:val="20"/>
          <w:color w:val="auto"/>
        </w:rPr>
      </w:pPr>
    </w:p>
    <w:p>
      <w:pPr>
        <w:ind w:left="326" w:right="240" w:hanging="326"/>
        <w:spacing w:after="0" w:line="217" w:lineRule="auto"/>
        <w:tabs>
          <w:tab w:leader="none" w:pos="305"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95% of banking fees in the United States in 2023 were paid by households earning up to $175,000, a close proxy for American individuals earning up to $100,000 annually, as estimated by FS Vector Report; see the section titled “Industry, Market, and Other Data.”</w:t>
      </w:r>
    </w:p>
    <w:p>
      <w:pPr>
        <w:sectPr>
          <w:pgSz w:w="11900" w:h="16838" w:orient="portrait"/>
          <w:cols w:equalWidth="0" w:num="1">
            <w:col w:w="9886"/>
          </w:cols>
          <w:pgMar w:left="994" w:top="124"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886"/>
          </w:cols>
          <w:pgMar w:left="994" w:top="124" w:right="1019" w:bottom="1440" w:gutter="0" w:footer="0" w:header="0"/>
          <w:type w:val="continuous"/>
        </w:sectPr>
      </w:pPr>
    </w:p>
    <w:bookmarkStart w:id="16" w:name="page17"/>
    <w:bookmarkEnd w:id="16"/>
    <w:p>
      <w:pPr>
        <w:jc w:val="center"/>
        <w:ind w:right="-25"/>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684530</wp:posOffset>
            </wp:positionV>
            <wp:extent cx="7136130" cy="74707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7470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 w:right="60"/>
        <w:spacing w:after="0" w:line="266" w:lineRule="auto"/>
        <w:rPr>
          <w:sz w:val="20"/>
          <w:szCs w:val="20"/>
          <w:color w:val="auto"/>
        </w:rPr>
      </w:pPr>
      <w:r>
        <w:rPr>
          <w:rFonts w:ascii="Times New Roman" w:cs="Times New Roman" w:eastAsia="Times New Roman" w:hAnsi="Times New Roman"/>
          <w:sz w:val="18"/>
          <w:szCs w:val="18"/>
          <w:color w:val="auto"/>
        </w:rPr>
        <w:t>needs of everyday Americans. Through our platform, members effortlessly spend, save, access liquidity, and build credit, all while avoiding punitive fees. We are building a community of members whose experience with Chime improves when family, friends, and co-workers join our platform.</w:t>
      </w:r>
    </w:p>
    <w:p>
      <w:pPr>
        <w:spacing w:after="0" w:line="118" w:lineRule="exact"/>
        <w:rPr>
          <w:sz w:val="20"/>
          <w:szCs w:val="20"/>
          <w:color w:val="auto"/>
        </w:rPr>
      </w:pPr>
    </w:p>
    <w:p>
      <w:pPr>
        <w:ind w:left="6" w:right="60"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We built Chime’s business model with a focus on four core pillars that have now become competitive advantages: </w:t>
      </w:r>
      <w:r>
        <w:rPr>
          <w:rFonts w:ascii="Times New Roman" w:cs="Times New Roman" w:eastAsia="Times New Roman" w:hAnsi="Times New Roman"/>
          <w:sz w:val="18"/>
          <w:szCs w:val="18"/>
          <w:color w:val="auto"/>
        </w:rPr>
        <w:t>(1) a focus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serving our members as their primary account relationship; (2) a commitment to innovate on new products that specifically serve the needs of everyday Americans; (3) a radical cost-to-serve advantage driven by our digital-first approach and technology platform, which allow us to be both efficient and flexible; and (4) a marketing and product strategy designed to build a loved brand that resonates with our members.</w:t>
      </w:r>
    </w:p>
    <w:p>
      <w:pPr>
        <w:spacing w:after="0" w:line="125" w:lineRule="exact"/>
        <w:rPr>
          <w:sz w:val="20"/>
          <w:szCs w:val="20"/>
          <w:color w:val="auto"/>
        </w:rPr>
      </w:pPr>
    </w:p>
    <w:p>
      <w:pPr>
        <w:ind w:left="326"/>
        <w:spacing w:after="0"/>
        <w:rPr>
          <w:sz w:val="20"/>
          <w:szCs w:val="20"/>
          <w:color w:val="auto"/>
        </w:rPr>
      </w:pPr>
      <w:r>
        <w:rPr>
          <w:rFonts w:ascii="Times New Roman" w:cs="Times New Roman" w:eastAsia="Times New Roman" w:hAnsi="Times New Roman"/>
          <w:sz w:val="18"/>
          <w:szCs w:val="18"/>
          <w:b w:val="1"/>
          <w:bCs w:val="1"/>
          <w:color w:val="auto"/>
        </w:rPr>
        <w:t>(1) A focus on primary account relationships</w:t>
      </w:r>
    </w:p>
    <w:p>
      <w:pPr>
        <w:spacing w:after="0" w:line="175" w:lineRule="exact"/>
        <w:rPr>
          <w:sz w:val="20"/>
          <w:szCs w:val="20"/>
          <w:color w:val="auto"/>
        </w:rPr>
      </w:pPr>
    </w:p>
    <w:p>
      <w:pPr>
        <w:ind w:left="6" w:firstLine="324"/>
        <w:spacing w:after="0" w:line="247" w:lineRule="auto"/>
        <w:rPr>
          <w:sz w:val="20"/>
          <w:szCs w:val="20"/>
          <w:color w:val="auto"/>
        </w:rPr>
      </w:pPr>
      <w:r>
        <w:rPr>
          <w:rFonts w:ascii="Times New Roman" w:cs="Times New Roman" w:eastAsia="Times New Roman" w:hAnsi="Times New Roman"/>
          <w:sz w:val="18"/>
          <w:szCs w:val="18"/>
          <w:color w:val="auto"/>
        </w:rPr>
        <w:t>We designed our business to develop primary account relationships with our members, establishing Chime as their central financial hub. As we become the platform through which members deposit their paychecks and conduct their everyday spending, we create durable and long-lasting relationships with high engagement. We believe the primary account relationship is vital and enables lifetime value – the average tenure of a primary deposit account at a traditional bank or credit union is estimated to be between 16 and 24 years.</w:t>
      </w:r>
      <w:r>
        <w:rPr>
          <w:rFonts w:ascii="Times New Roman" w:cs="Times New Roman" w:eastAsia="Times New Roman" w:hAnsi="Times New Roman"/>
          <w:sz w:val="23"/>
          <w:szCs w:val="23"/>
          <w:color w:val="auto"/>
          <w:vertAlign w:val="superscript"/>
        </w:rPr>
        <w:t>10</w:t>
      </w:r>
      <w:r>
        <w:rPr>
          <w:rFonts w:ascii="Times New Roman" w:cs="Times New Roman" w:eastAsia="Times New Roman" w:hAnsi="Times New Roman"/>
          <w:sz w:val="18"/>
          <w:szCs w:val="18"/>
          <w:color w:val="auto"/>
        </w:rPr>
        <w:t xml:space="preserve"> We have now earned the trust to serve 67% of our 8.0 million Active Members in a primary account relationship as of December 31, 2024. We define a primary account relationship as a relationship with a member who made 15 or more purchases using their Chime-branded debit or credit cards in the past calendar month or who had at least one qualifying direct deposit of $200 or more through Chime in the past calendar month. When we serve our members in a primary account relationship, we earn deep and habitual engagement and “top-of-wallet” card spend for their everyday, largely non-discretionary expenses. As a result, in the fourth quarter of 2024, our Active Members engaged in 55 transactions per month with Chime, on average, of which over 75% were purchase transactions. These relationships also provide a privileged repayment advantage for liquidity products and rich, first-party data, including member income, spending, transaction, social graph, and other engagement data, which enables product innovation. As we expand our platform offerings, we believe these relationships will help drive Active Member growth, position us well to continue to cross-sell additional products, and improve our Average Revenue per Active Member (“ARPAM”).</w:t>
      </w:r>
    </w:p>
    <w:p>
      <w:pPr>
        <w:spacing w:after="0" w:line="141" w:lineRule="exact"/>
        <w:rPr>
          <w:sz w:val="20"/>
          <w:szCs w:val="20"/>
          <w:color w:val="auto"/>
        </w:rPr>
      </w:pPr>
    </w:p>
    <w:p>
      <w:pPr>
        <w:ind w:left="326"/>
        <w:spacing w:after="0"/>
        <w:rPr>
          <w:sz w:val="20"/>
          <w:szCs w:val="20"/>
          <w:color w:val="auto"/>
        </w:rPr>
      </w:pPr>
      <w:r>
        <w:rPr>
          <w:rFonts w:ascii="Times New Roman" w:cs="Times New Roman" w:eastAsia="Times New Roman" w:hAnsi="Times New Roman"/>
          <w:sz w:val="18"/>
          <w:szCs w:val="18"/>
          <w:b w:val="1"/>
          <w:bCs w:val="1"/>
          <w:color w:val="auto"/>
        </w:rPr>
        <w:t>(2) A commitment to innovate on new, member-aligned products</w:t>
      </w:r>
    </w:p>
    <w:p>
      <w:pPr>
        <w:spacing w:after="0" w:line="175" w:lineRule="exact"/>
        <w:rPr>
          <w:sz w:val="20"/>
          <w:szCs w:val="20"/>
          <w:color w:val="auto"/>
        </w:rPr>
      </w:pPr>
    </w:p>
    <w:p>
      <w:pPr>
        <w:ind w:left="6" w:firstLine="324"/>
        <w:spacing w:after="0" w:line="256" w:lineRule="auto"/>
        <w:rPr>
          <w:sz w:val="20"/>
          <w:szCs w:val="20"/>
          <w:color w:val="auto"/>
        </w:rPr>
      </w:pPr>
      <w:r>
        <w:rPr>
          <w:rFonts w:ascii="Times New Roman" w:cs="Times New Roman" w:eastAsia="Times New Roman" w:hAnsi="Times New Roman"/>
          <w:sz w:val="18"/>
          <w:szCs w:val="18"/>
          <w:color w:val="auto"/>
        </w:rPr>
        <w:t xml:space="preserve">Since our founding, </w:t>
      </w:r>
      <w:r>
        <w:rPr>
          <w:rFonts w:ascii="Times New Roman" w:cs="Times New Roman" w:eastAsia="Times New Roman" w:hAnsi="Times New Roman"/>
          <w:sz w:val="18"/>
          <w:szCs w:val="18"/>
          <w:color w:val="auto"/>
          <w:highlight w:val="white"/>
        </w:rPr>
        <w:t>we have built a track record of launching pioneering products to address the most critical financial needs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 xml:space="preserve">everyday Americans — spending, saving, accessing liquidity, and building credit, all while avoiding punitive fees. We believe our ability to launch free or low-cost, innovative products such as Get Paid Early, SpotMe, Credit Builder, and MyPay has allowed us to build a substantial and growing competitive advantage over traditional banks. </w:t>
      </w:r>
      <w:r>
        <w:rPr>
          <w:rFonts w:ascii="Times New Roman" w:cs="Times New Roman" w:eastAsia="Times New Roman" w:hAnsi="Times New Roman"/>
          <w:sz w:val="18"/>
          <w:szCs w:val="18"/>
          <w:color w:val="auto"/>
        </w:rPr>
        <w:t>Additionally, with the development and launch in 2024 of</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ChimeCore, our proprietary payment processor and ledger, we have built a foundation for even faster future product innovation to grow our advantage relative to traditional banks over time.</w:t>
      </w:r>
    </w:p>
    <w:p>
      <w:pPr>
        <w:spacing w:after="0" w:line="129" w:lineRule="exact"/>
        <w:rPr>
          <w:sz w:val="20"/>
          <w:szCs w:val="20"/>
          <w:color w:val="auto"/>
        </w:rPr>
      </w:pPr>
    </w:p>
    <w:p>
      <w:pPr>
        <w:ind w:left="326"/>
        <w:spacing w:after="0"/>
        <w:rPr>
          <w:sz w:val="20"/>
          <w:szCs w:val="20"/>
          <w:color w:val="auto"/>
        </w:rPr>
      </w:pPr>
      <w:r>
        <w:rPr>
          <w:rFonts w:ascii="Times New Roman" w:cs="Times New Roman" w:eastAsia="Times New Roman" w:hAnsi="Times New Roman"/>
          <w:sz w:val="18"/>
          <w:szCs w:val="18"/>
          <w:b w:val="1"/>
          <w:bCs w:val="1"/>
          <w:color w:val="auto"/>
        </w:rPr>
        <w:t>(3) A radical cost-to-serve advantage</w:t>
      </w:r>
    </w:p>
    <w:p>
      <w:pPr>
        <w:spacing w:after="0" w:line="175" w:lineRule="exact"/>
        <w:rPr>
          <w:sz w:val="20"/>
          <w:szCs w:val="20"/>
          <w:color w:val="auto"/>
        </w:rPr>
      </w:pPr>
    </w:p>
    <w:p>
      <w:pPr>
        <w:ind w:left="6" w:right="20" w:firstLine="324"/>
        <w:spacing w:after="0" w:line="245" w:lineRule="auto"/>
        <w:rPr>
          <w:sz w:val="20"/>
          <w:szCs w:val="20"/>
          <w:color w:val="auto"/>
        </w:rPr>
      </w:pPr>
      <w:r>
        <w:rPr>
          <w:rFonts w:ascii="Times New Roman" w:cs="Times New Roman" w:eastAsia="Times New Roman" w:hAnsi="Times New Roman"/>
          <w:sz w:val="18"/>
          <w:szCs w:val="18"/>
          <w:color w:val="auto"/>
        </w:rPr>
        <w:t>We constructed our model to serve everyday Americans, which meant taking a digital-first approach and building differentiated technology that allows us to serve our target audience at a significant cost advantage compared to traditional banks. The average annual cost-to-serve a retail deposit customer is estimated to be approximately three times higher for the three largest incumbent banks and five times higher for mid-sized and regional banks when compared to Chime.</w:t>
      </w:r>
      <w:r>
        <w:rPr>
          <w:rFonts w:ascii="Times New Roman" w:cs="Times New Roman" w:eastAsia="Times New Roman" w:hAnsi="Times New Roman"/>
          <w:sz w:val="23"/>
          <w:szCs w:val="23"/>
          <w:color w:val="auto"/>
          <w:vertAlign w:val="superscript"/>
        </w:rPr>
        <w:t>11</w:t>
      </w:r>
      <w:r>
        <w:rPr>
          <w:rFonts w:ascii="Times New Roman" w:cs="Times New Roman" w:eastAsia="Times New Roman" w:hAnsi="Times New Roman"/>
          <w:sz w:val="18"/>
          <w:szCs w:val="18"/>
          <w:color w:val="auto"/>
        </w:rPr>
        <w:t xml:space="preserve"> Our digital-first approach has allowed us to reduce the significant expenses associated with bank branches and ATMs. Through our direct relationships with our bank partners, we conveniently offer access to a suite of banking products on our mobile application, while providing our members with nationwide access to physical locations to conveniently withdraw cash and make cash deposits where and when members need to through our partnerships with ATM and cash deposit networks. </w:t>
      </w:r>
      <w:r>
        <w:rPr>
          <w:rFonts w:ascii="Times New Roman" w:cs="Times New Roman" w:eastAsia="Times New Roman" w:hAnsi="Times New Roman"/>
          <w:sz w:val="18"/>
          <w:szCs w:val="18"/>
          <w:color w:val="auto"/>
          <w:highlight w:val="white"/>
        </w:rPr>
        <w:t>We have invested substantially over several years in</w:t>
      </w:r>
      <w:r>
        <w:rPr>
          <w:rFonts w:ascii="Times New Roman" w:cs="Times New Roman" w:eastAsia="Times New Roman" w:hAnsi="Times New Roman"/>
          <w:sz w:val="18"/>
          <w:szCs w:val="18"/>
          <w:color w:val="auto"/>
        </w:rPr>
        <w:t xml:space="preserve"> our cloud-native technology platform, including ChimeCore, to be able to efficiently develop products</w:t>
      </w:r>
    </w:p>
    <w:p>
      <w:pPr>
        <w:spacing w:after="0" w:line="236" w:lineRule="exact"/>
        <w:rPr>
          <w:sz w:val="20"/>
          <w:szCs w:val="20"/>
          <w:color w:val="auto"/>
        </w:rPr>
      </w:pPr>
    </w:p>
    <w:p>
      <w:pPr>
        <w:ind w:left="306" w:hanging="306"/>
        <w:spacing w:after="0"/>
        <w:tabs>
          <w:tab w:leader="none" w:pos="306"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FS Vector Report; see the section titled “Industry, Market, and Other Data.”</w:t>
      </w:r>
    </w:p>
    <w:p>
      <w:pPr>
        <w:ind w:left="286" w:hanging="286"/>
        <w:spacing w:after="0"/>
        <w:tabs>
          <w:tab w:leader="none" w:pos="286" w:val="left"/>
        </w:tabs>
        <w:numPr>
          <w:ilvl w:val="0"/>
          <w:numId w:val="1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Comparing average cost-to-serve for 2023 (in each case, excluding marketing costs) for the three largest banks by U.S. deposit volume (Bank of America, J.P. Morgan</w:t>
      </w:r>
    </w:p>
    <w:p>
      <w:pPr>
        <w:spacing w:after="0" w:line="11" w:lineRule="exact"/>
        <w:rPr>
          <w:sz w:val="20"/>
          <w:szCs w:val="20"/>
          <w:color w:val="auto"/>
        </w:rPr>
      </w:pPr>
    </w:p>
    <w:p>
      <w:pPr>
        <w:ind w:left="326" w:right="120"/>
        <w:spacing w:after="0" w:line="283" w:lineRule="auto"/>
        <w:rPr>
          <w:sz w:val="20"/>
          <w:szCs w:val="20"/>
          <w:color w:val="auto"/>
        </w:rPr>
      </w:pPr>
      <w:r>
        <w:rPr>
          <w:rFonts w:ascii="Times New Roman" w:cs="Times New Roman" w:eastAsia="Times New Roman" w:hAnsi="Times New Roman"/>
          <w:sz w:val="14"/>
          <w:szCs w:val="14"/>
          <w:color w:val="auto"/>
        </w:rPr>
        <w:t>Chase, and Wells Fargo) and for a group of medium-sized and regional banks (BMO, KeyBank, PNC Bank, TD Bank, and U.S. Bank), in each case as estimated by FS Vector Report, to Chime’s average cost-to-serve for 2024; see the section titled “Industry, Market, and Other Data.”</w:t>
      </w:r>
    </w:p>
    <w:p>
      <w:pPr>
        <w:sectPr>
          <w:pgSz w:w="11900" w:h="16838" w:orient="portrait"/>
          <w:cols w:equalWidth="0" w:num="1">
            <w:col w:w="9866"/>
          </w:cols>
          <w:pgMar w:left="994" w:top="124"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9866"/>
          </w:cols>
          <w:pgMar w:left="994" w:top="124" w:right="1039" w:bottom="1440" w:gutter="0" w:footer="0" w:header="0"/>
          <w:type w:val="continuous"/>
        </w:sectPr>
      </w:pPr>
    </w:p>
    <w:bookmarkStart w:id="17" w:name="page18"/>
    <w:bookmarkEnd w:id="17"/>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684530</wp:posOffset>
            </wp:positionV>
            <wp:extent cx="7136130" cy="69475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6947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 w:right="20"/>
        <w:spacing w:after="0" w:line="259" w:lineRule="auto"/>
        <w:rPr>
          <w:sz w:val="20"/>
          <w:szCs w:val="20"/>
          <w:color w:val="auto"/>
        </w:rPr>
      </w:pPr>
      <w:r>
        <w:rPr>
          <w:rFonts w:ascii="Times New Roman" w:cs="Times New Roman" w:eastAsia="Times New Roman" w:hAnsi="Times New Roman"/>
          <w:sz w:val="18"/>
          <w:szCs w:val="18"/>
          <w:color w:val="auto"/>
        </w:rPr>
        <w:t>and process and record financial transactions in-house. By operating our technology platform in-house, we are able to focus a greater portion of our technology spend on product innovation, avoid costly maintenance of legacy systems, and reduce or eliminate reliance on third-party vendors in areas such as transaction processing, financial ledgering, technology and product development, and technical operations. We have also invested in our data and artificial intelligence (“AI”) platforms. These innovations enabled us to deliver 68% of our member support interactions without the need for human intervention in 2024. Between 2022 and 2024, we reduced our support costs per Active Member by 64% and fraud loss rates by 31% while simultaneously increasing our member support satisfaction scores by 93%.</w:t>
      </w:r>
      <w:r>
        <w:rPr>
          <w:rFonts w:ascii="Times New Roman" w:cs="Times New Roman" w:eastAsia="Times New Roman" w:hAnsi="Times New Roman"/>
          <w:sz w:val="23"/>
          <w:szCs w:val="23"/>
          <w:color w:val="auto"/>
          <w:vertAlign w:val="superscript"/>
        </w:rPr>
        <w:t>12</w:t>
      </w:r>
    </w:p>
    <w:p>
      <w:pPr>
        <w:spacing w:after="0" w:line="44" w:lineRule="exact"/>
        <w:rPr>
          <w:sz w:val="20"/>
          <w:szCs w:val="20"/>
          <w:color w:val="auto"/>
        </w:rPr>
      </w:pPr>
    </w:p>
    <w:p>
      <w:pPr>
        <w:ind w:left="326"/>
        <w:spacing w:after="0"/>
        <w:rPr>
          <w:sz w:val="20"/>
          <w:szCs w:val="20"/>
          <w:color w:val="auto"/>
        </w:rPr>
      </w:pPr>
      <w:r>
        <w:rPr>
          <w:rFonts w:ascii="Times New Roman" w:cs="Times New Roman" w:eastAsia="Times New Roman" w:hAnsi="Times New Roman"/>
          <w:sz w:val="18"/>
          <w:szCs w:val="18"/>
          <w:b w:val="1"/>
          <w:bCs w:val="1"/>
          <w:color w:val="auto"/>
        </w:rPr>
        <w:t>(4) A loved and trusted brand</w:t>
      </w:r>
    </w:p>
    <w:p>
      <w:pPr>
        <w:spacing w:after="0" w:line="175" w:lineRule="exact"/>
        <w:rPr>
          <w:sz w:val="20"/>
          <w:szCs w:val="20"/>
          <w:color w:val="auto"/>
        </w:rPr>
      </w:pPr>
    </w:p>
    <w:p>
      <w:pPr>
        <w:ind w:left="6" w:firstLine="324"/>
        <w:spacing w:after="0" w:line="239" w:lineRule="auto"/>
        <w:rPr>
          <w:sz w:val="20"/>
          <w:szCs w:val="20"/>
          <w:color w:val="auto"/>
        </w:rPr>
      </w:pPr>
      <w:r>
        <w:rPr>
          <w:rFonts w:ascii="Times New Roman" w:cs="Times New Roman" w:eastAsia="Times New Roman" w:hAnsi="Times New Roman"/>
          <w:sz w:val="18"/>
          <w:szCs w:val="18"/>
          <w:color w:val="auto"/>
        </w:rPr>
        <w:t>In a category where everyday Americans are regularly dissatisfied and lack trust, we deliver products that our members love and that address their critical needs, resulting in Chime’s brand leadership. In 2024, Time Magazine published its World’s Best Brand survey, which identified Chime among the top five brands in the banking category in America. Among Americans earning up to $100,000 annually, our unaided brand awareness of 41% rivals that of the three largest traditional banks in the United States and meaningfully exceeds that of some of the largest peer to peer financial technology companies.</w:t>
      </w:r>
      <w:r>
        <w:rPr>
          <w:rFonts w:ascii="Times New Roman" w:cs="Times New Roman" w:eastAsia="Times New Roman" w:hAnsi="Times New Roman"/>
          <w:sz w:val="23"/>
          <w:szCs w:val="23"/>
          <w:color w:val="auto"/>
          <w:vertAlign w:val="superscript"/>
        </w:rPr>
        <w:t>13</w:t>
      </w:r>
      <w:r>
        <w:rPr>
          <w:rFonts w:ascii="Times New Roman" w:cs="Times New Roman" w:eastAsia="Times New Roman" w:hAnsi="Times New Roman"/>
          <w:sz w:val="18"/>
          <w:szCs w:val="18"/>
          <w:color w:val="auto"/>
        </w:rPr>
        <w:t xml:space="preserve"> We have focused our brand strategy on winning brand ownership in the categories that matter most to everyday Americans. Compared to the three largest traditional banks in the United States, we are: over 80% more likely to be associated with not having hidden fees; more than twice as likely to be associated with allowing members to get paid earlier; and over 50% more likely to be associated with helping members build their credit scores.</w:t>
      </w:r>
      <w:r>
        <w:rPr>
          <w:rFonts w:ascii="Times New Roman" w:cs="Times New Roman" w:eastAsia="Times New Roman" w:hAnsi="Times New Roman"/>
          <w:sz w:val="23"/>
          <w:szCs w:val="23"/>
          <w:color w:val="auto"/>
          <w:vertAlign w:val="superscript"/>
        </w:rPr>
        <w:t>14</w:t>
      </w:r>
      <w:r>
        <w:rPr>
          <w:rFonts w:ascii="Times New Roman" w:cs="Times New Roman" w:eastAsia="Times New Roman" w:hAnsi="Times New Roman"/>
          <w:sz w:val="18"/>
          <w:szCs w:val="18"/>
          <w:color w:val="auto"/>
        </w:rPr>
        <w:t xml:space="preserve"> Our passionate community means our members are our biggest brand ambassadors — in 2024, member referrals have been the single largest channel of new Active Member growth at Chime. Chime members love and trust us and they pay it forward.</w:t>
      </w:r>
    </w:p>
    <w:p>
      <w:pPr>
        <w:spacing w:after="0" w:line="142" w:lineRule="exact"/>
        <w:rPr>
          <w:sz w:val="20"/>
          <w:szCs w:val="20"/>
          <w:color w:val="auto"/>
        </w:rPr>
      </w:pPr>
    </w:p>
    <w:p>
      <w:pPr>
        <w:ind w:left="6" w:right="140" w:firstLine="324"/>
        <w:spacing w:after="0" w:line="228" w:lineRule="auto"/>
        <w:rPr>
          <w:sz w:val="20"/>
          <w:szCs w:val="20"/>
          <w:color w:val="auto"/>
        </w:rPr>
      </w:pPr>
      <w:r>
        <w:rPr>
          <w:rFonts w:ascii="Times New Roman" w:cs="Times New Roman" w:eastAsia="Times New Roman" w:hAnsi="Times New Roman"/>
          <w:sz w:val="18"/>
          <w:szCs w:val="18"/>
          <w:b w:val="1"/>
          <w:bCs w:val="1"/>
          <w:color w:val="auto"/>
        </w:rPr>
        <w:t>Our formula is working</w:t>
      </w:r>
      <w:r>
        <w:rPr>
          <w:rFonts w:ascii="Times New Roman" w:cs="Times New Roman" w:eastAsia="Times New Roman" w:hAnsi="Times New Roman"/>
          <w:sz w:val="18"/>
          <w:szCs w:val="18"/>
          <w:color w:val="auto"/>
        </w:rPr>
        <w:t>. Among adults earning up to $100,000, Chime has been the top brand for people establishing new,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switching existing, direct deposit relationships, according to a 2024 survey.</w:t>
      </w:r>
      <w:r>
        <w:rPr>
          <w:rFonts w:ascii="Times New Roman" w:cs="Times New Roman" w:eastAsia="Times New Roman" w:hAnsi="Times New Roman"/>
          <w:sz w:val="23"/>
          <w:szCs w:val="23"/>
          <w:color w:val="auto"/>
          <w:vertAlign w:val="superscript"/>
        </w:rPr>
        <w:t>15</w:t>
      </w:r>
      <w:r>
        <w:rPr>
          <w:rFonts w:ascii="Times New Roman" w:cs="Times New Roman" w:eastAsia="Times New Roman" w:hAnsi="Times New Roman"/>
          <w:sz w:val="18"/>
          <w:szCs w:val="18"/>
          <w:color w:val="auto"/>
        </w:rPr>
        <w:t xml:space="preserve"> In 2023, our members generated $92.4 billion in Purchase Volume. The Purchase Volume from Chime-branded debit cards was only surpassed by eight debit card issuers in the United States in 2023.</w:t>
      </w:r>
      <w:r>
        <w:rPr>
          <w:rFonts w:ascii="Times New Roman" w:cs="Times New Roman" w:eastAsia="Times New Roman" w:hAnsi="Times New Roman"/>
          <w:sz w:val="23"/>
          <w:szCs w:val="23"/>
          <w:color w:val="auto"/>
          <w:vertAlign w:val="superscript"/>
        </w:rPr>
        <w:t>16</w:t>
      </w:r>
      <w:r>
        <w:rPr>
          <w:rFonts w:ascii="Times New Roman" w:cs="Times New Roman" w:eastAsia="Times New Roman" w:hAnsi="Times New Roman"/>
          <w:sz w:val="18"/>
          <w:szCs w:val="18"/>
          <w:color w:val="auto"/>
        </w:rPr>
        <w:t xml:space="preserve"> Eighty-five percent of new members who direct deposit through Chime came from an existing direct deposit relationship, most commonly with large incumbent banks.</w:t>
      </w:r>
      <w:r>
        <w:rPr>
          <w:rFonts w:ascii="Times New Roman" w:cs="Times New Roman" w:eastAsia="Times New Roman" w:hAnsi="Times New Roman"/>
          <w:sz w:val="23"/>
          <w:szCs w:val="23"/>
          <w:color w:val="auto"/>
          <w:vertAlign w:val="superscript"/>
        </w:rPr>
        <w:t>17</w:t>
      </w:r>
      <w:r>
        <w:rPr>
          <w:rFonts w:ascii="Times New Roman" w:cs="Times New Roman" w:eastAsia="Times New Roman" w:hAnsi="Times New Roman"/>
          <w:sz w:val="18"/>
          <w:szCs w:val="18"/>
          <w:color w:val="auto"/>
        </w:rPr>
        <w:t xml:space="preserve"> They switch because we have a track record of delivering a meaningful impact on our members’ lives: 97% of our members say we have unlocked their financial progress.</w:t>
      </w:r>
      <w:r>
        <w:rPr>
          <w:rFonts w:ascii="Times New Roman" w:cs="Times New Roman" w:eastAsia="Times New Roman" w:hAnsi="Times New Roman"/>
          <w:sz w:val="23"/>
          <w:szCs w:val="23"/>
          <w:color w:val="auto"/>
          <w:vertAlign w:val="superscript"/>
        </w:rPr>
        <w:t>18</w:t>
      </w:r>
    </w:p>
    <w:p>
      <w:pPr>
        <w:spacing w:after="0" w:line="64" w:lineRule="exact"/>
        <w:rPr>
          <w:sz w:val="20"/>
          <w:szCs w:val="20"/>
          <w:color w:val="auto"/>
        </w:rPr>
      </w:pPr>
    </w:p>
    <w:p>
      <w:pPr>
        <w:ind w:left="6" w:right="160" w:firstLine="324"/>
        <w:spacing w:after="0" w:line="239" w:lineRule="auto"/>
        <w:rPr>
          <w:sz w:val="20"/>
          <w:szCs w:val="20"/>
          <w:color w:val="auto"/>
        </w:rPr>
      </w:pPr>
      <w:r>
        <w:rPr>
          <w:rFonts w:ascii="Times New Roman" w:cs="Times New Roman" w:eastAsia="Times New Roman" w:hAnsi="Times New Roman"/>
          <w:sz w:val="18"/>
          <w:szCs w:val="18"/>
          <w:color w:val="auto"/>
        </w:rPr>
        <w:t>In December 2024, our Active Members had adopted 3.3 Chime products on average. We generated an ARPAM of $245 for the fourth quarter of 2024, and in 2024 we had net dollar transaction profit retention of approximately 107%.</w:t>
      </w:r>
      <w:r>
        <w:rPr>
          <w:rFonts w:ascii="Times New Roman" w:cs="Times New Roman" w:eastAsia="Times New Roman" w:hAnsi="Times New Roman"/>
          <w:sz w:val="23"/>
          <w:szCs w:val="23"/>
          <w:color w:val="auto"/>
          <w:vertAlign w:val="superscript"/>
        </w:rPr>
        <w:t>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 a market crowded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fintech single point solutions, we are building long-lasting and deep, multi-product relationships to advance our members’ financial journeys.</w:t>
      </w:r>
    </w:p>
    <w:p>
      <w:pPr>
        <w:spacing w:after="0" w:line="275" w:lineRule="exact"/>
        <w:rPr>
          <w:sz w:val="20"/>
          <w:szCs w:val="20"/>
          <w:color w:val="auto"/>
        </w:rPr>
      </w:pPr>
    </w:p>
    <w:p>
      <w:pPr>
        <w:ind w:left="326" w:right="220" w:hanging="326"/>
        <w:spacing w:after="0" w:line="221" w:lineRule="auto"/>
        <w:tabs>
          <w:tab w:leader="none" w:pos="329"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Based on Service Net Promoter Score (sNPS) scores collected from Chime commissioned third-party surveys conducted on a rolling basis to measure the member support satisfaction of our members. See the section titled “Industry, Market, and Other Data.”</w:t>
      </w:r>
    </w:p>
    <w:p>
      <w:pPr>
        <w:ind w:left="326" w:right="140" w:hanging="326"/>
        <w:spacing w:after="0" w:line="261" w:lineRule="auto"/>
        <w:tabs>
          <w:tab w:leader="none" w:pos="329" w:val="left"/>
        </w:tabs>
        <w:numPr>
          <w:ilvl w:val="0"/>
          <w:numId w:val="1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Chime brand awareness measured against Bank of America, J.P. Morgan Chase, Wells Fargo, Cash App, PayPal, and Venmo. Based on Chime commissioned third-party surveys conducted in the fourth quarter of 2024 (the “Brand Awareness Survey”). See the section titled “Industry, Market, and Other Data.”</w:t>
      </w:r>
    </w:p>
    <w:p>
      <w:pPr>
        <w:ind w:left="326" w:hanging="326"/>
        <w:spacing w:after="0" w:line="192" w:lineRule="auto"/>
        <w:tabs>
          <w:tab w:leader="none" w:pos="326"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Brand Awareness Survey; see the section titled “Industry, Market, and Other Data.”</w:t>
      </w:r>
    </w:p>
    <w:p>
      <w:pPr>
        <w:spacing w:after="0" w:line="3" w:lineRule="exact"/>
        <w:rPr>
          <w:rFonts w:ascii="Times New Roman" w:cs="Times New Roman" w:eastAsia="Times New Roman" w:hAnsi="Times New Roman"/>
          <w:sz w:val="19"/>
          <w:szCs w:val="19"/>
          <w:color w:val="auto"/>
          <w:vertAlign w:val="superscript"/>
        </w:rPr>
      </w:pPr>
    </w:p>
    <w:p>
      <w:pPr>
        <w:ind w:left="326" w:hanging="326"/>
        <w:spacing w:after="0" w:line="187" w:lineRule="auto"/>
        <w:tabs>
          <w:tab w:leader="none" w:pos="326" w:val="left"/>
        </w:tabs>
        <w:numPr>
          <w:ilvl w:val="0"/>
          <w:numId w:val="1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Banking and Switcher Survey; see the section titled “Industry, Market, and Other Data.”</w:t>
      </w:r>
    </w:p>
    <w:p>
      <w:pPr>
        <w:ind w:left="326" w:hanging="326"/>
        <w:spacing w:after="0"/>
        <w:tabs>
          <w:tab w:leader="none" w:pos="326" w:val="left"/>
        </w:tabs>
        <w:numPr>
          <w:ilvl w:val="0"/>
          <w:numId w:val="1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HSN Consultants, Inc. dba Nilson Report, Nilson Report, Issue 1262, April 2024.</w:t>
      </w:r>
    </w:p>
    <w:p>
      <w:pPr>
        <w:spacing w:after="0" w:line="11" w:lineRule="exact"/>
        <w:rPr>
          <w:rFonts w:ascii="Times New Roman" w:cs="Times New Roman" w:eastAsia="Times New Roman" w:hAnsi="Times New Roman"/>
          <w:sz w:val="9"/>
          <w:szCs w:val="9"/>
          <w:color w:val="auto"/>
        </w:rPr>
      </w:pPr>
    </w:p>
    <w:p>
      <w:pPr>
        <w:ind w:left="326" w:right="220" w:hanging="326"/>
        <w:spacing w:after="0" w:line="261" w:lineRule="auto"/>
        <w:tabs>
          <w:tab w:leader="none" w:pos="329" w:val="left"/>
        </w:tabs>
        <w:numPr>
          <w:ilvl w:val="0"/>
          <w:numId w:val="1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Existing direct deposit relationship includes previously direct depositing with national banks, credit unions, regional banks, online financial services platforms, prepaid cards and payment apps. Based on Chime commissioned third-party surveys conducted from January through December 2024 on newly enrolled members three days after their enrollment (the “Enrollment Surveys”). See the section titled “Industry, Market, and Other Data.”</w:t>
      </w:r>
    </w:p>
    <w:p>
      <w:pPr>
        <w:spacing w:after="0" w:line="1" w:lineRule="exact"/>
        <w:rPr>
          <w:rFonts w:ascii="Times New Roman" w:cs="Times New Roman" w:eastAsia="Times New Roman" w:hAnsi="Times New Roman"/>
          <w:sz w:val="9"/>
          <w:szCs w:val="9"/>
          <w:color w:val="auto"/>
        </w:rPr>
      </w:pPr>
    </w:p>
    <w:p>
      <w:pPr>
        <w:jc w:val="both"/>
        <w:ind w:left="326" w:right="60" w:hanging="326"/>
        <w:spacing w:after="0" w:line="227" w:lineRule="auto"/>
        <w:tabs>
          <w:tab w:leader="none" w:pos="329"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 the Chime Financial Progress Survey, 97% of respondents indicated that Chime has helped in at least one of the following aspects of unlocking financial progress: avoiding fees, bridging the gap until their next paycheck, avoiding late or missed bills, managing spending, improving credit scores, saving for an emergency, saving for a long-term goal, or helping pay off high-interest rate debt. See the section titled “Industry, Market, and Other Data.”</w:t>
      </w:r>
    </w:p>
    <w:p>
      <w:pPr>
        <w:spacing w:after="0" w:line="1" w:lineRule="exact"/>
        <w:rPr>
          <w:rFonts w:ascii="Times New Roman" w:cs="Times New Roman" w:eastAsia="Times New Roman" w:hAnsi="Times New Roman"/>
          <w:sz w:val="19"/>
          <w:szCs w:val="19"/>
          <w:color w:val="auto"/>
          <w:vertAlign w:val="superscript"/>
        </w:rPr>
      </w:pPr>
    </w:p>
    <w:p>
      <w:pPr>
        <w:ind w:left="326" w:right="40" w:hanging="326"/>
        <w:spacing w:after="0"/>
        <w:tabs>
          <w:tab w:leader="none" w:pos="329"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We calculate net dollar transaction profit retention by dividing transaction profit in the current period from all members that first became active at least one year prior to such period, by transaction profit from those same members in the prior period, inclusive of any members that have churned. We only include members that first became active at least one year prior to avoid comparing a full period of transaction profit in the current period to a partial period of transaction profit in the prior period.</w:t>
      </w:r>
    </w:p>
    <w:p>
      <w:pPr>
        <w:sectPr>
          <w:pgSz w:w="11900" w:h="16838" w:orient="portrait"/>
          <w:cols w:equalWidth="0" w:num="1">
            <w:col w:w="9886"/>
          </w:cols>
          <w:pgMar w:left="994" w:top="124"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9886"/>
          </w:cols>
          <w:pgMar w:left="994" w:top="124" w:right="1019" w:bottom="1440" w:gutter="0" w:footer="0" w:header="0"/>
          <w:type w:val="continuous"/>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684530</wp:posOffset>
            </wp:positionV>
            <wp:extent cx="7136130" cy="66821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6682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right="80" w:firstLine="324"/>
        <w:spacing w:after="0" w:line="249" w:lineRule="auto"/>
        <w:rPr>
          <w:sz w:val="20"/>
          <w:szCs w:val="20"/>
          <w:color w:val="auto"/>
        </w:rPr>
      </w:pPr>
      <w:r>
        <w:rPr>
          <w:rFonts w:ascii="Times New Roman" w:cs="Times New Roman" w:eastAsia="Times New Roman" w:hAnsi="Times New Roman"/>
          <w:sz w:val="18"/>
          <w:szCs w:val="18"/>
          <w:b w:val="1"/>
          <w:bCs w:val="1"/>
          <w:color w:val="auto"/>
        </w:rPr>
        <w:t>We are still early in our growth opportunity</w:t>
      </w:r>
      <w:r>
        <w:rPr>
          <w:rFonts w:ascii="Times New Roman" w:cs="Times New Roman" w:eastAsia="Times New Roman" w:hAnsi="Times New Roman"/>
          <w:sz w:val="18"/>
          <w:szCs w:val="18"/>
          <w:color w:val="auto"/>
        </w:rPr>
        <w:t>. Consumer financial services in the United States remains broken for everyday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people in many ways and one of the last industries where incumbents have yet to be truly disrupted by a technology focused competitor. We believe we have a $85 billion annual revenue opportunity by addressing the 196 million Americans earning up to $100,000 annually with our current products alone, and we have penetrated less than 2% of this opportunity today.</w:t>
      </w:r>
      <w:r>
        <w:rPr>
          <w:rFonts w:ascii="Times New Roman" w:cs="Times New Roman" w:eastAsia="Times New Roman" w:hAnsi="Times New Roman"/>
          <w:sz w:val="23"/>
          <w:szCs w:val="23"/>
          <w:color w:val="auto"/>
          <w:vertAlign w:val="superscript"/>
        </w:rPr>
        <w:t>20</w:t>
      </w:r>
      <w:r>
        <w:rPr>
          <w:rFonts w:ascii="Times New Roman" w:cs="Times New Roman" w:eastAsia="Times New Roman" w:hAnsi="Times New Roman"/>
          <w:sz w:val="18"/>
          <w:szCs w:val="18"/>
          <w:color w:val="auto"/>
        </w:rPr>
        <w:t xml:space="preserve"> We believe that our opportunity can grow to $426 billion as we continue to expand our platform, allowing us to meet more needs of our current members, and serve a wider audience of Americans.</w:t>
      </w:r>
      <w:r>
        <w:rPr>
          <w:rFonts w:ascii="Times New Roman" w:cs="Times New Roman" w:eastAsia="Times New Roman" w:hAnsi="Times New Roman"/>
          <w:sz w:val="23"/>
          <w:szCs w:val="23"/>
          <w:color w:val="auto"/>
          <w:vertAlign w:val="superscript"/>
        </w:rPr>
        <w:t>21</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Our winning financial model has enabled us to drive rapid growth and strong operating leverage at scale: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40" w:type="dxa"/>
            <w:vAlign w:val="bottom"/>
            <w:gridSpan w:val="3"/>
            <w:vMerge w:val="restart"/>
          </w:tcPr>
          <w:p>
            <w:pPr>
              <w:jc w:val="right"/>
              <w:ind w:right="908"/>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00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300" w:type="dxa"/>
            <w:vAlign w:val="bottom"/>
          </w:tcPr>
          <w:p>
            <w:pPr>
              <w:spacing w:after="0"/>
              <w:rPr>
                <w:sz w:val="17"/>
                <w:szCs w:val="17"/>
                <w:color w:val="auto"/>
              </w:rPr>
            </w:pPr>
          </w:p>
        </w:tc>
        <w:tc>
          <w:tcPr>
            <w:tcW w:w="102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3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2022 to 2023</w:t>
            </w:r>
          </w:p>
        </w:tc>
        <w:tc>
          <w:tcPr>
            <w:tcW w:w="128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2023 to 2024</w:t>
            </w:r>
          </w:p>
        </w:tc>
        <w:tc>
          <w:tcPr>
            <w:tcW w:w="0" w:type="dxa"/>
            <w:vAlign w:val="bottom"/>
          </w:tcPr>
          <w:p>
            <w:pPr>
              <w:spacing w:after="0"/>
              <w:rPr>
                <w:sz w:val="1"/>
                <w:szCs w:val="1"/>
                <w:color w:val="auto"/>
              </w:rPr>
            </w:pPr>
          </w:p>
        </w:tc>
      </w:tr>
      <w:tr>
        <w:trPr>
          <w:trHeight w:val="202"/>
        </w:trPr>
        <w:tc>
          <w:tcPr>
            <w:tcW w:w="30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Revenue</w:t>
            </w:r>
          </w:p>
        </w:tc>
        <w:tc>
          <w:tcPr>
            <w:tcW w:w="300" w:type="dxa"/>
            <w:vAlign w:val="bottom"/>
            <w:tcBorders>
              <w:top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1,008,838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1,278,455</w:t>
            </w: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1,673,269</w:t>
            </w: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1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31 %</w:t>
            </w:r>
          </w:p>
        </w:tc>
        <w:tc>
          <w:tcPr>
            <w:tcW w:w="0" w:type="dxa"/>
            <w:vAlign w:val="bottom"/>
          </w:tcPr>
          <w:p>
            <w:pPr>
              <w:spacing w:after="0"/>
              <w:rPr>
                <w:sz w:val="1"/>
                <w:szCs w:val="1"/>
                <w:color w:val="auto"/>
              </w:rPr>
            </w:pPr>
          </w:p>
        </w:tc>
      </w:tr>
      <w:tr>
        <w:trPr>
          <w:trHeight w:val="195"/>
        </w:trPr>
        <w:tc>
          <w:tcPr>
            <w:tcW w:w="30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Gross profit</w:t>
            </w:r>
          </w:p>
        </w:tc>
        <w:tc>
          <w:tcPr>
            <w:tcW w:w="30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794,152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1,058,718</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1,465,758</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33 %</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38 %</w:t>
            </w: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i w:val="1"/>
                <w:iCs w:val="1"/>
                <w:color w:val="auto"/>
              </w:rPr>
              <w:t>Gross margin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83 %</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88 %</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0" w:type="dxa"/>
            <w:vAlign w:val="bottom"/>
          </w:tcPr>
          <w:p>
            <w:pPr>
              <w:spacing w:after="0"/>
              <w:rPr>
                <w:sz w:val="1"/>
                <w:szCs w:val="1"/>
                <w:color w:val="auto"/>
              </w:rPr>
            </w:pPr>
          </w:p>
        </w:tc>
      </w:tr>
      <w:tr>
        <w:trPr>
          <w:trHeight w:val="195"/>
        </w:trPr>
        <w:tc>
          <w:tcPr>
            <w:tcW w:w="30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Transaction profit</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667,438</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906,343</w:t>
            </w:r>
          </w:p>
        </w:tc>
        <w:tc>
          <w:tcPr>
            <w:tcW w:w="8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1,246,071</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i w:val="1"/>
                <w:iCs w:val="1"/>
                <w:color w:val="auto"/>
              </w:rPr>
              <w:t>Transaction margin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71 %</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74 %</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195"/>
        </w:trPr>
        <w:tc>
          <w:tcPr>
            <w:tcW w:w="30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loss</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(470,254)</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(203,202)</w:t>
            </w:r>
          </w:p>
        </w:tc>
        <w:tc>
          <w:tcPr>
            <w:tcW w:w="8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(25,344)</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57 %</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88 %</w:t>
            </w: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i w:val="1"/>
                <w:iCs w:val="1"/>
                <w:color w:val="auto"/>
              </w:rPr>
              <w:t>Net margin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66 %</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90 %</w:t>
            </w:r>
          </w:p>
        </w:tc>
        <w:tc>
          <w:tcPr>
            <w:tcW w:w="0" w:type="dxa"/>
            <w:vAlign w:val="bottom"/>
          </w:tcPr>
          <w:p>
            <w:pPr>
              <w:spacing w:after="0"/>
              <w:rPr>
                <w:sz w:val="1"/>
                <w:szCs w:val="1"/>
                <w:color w:val="auto"/>
              </w:rPr>
            </w:pPr>
          </w:p>
        </w:tc>
      </w:tr>
      <w:tr>
        <w:trPr>
          <w:trHeight w:val="195"/>
        </w:trPr>
        <w:tc>
          <w:tcPr>
            <w:tcW w:w="30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Adjusted EBITDA</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(406,123)</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(189,313)</w:t>
            </w:r>
          </w:p>
        </w:tc>
        <w:tc>
          <w:tcPr>
            <w:tcW w:w="8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(6,984)</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53 %</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96 %</w:t>
            </w: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i w:val="1"/>
                <w:iCs w:val="1"/>
                <w:color w:val="auto"/>
              </w:rPr>
              <w:t>Adjusted EBITDA Margin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 %</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63 %</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97 %</w:t>
            </w:r>
          </w:p>
        </w:tc>
        <w:tc>
          <w:tcPr>
            <w:tcW w:w="0" w:type="dxa"/>
            <w:vAlign w:val="bottom"/>
          </w:tcPr>
          <w:p>
            <w:pPr>
              <w:spacing w:after="0"/>
              <w:rPr>
                <w:sz w:val="1"/>
                <w:szCs w:val="1"/>
                <w:color w:val="auto"/>
              </w:rPr>
            </w:pPr>
          </w:p>
        </w:tc>
      </w:tr>
    </w:tbl>
    <w:p>
      <w:pPr>
        <w:spacing w:after="0" w:line="236" w:lineRule="exact"/>
        <w:rPr>
          <w:sz w:val="20"/>
          <w:szCs w:val="20"/>
          <w:color w:val="auto"/>
        </w:rPr>
      </w:pPr>
    </w:p>
    <w:p>
      <w:pPr>
        <w:jc w:val="both"/>
        <w:ind w:left="20" w:right="8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Transaction profit, transaction margin, adjusted EBITDA, and adjusted EBITDA margin are non-GAAP financial measures. See the section titled “Management’s Discussion and Analysis of Financial Condition and Results of Operations—Key Metrics and Non-GAAP Financial Measures.”</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OUR MEMBERS ARE EVERYDAY AMERICANS</w:t>
      </w:r>
    </w:p>
    <w:p>
      <w:pPr>
        <w:spacing w:after="0" w:line="175" w:lineRule="exact"/>
        <w:rPr>
          <w:sz w:val="20"/>
          <w:szCs w:val="20"/>
          <w:color w:val="auto"/>
        </w:rPr>
      </w:pPr>
    </w:p>
    <w:p>
      <w:pPr>
        <w:ind w:left="20" w:right="40" w:firstLine="324"/>
        <w:spacing w:after="0" w:line="241" w:lineRule="auto"/>
        <w:rPr>
          <w:sz w:val="20"/>
          <w:szCs w:val="20"/>
          <w:color w:val="auto"/>
        </w:rPr>
      </w:pPr>
      <w:r>
        <w:rPr>
          <w:rFonts w:ascii="Times New Roman" w:cs="Times New Roman" w:eastAsia="Times New Roman" w:hAnsi="Times New Roman"/>
          <w:sz w:val="18"/>
          <w:szCs w:val="18"/>
          <w:color w:val="auto"/>
        </w:rPr>
        <w:t>We serve everyday Americans, the people we meet and interact with every day. They often work in healthcare, retail, hospitality, or a variety of other corporate jobs, and are essential workers who form the heart and soul of America. Chime members reflect the diversity of America, encompassing individuals from a wide range of backgrounds and spanning all 50 states. Fifty-five percent of our members are female</w:t>
      </w:r>
      <w:r>
        <w:rPr>
          <w:rFonts w:ascii="Times New Roman" w:cs="Times New Roman" w:eastAsia="Times New Roman" w:hAnsi="Times New Roman"/>
          <w:sz w:val="23"/>
          <w:szCs w:val="23"/>
          <w:color w:val="auto"/>
          <w:vertAlign w:val="superscript"/>
        </w:rPr>
        <w:t>22</w:t>
      </w:r>
      <w:r>
        <w:rPr>
          <w:rFonts w:ascii="Times New Roman" w:cs="Times New Roman" w:eastAsia="Times New Roman" w:hAnsi="Times New Roman"/>
          <w:sz w:val="18"/>
          <w:szCs w:val="18"/>
          <w:color w:val="auto"/>
        </w:rPr>
        <w:t xml:space="preserve"> and our members range from young adults to those over 60, with an average age of 36.</w:t>
      </w:r>
      <w:r>
        <w:rPr>
          <w:rFonts w:ascii="Times New Roman" w:cs="Times New Roman" w:eastAsia="Times New Roman" w:hAnsi="Times New Roman"/>
          <w:sz w:val="23"/>
          <w:szCs w:val="23"/>
          <w:color w:val="auto"/>
          <w:vertAlign w:val="superscript"/>
        </w:rPr>
        <w:t>23</w:t>
      </w:r>
      <w:r>
        <w:rPr>
          <w:rFonts w:ascii="Times New Roman" w:cs="Times New Roman" w:eastAsia="Times New Roman" w:hAnsi="Times New Roman"/>
          <w:sz w:val="18"/>
          <w:szCs w:val="18"/>
          <w:color w:val="auto"/>
        </w:rPr>
        <w:t xml:space="preserve"> They are ambitious and resilient, and they hustle to move their lives forward.</w:t>
      </w:r>
    </w:p>
    <w:p>
      <w:pPr>
        <w:spacing w:after="0" w:line="145" w:lineRule="exact"/>
        <w:rPr>
          <w:sz w:val="20"/>
          <w:szCs w:val="20"/>
          <w:color w:val="auto"/>
        </w:rPr>
      </w:pPr>
    </w:p>
    <w:p>
      <w:pPr>
        <w:ind w:left="20" w:right="80" w:firstLine="324"/>
        <w:spacing w:after="0" w:line="229" w:lineRule="auto"/>
        <w:rPr>
          <w:sz w:val="20"/>
          <w:szCs w:val="20"/>
          <w:color w:val="auto"/>
        </w:rPr>
      </w:pPr>
      <w:r>
        <w:rPr>
          <w:rFonts w:ascii="Times New Roman" w:cs="Times New Roman" w:eastAsia="Times New Roman" w:hAnsi="Times New Roman"/>
          <w:sz w:val="18"/>
          <w:szCs w:val="18"/>
          <w:color w:val="auto"/>
        </w:rPr>
        <w:t>Everyday Americans face challenges in making the financial progress they desire. There are 196 million adults in the United States who earn up to $100,000 annually — over 75% of the adult population.</w:t>
      </w:r>
      <w:r>
        <w:rPr>
          <w:rFonts w:ascii="Times New Roman" w:cs="Times New Roman" w:eastAsia="Times New Roman" w:hAnsi="Times New Roman"/>
          <w:sz w:val="23"/>
          <w:szCs w:val="23"/>
          <w:color w:val="auto"/>
          <w:vertAlign w:val="superscript"/>
        </w:rPr>
        <w:t>24</w:t>
      </w:r>
      <w:r>
        <w:rPr>
          <w:rFonts w:ascii="Times New Roman" w:cs="Times New Roman" w:eastAsia="Times New Roman" w:hAnsi="Times New Roman"/>
          <w:sz w:val="18"/>
          <w:szCs w:val="18"/>
          <w:color w:val="auto"/>
        </w:rPr>
        <w:t xml:space="preserve"> Many of these Americans live paycheck-to-paycheck, often spending as much as — or more than — they earn each month to support themselves and their families. Living paycheck-to-paycheck is a reality for higher income earners as well. In fact, an estimated 67% of all Americans live paycheck-to-paycheck.</w:t>
      </w:r>
      <w:r>
        <w:rPr>
          <w:rFonts w:ascii="Times New Roman" w:cs="Times New Roman" w:eastAsia="Times New Roman" w:hAnsi="Times New Roman"/>
          <w:sz w:val="23"/>
          <w:szCs w:val="23"/>
          <w:color w:val="auto"/>
          <w:vertAlign w:val="superscript"/>
        </w:rPr>
        <w:t>25</w:t>
      </w:r>
      <w:r>
        <w:rPr>
          <w:rFonts w:ascii="Times New Roman" w:cs="Times New Roman" w:eastAsia="Times New Roman" w:hAnsi="Times New Roman"/>
          <w:sz w:val="18"/>
          <w:szCs w:val="18"/>
          <w:color w:val="auto"/>
        </w:rPr>
        <w:t xml:space="preserve"> As a result, many Americans have low levels of liquidity. These realities can make financial progress challenging to achieve and easy to lose.</w:t>
      </w:r>
    </w:p>
    <w:p>
      <w:pPr>
        <w:spacing w:after="0" w:line="262" w:lineRule="exact"/>
        <w:rPr>
          <w:sz w:val="20"/>
          <w:szCs w:val="20"/>
          <w:color w:val="auto"/>
        </w:rPr>
      </w:pPr>
    </w:p>
    <w:p>
      <w:pPr>
        <w:ind w:left="340" w:right="180" w:hanging="326"/>
        <w:spacing w:after="0" w:line="271" w:lineRule="auto"/>
        <w:tabs>
          <w:tab w:leader="none" w:pos="343" w:val="left"/>
        </w:tabs>
        <w:numPr>
          <w:ilvl w:val="0"/>
          <w:numId w:val="1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Revenue opportunity calculated by multiplying the 196 million adult Americans earning up to $100,000 annually by the ARPAM for the fourth quarter of 2024 for members who used at least six products per month in December 2024. Penetration percentage based on 2024 annual revenue.</w:t>
      </w:r>
    </w:p>
    <w:p>
      <w:pPr>
        <w:ind w:left="360" w:hanging="346"/>
        <w:spacing w:after="0" w:line="192" w:lineRule="auto"/>
        <w:tabs>
          <w:tab w:leader="none" w:pos="360"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FS Vector Report; see the section titled “Industry, Market, and Other Data.”</w:t>
      </w:r>
    </w:p>
    <w:p>
      <w:pPr>
        <w:spacing w:after="0" w:line="3" w:lineRule="exact"/>
        <w:rPr>
          <w:rFonts w:ascii="Times New Roman" w:cs="Times New Roman" w:eastAsia="Times New Roman" w:hAnsi="Times New Roman"/>
          <w:sz w:val="19"/>
          <w:szCs w:val="19"/>
          <w:color w:val="auto"/>
          <w:vertAlign w:val="superscript"/>
        </w:rPr>
      </w:pPr>
    </w:p>
    <w:p>
      <w:pPr>
        <w:ind w:left="340" w:hanging="326"/>
        <w:spacing w:after="0" w:line="187" w:lineRule="auto"/>
        <w:tabs>
          <w:tab w:leader="none" w:pos="340" w:val="left"/>
        </w:tabs>
        <w:numPr>
          <w:ilvl w:val="0"/>
          <w:numId w:val="1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Chime Financial Progress Survey; see the section titled “Industry, Market, and Other Data.”</w:t>
      </w:r>
    </w:p>
    <w:p>
      <w:pPr>
        <w:ind w:left="340" w:hanging="326"/>
        <w:spacing w:after="0"/>
        <w:tabs>
          <w:tab w:leader="none" w:pos="340" w:val="left"/>
        </w:tabs>
        <w:numPr>
          <w:ilvl w:val="0"/>
          <w:numId w:val="1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Based on Active Members as of December 31, 2024.</w:t>
      </w:r>
    </w:p>
    <w:p>
      <w:pPr>
        <w:spacing w:after="0" w:line="11" w:lineRule="exact"/>
        <w:rPr>
          <w:rFonts w:ascii="Times New Roman" w:cs="Times New Roman" w:eastAsia="Times New Roman" w:hAnsi="Times New Roman"/>
          <w:sz w:val="9"/>
          <w:szCs w:val="9"/>
          <w:color w:val="auto"/>
        </w:rPr>
      </w:pPr>
    </w:p>
    <w:p>
      <w:pPr>
        <w:ind w:left="340" w:hanging="326"/>
        <w:spacing w:after="0"/>
        <w:tabs>
          <w:tab w:leader="none" w:pos="340" w:val="left"/>
        </w:tabs>
        <w:numPr>
          <w:ilvl w:val="0"/>
          <w:numId w:val="1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U.S. Census Bureau, Current Population Survey, 2024 Annual Social and Economic Supplement (CPS ASEC).</w:t>
      </w:r>
    </w:p>
    <w:p>
      <w:pPr>
        <w:spacing w:after="0" w:line="14" w:lineRule="exact"/>
        <w:rPr>
          <w:rFonts w:ascii="Times New Roman" w:cs="Times New Roman" w:eastAsia="Times New Roman" w:hAnsi="Times New Roman"/>
          <w:sz w:val="9"/>
          <w:szCs w:val="9"/>
          <w:color w:val="auto"/>
        </w:rPr>
      </w:pPr>
    </w:p>
    <w:p>
      <w:pPr>
        <w:ind w:left="340" w:hanging="326"/>
        <w:spacing w:after="0" w:line="192" w:lineRule="auto"/>
        <w:tabs>
          <w:tab w:leader="none" w:pos="340"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FS Vector Report; see the section titled “Industry, Market, and Other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9900"/>
          </w:cols>
          <w:pgMar w:left="980" w:top="124" w:right="1019" w:bottom="1440" w:gutter="0" w:footer="0" w:header="0"/>
        </w:sectPr>
      </w:pPr>
    </w:p>
    <w:bookmarkStart w:id="19" w:name="page20"/>
    <w:bookmarkEnd w:id="19"/>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684530</wp:posOffset>
            </wp:positionV>
            <wp:extent cx="7136130" cy="69564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6956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 w:right="40" w:firstLine="324"/>
        <w:spacing w:after="0" w:line="282" w:lineRule="auto"/>
        <w:rPr>
          <w:sz w:val="20"/>
          <w:szCs w:val="20"/>
          <w:color w:val="auto"/>
        </w:rPr>
      </w:pPr>
      <w:r>
        <w:rPr>
          <w:rFonts w:ascii="Times New Roman" w:cs="Times New Roman" w:eastAsia="Times New Roman" w:hAnsi="Times New Roman"/>
          <w:sz w:val="18"/>
          <w:szCs w:val="18"/>
          <w:color w:val="auto"/>
        </w:rPr>
        <w:t>Everyday Americans deserve trusted financial solutions that are aligned with their best interests and address their most critical needs across spending, savings, liquidity, and credit building.</w:t>
      </w:r>
    </w:p>
    <w:p>
      <w:pPr>
        <w:spacing w:after="0" w:line="10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TRADITIONAL BANKS ARE FAILING MANY EVERYDAY AMERICANS</w:t>
      </w:r>
    </w:p>
    <w:p>
      <w:pPr>
        <w:spacing w:after="0" w:line="175" w:lineRule="exact"/>
        <w:rPr>
          <w:sz w:val="20"/>
          <w:szCs w:val="20"/>
          <w:color w:val="auto"/>
        </w:rPr>
      </w:pPr>
    </w:p>
    <w:p>
      <w:pPr>
        <w:ind w:left="6" w:right="40" w:firstLine="324"/>
        <w:spacing w:after="0" w:line="236" w:lineRule="auto"/>
        <w:rPr>
          <w:sz w:val="20"/>
          <w:szCs w:val="20"/>
          <w:color w:val="auto"/>
        </w:rPr>
      </w:pPr>
      <w:r>
        <w:rPr>
          <w:rFonts w:ascii="Times New Roman" w:cs="Times New Roman" w:eastAsia="Times New Roman" w:hAnsi="Times New Roman"/>
          <w:sz w:val="18"/>
          <w:szCs w:val="18"/>
          <w:color w:val="auto"/>
        </w:rPr>
        <w:t>Traditional banks rely on a net interest margin-based business model with approximately 70% of their revenue coming from customer deposits and lending.</w:t>
      </w:r>
      <w:r>
        <w:rPr>
          <w:rFonts w:ascii="Times New Roman" w:cs="Times New Roman" w:eastAsia="Times New Roman" w:hAnsi="Times New Roman"/>
          <w:sz w:val="23"/>
          <w:szCs w:val="23"/>
          <w:color w:val="auto"/>
          <w:vertAlign w:val="superscript"/>
        </w:rPr>
        <w:t>26</w:t>
      </w:r>
      <w:r>
        <w:rPr>
          <w:rFonts w:ascii="Times New Roman" w:cs="Times New Roman" w:eastAsia="Times New Roman" w:hAnsi="Times New Roman"/>
          <w:sz w:val="18"/>
          <w:szCs w:val="18"/>
          <w:color w:val="auto"/>
        </w:rPr>
        <w:t xml:space="preserve"> This approach is effective for, and leads traditional banks to focus on, the most affluent customers with higher credit scores, who have high deposit balances and large borrowing needs. However, this approach is ineffective for everyday Americans, most of whom live paycheck-to-paycheck and often have more modest account balances and limited credit histories. We believe that the majority of Americans can be better served by a payments-based banking model rather than the net interest margin-based model used by traditional banks. Everyday Americans earning up to $100,000 annually are estimated to account for less than 35% of consumer deposits yet over 75% of debit card transaction volume.</w:t>
      </w:r>
      <w:r>
        <w:rPr>
          <w:rFonts w:ascii="Times New Roman" w:cs="Times New Roman" w:eastAsia="Times New Roman" w:hAnsi="Times New Roman"/>
          <w:sz w:val="23"/>
          <w:szCs w:val="23"/>
          <w:color w:val="auto"/>
          <w:vertAlign w:val="superscript"/>
        </w:rPr>
        <w:t>27</w:t>
      </w:r>
      <w:r>
        <w:rPr>
          <w:rFonts w:ascii="Times New Roman" w:cs="Times New Roman" w:eastAsia="Times New Roman" w:hAnsi="Times New Roman"/>
          <w:sz w:val="18"/>
          <w:szCs w:val="18"/>
          <w:color w:val="auto"/>
        </w:rPr>
        <w:t xml:space="preserve"> We are focused on serving everyday Americans with a banking model aligned with this financial reality.</w:t>
      </w:r>
    </w:p>
    <w:p>
      <w:pPr>
        <w:spacing w:after="0" w:line="149" w:lineRule="exact"/>
        <w:rPr>
          <w:sz w:val="20"/>
          <w:szCs w:val="20"/>
          <w:color w:val="auto"/>
        </w:rPr>
      </w:pPr>
    </w:p>
    <w:p>
      <w:pPr>
        <w:ind w:left="6" w:right="40" w:firstLine="324"/>
        <w:spacing w:after="0" w:line="241" w:lineRule="auto"/>
        <w:rPr>
          <w:sz w:val="20"/>
          <w:szCs w:val="20"/>
          <w:color w:val="auto"/>
        </w:rPr>
      </w:pPr>
      <w:r>
        <w:rPr>
          <w:rFonts w:ascii="Times New Roman" w:cs="Times New Roman" w:eastAsia="Times New Roman" w:hAnsi="Times New Roman"/>
          <w:sz w:val="18"/>
          <w:szCs w:val="18"/>
          <w:color w:val="auto"/>
        </w:rPr>
        <w:t>Even if traditional banks were to focus on serving the core needs of everyday Americans, they are structurally limited due to rigid, high-cost business models, driven by their physical branch infrastructure and in-person delivery approach. The average annual cost-to-serve a retail deposit customer is estimated to be approximately three times higher for the three largest incumbent banks and five times higher for mid-sized and regional banks when compared to Chime.</w:t>
      </w:r>
      <w:r>
        <w:rPr>
          <w:rFonts w:ascii="Times New Roman" w:cs="Times New Roman" w:eastAsia="Times New Roman" w:hAnsi="Times New Roman"/>
          <w:sz w:val="23"/>
          <w:szCs w:val="23"/>
          <w:color w:val="auto"/>
          <w:vertAlign w:val="superscript"/>
        </w:rPr>
        <w:t>28</w:t>
      </w:r>
      <w:r>
        <w:rPr>
          <w:rFonts w:ascii="Times New Roman" w:cs="Times New Roman" w:eastAsia="Times New Roman" w:hAnsi="Times New Roman"/>
          <w:sz w:val="18"/>
          <w:szCs w:val="18"/>
          <w:color w:val="auto"/>
        </w:rPr>
        <w:t xml:space="preserve"> In addition, their legacy technology requires significant investments to maintain and upgrade, making it more difficult to serve everyday Americans without fees.</w:t>
      </w:r>
    </w:p>
    <w:p>
      <w:pPr>
        <w:spacing w:after="0" w:line="145" w:lineRule="exact"/>
        <w:rPr>
          <w:sz w:val="20"/>
          <w:szCs w:val="20"/>
          <w:color w:val="auto"/>
        </w:rPr>
      </w:pPr>
    </w:p>
    <w:p>
      <w:pPr>
        <w:ind w:left="326"/>
        <w:spacing w:after="0"/>
        <w:rPr>
          <w:sz w:val="20"/>
          <w:szCs w:val="20"/>
          <w:color w:val="auto"/>
        </w:rPr>
      </w:pPr>
      <w:r>
        <w:rPr>
          <w:rFonts w:ascii="Times New Roman" w:cs="Times New Roman" w:eastAsia="Times New Roman" w:hAnsi="Times New Roman"/>
          <w:sz w:val="18"/>
          <w:szCs w:val="18"/>
          <w:color w:val="auto"/>
        </w:rPr>
        <w:t>As a result of these structural limitations, traditional banks leave everyday Americans with:</w:t>
      </w:r>
    </w:p>
    <w:p>
      <w:pPr>
        <w:spacing w:after="0" w:line="167" w:lineRule="exact"/>
        <w:rPr>
          <w:sz w:val="20"/>
          <w:szCs w:val="20"/>
          <w:color w:val="auto"/>
        </w:rPr>
      </w:pPr>
    </w:p>
    <w:p>
      <w:pPr>
        <w:ind w:left="646" w:right="80" w:hanging="322"/>
        <w:spacing w:after="0" w:line="246" w:lineRule="auto"/>
        <w:tabs>
          <w:tab w:leader="none" w:pos="64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Expensive products and fees. </w:t>
      </w:r>
      <w:r>
        <w:rPr>
          <w:rFonts w:ascii="Times New Roman" w:cs="Times New Roman" w:eastAsia="Times New Roman" w:hAnsi="Times New Roman"/>
          <w:sz w:val="18"/>
          <w:szCs w:val="18"/>
          <w:color w:val="auto"/>
        </w:rPr>
        <w:t>Monthly maintenance fees for low balances, overdraft fees, and insufficient funds fees create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expensive banking experiences that can financially strain everyday Americans. Americans paid an estimated $18.5 billion in banking fees in 2023, with an estimated 95% of these fees paid by everyday American households.</w:t>
      </w:r>
      <w:r>
        <w:rPr>
          <w:rFonts w:ascii="Times New Roman" w:cs="Times New Roman" w:eastAsia="Times New Roman" w:hAnsi="Times New Roman"/>
          <w:sz w:val="23"/>
          <w:szCs w:val="23"/>
          <w:color w:val="auto"/>
          <w:vertAlign w:val="superscript"/>
        </w:rPr>
        <w:t>29</w:t>
      </w:r>
      <w:r>
        <w:rPr>
          <w:rFonts w:ascii="Times New Roman" w:cs="Times New Roman" w:eastAsia="Times New Roman" w:hAnsi="Times New Roman"/>
          <w:sz w:val="18"/>
          <w:szCs w:val="18"/>
          <w:color w:val="auto"/>
        </w:rPr>
        <w:t xml:space="preserve"> Because everyday Americans lack the account balances to drive sufficient net interest income, traditional banks use punitive fees to drive revenue from these customers and offset their high cost structures. These fees can come at the most inopportune times — such as when account balances are low or during unexpected crises — making it even harder to manage finances and recover from financial shocks. Even among other financial technology companies, fee practices can vary: for example, while some companies may provide fee-free access to comparable products, such companies may not offer access to a full suite of banking products or may require minimum direct deposit balances to avoid or reduce fees, including in-network ATM withdrawal fees; and some other financial technology companies primarily rely on fee-based or subscription models.</w:t>
      </w:r>
    </w:p>
    <w:p>
      <w:pPr>
        <w:spacing w:after="0" w:line="141" w:lineRule="exact"/>
        <w:rPr>
          <w:rFonts w:ascii="Times New Roman" w:cs="Times New Roman" w:eastAsia="Times New Roman" w:hAnsi="Times New Roman"/>
          <w:sz w:val="18"/>
          <w:szCs w:val="18"/>
          <w:color w:val="auto"/>
        </w:rPr>
      </w:pPr>
    </w:p>
    <w:p>
      <w:pPr>
        <w:ind w:left="646" w:right="20" w:hanging="322"/>
        <w:spacing w:after="0" w:line="244" w:lineRule="auto"/>
        <w:tabs>
          <w:tab w:leader="none" w:pos="64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Friction and lack of transparency. </w:t>
      </w:r>
      <w:r>
        <w:rPr>
          <w:rFonts w:ascii="Times New Roman" w:cs="Times New Roman" w:eastAsia="Times New Roman" w:hAnsi="Times New Roman"/>
          <w:sz w:val="18"/>
          <w:szCs w:val="18"/>
          <w:color w:val="auto"/>
        </w:rPr>
        <w:t>Traditional banking experiences can be frustrating and full of friction with slow check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processing, delays in fund transfers, and outdated systems that require physical branch visits. In addition, banking products often lack transparency with disclosures that can be mired in obscure terms and fee schedules that can span dozens of pages. For many, these fees are unexpected: among American households that were charged an overdraft fee, only 22% reported that they anticipated their last fee.</w:t>
      </w:r>
      <w:r>
        <w:rPr>
          <w:rFonts w:ascii="Times New Roman" w:cs="Times New Roman" w:eastAsia="Times New Roman" w:hAnsi="Times New Roman"/>
          <w:sz w:val="23"/>
          <w:szCs w:val="23"/>
          <w:color w:val="auto"/>
          <w:vertAlign w:val="superscript"/>
        </w:rPr>
        <w:t>30</w:t>
      </w:r>
      <w:r>
        <w:rPr>
          <w:rFonts w:ascii="Times New Roman" w:cs="Times New Roman" w:eastAsia="Times New Roman" w:hAnsi="Times New Roman"/>
          <w:sz w:val="18"/>
          <w:szCs w:val="18"/>
          <w:color w:val="auto"/>
        </w:rPr>
        <w:t xml:space="preserve"> Further, long customer support wait times add to an already unsatisfying customer experience. This emphasizes the need for more straightforward and transparent banking solutions.</w:t>
      </w:r>
    </w:p>
    <w:p>
      <w:pPr>
        <w:spacing w:after="0" w:line="231" w:lineRule="exact"/>
        <w:rPr>
          <w:sz w:val="20"/>
          <w:szCs w:val="20"/>
          <w:color w:val="auto"/>
        </w:rPr>
      </w:pPr>
    </w:p>
    <w:p>
      <w:pPr>
        <w:ind w:left="326" w:hanging="326"/>
        <w:spacing w:after="0"/>
        <w:tabs>
          <w:tab w:leader="none" w:pos="326"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S&amp;P Capital IQ Pro. Based on 2023 submissions from banking institutions to the Federal Financial Institutions Examination Council (FFIEC).</w:t>
      </w:r>
    </w:p>
    <w:p>
      <w:pPr>
        <w:ind w:left="326" w:hanging="326"/>
        <w:spacing w:after="0"/>
        <w:tabs>
          <w:tab w:leader="none" w:pos="326" w:val="left"/>
        </w:tabs>
        <w:numPr>
          <w:ilvl w:val="0"/>
          <w:numId w:val="1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FS Vector Report; see the section titled “Industry, Market, and Other Data.”</w:t>
      </w:r>
    </w:p>
    <w:p>
      <w:pPr>
        <w:spacing w:after="0" w:line="11" w:lineRule="exact"/>
        <w:rPr>
          <w:rFonts w:ascii="Times New Roman" w:cs="Times New Roman" w:eastAsia="Times New Roman" w:hAnsi="Times New Roman"/>
          <w:sz w:val="9"/>
          <w:szCs w:val="9"/>
          <w:color w:val="auto"/>
        </w:rPr>
      </w:pPr>
    </w:p>
    <w:p>
      <w:pPr>
        <w:jc w:val="both"/>
        <w:ind w:left="326" w:right="440" w:hanging="326"/>
        <w:spacing w:after="0" w:line="261" w:lineRule="auto"/>
        <w:tabs>
          <w:tab w:leader="none" w:pos="329" w:val="left"/>
        </w:tabs>
        <w:numPr>
          <w:ilvl w:val="0"/>
          <w:numId w:val="1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Comparing average cost-to-serve for 2023 (in each case, excluding marketing costs) for the three largest banks by U.S. deposit volume (Bank of America, J.P. Morgan Chase, and Wells Fargo) and for a group of medium-sized and regional banks (BMO, KeyBank, PNC Bank, TD Bank, and U.S. Bank), in each case as estimated by FS Vector Report, to Chime’s average cost-to-serve for 2024; see the section titled “Industry, Market, and Other Data.”</w:t>
      </w:r>
    </w:p>
    <w:p>
      <w:pPr>
        <w:spacing w:after="0" w:line="1" w:lineRule="exact"/>
        <w:rPr>
          <w:rFonts w:ascii="Times New Roman" w:cs="Times New Roman" w:eastAsia="Times New Roman" w:hAnsi="Times New Roman"/>
          <w:sz w:val="9"/>
          <w:szCs w:val="9"/>
          <w:color w:val="auto"/>
        </w:rPr>
      </w:pPr>
    </w:p>
    <w:p>
      <w:pPr>
        <w:ind w:left="326" w:right="200" w:hanging="326"/>
        <w:spacing w:after="0" w:line="213" w:lineRule="auto"/>
        <w:tabs>
          <w:tab w:leader="none" w:pos="352"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95% of banking fees in the United States in 2023 were paid by households earning up to $175,000, a close proxy for American individuals earning up to $100,000 annually, as estimated by FS Vector Report; see the section titled “Industry, Market, and Other Data.”</w:t>
      </w:r>
    </w:p>
    <w:p>
      <w:pPr>
        <w:ind w:left="326" w:hanging="326"/>
        <w:spacing w:after="0" w:line="283" w:lineRule="auto"/>
        <w:tabs>
          <w:tab w:leader="none" w:pos="329" w:val="left"/>
        </w:tabs>
        <w:numPr>
          <w:ilvl w:val="0"/>
          <w:numId w:val="1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Among households charged an overdraft fee in 2023, 43% reported being surprised by their most recent fee, 35% thought it was possible, and only 22% anticipated it. FS Vector Report; see the section titled “Industry, Market, and Other Data.”</w:t>
      </w:r>
    </w:p>
    <w:p>
      <w:pPr>
        <w:sectPr>
          <w:pgSz w:w="11900" w:h="16838" w:orient="portrait"/>
          <w:cols w:equalWidth="0" w:num="1">
            <w:col w:w="9906"/>
          </w:cols>
          <w:pgMar w:left="994" w:top="124"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9906"/>
          </w:cols>
          <w:pgMar w:left="994" w:top="124" w:right="999" w:bottom="1440" w:gutter="0" w:footer="0" w:header="0"/>
          <w:type w:val="continuous"/>
        </w:sectPr>
      </w:pPr>
    </w:p>
    <w:bookmarkStart w:id="20" w:name="page21"/>
    <w:bookmarkEnd w:id="20"/>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684530</wp:posOffset>
            </wp:positionV>
            <wp:extent cx="7136130" cy="7410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7410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46" w:hanging="322"/>
        <w:spacing w:after="0" w:line="235" w:lineRule="auto"/>
        <w:tabs>
          <w:tab w:leader="none" w:pos="64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Unmet needs across liquidity, building credit, and savings. </w:t>
      </w:r>
      <w:r>
        <w:rPr>
          <w:rFonts w:ascii="Times New Roman" w:cs="Times New Roman" w:eastAsia="Times New Roman" w:hAnsi="Times New Roman"/>
          <w:sz w:val="18"/>
          <w:szCs w:val="18"/>
          <w:color w:val="auto"/>
        </w:rPr>
        <w:t>Traditional banks impose stringent lending criteria that often put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liquidity solutions out of reach — especially for the over 45 million Americans lacking sufficient credit history or experience with traditional credit products.</w:t>
      </w:r>
      <w:r>
        <w:rPr>
          <w:rFonts w:ascii="Times New Roman" w:cs="Times New Roman" w:eastAsia="Times New Roman" w:hAnsi="Times New Roman"/>
          <w:sz w:val="23"/>
          <w:szCs w:val="23"/>
          <w:color w:val="auto"/>
          <w:vertAlign w:val="superscript"/>
        </w:rPr>
        <w:t>31</w:t>
      </w:r>
      <w:r>
        <w:rPr>
          <w:rFonts w:ascii="Times New Roman" w:cs="Times New Roman" w:eastAsia="Times New Roman" w:hAnsi="Times New Roman"/>
          <w:sz w:val="18"/>
          <w:szCs w:val="18"/>
          <w:color w:val="auto"/>
        </w:rPr>
        <w:t xml:space="preserve"> This too often leads everyday Americans to rely on expensive overdrafts or other high-cost credit products, or forego important expenses altogether. The incumbent banks often fail to provide customer-friendly options to help build credit, as secured credit cards typically require security deposits in the hundreds of dollars. </w:t>
      </w:r>
      <w:r>
        <w:rPr>
          <w:rFonts w:ascii="Times New Roman" w:cs="Times New Roman" w:eastAsia="Times New Roman" w:hAnsi="Times New Roman"/>
          <w:sz w:val="18"/>
          <w:szCs w:val="18"/>
          <w:color w:val="auto"/>
          <w:highlight w:val="white"/>
        </w:rPr>
        <w:t>Seventy-nine percent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Americans say they are trying to improve their credit according to a 2023 survey.</w:t>
      </w:r>
      <w:r>
        <w:rPr>
          <w:rFonts w:ascii="Times New Roman" w:cs="Times New Roman" w:eastAsia="Times New Roman" w:hAnsi="Times New Roman"/>
          <w:sz w:val="23"/>
          <w:szCs w:val="23"/>
          <w:color w:val="auto"/>
          <w:highlight w:val="white"/>
          <w:vertAlign w:val="superscript"/>
        </w:rPr>
        <w:t>32</w:t>
      </w:r>
      <w:r>
        <w:rPr>
          <w:rFonts w:ascii="Times New Roman" w:cs="Times New Roman" w:eastAsia="Times New Roman" w:hAnsi="Times New Roman"/>
          <w:sz w:val="1"/>
          <w:szCs w:val="1"/>
          <w:color w:val="auto"/>
        </w:rPr>
        <w:drawing>
          <wp:inline distT="0" distB="0" distL="0" distR="0">
            <wp:extent cx="2603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035" cy="128905"/>
                    </a:xfrm>
                    <a:prstGeom prst="rect">
                      <a:avLst/>
                    </a:prstGeom>
                    <a:noFill/>
                    <a:ln>
                      <a:noFill/>
                    </a:ln>
                  </pic:spPr>
                </pic:pic>
              </a:graphicData>
            </a:graphic>
          </wp:inline>
        </w:drawing>
      </w:r>
      <w:r>
        <w:rPr>
          <w:rFonts w:ascii="Times New Roman" w:cs="Times New Roman" w:eastAsia="Times New Roman" w:hAnsi="Times New Roman"/>
          <w:sz w:val="18"/>
          <w:szCs w:val="18"/>
          <w:color w:val="auto"/>
        </w:rPr>
        <w:t>Moreover, traditional banks can impose strict requirements such as minimum balance thresholds that limit access to low-fee checking and high yield savings options.</w:t>
      </w:r>
    </w:p>
    <w:p>
      <w:pPr>
        <w:spacing w:after="0" w:line="14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WELCOME TO CHIME</w:t>
      </w:r>
    </w:p>
    <w:p>
      <w:pPr>
        <w:spacing w:after="0" w:line="175" w:lineRule="exact"/>
        <w:rPr>
          <w:sz w:val="20"/>
          <w:szCs w:val="20"/>
          <w:color w:val="auto"/>
        </w:rPr>
      </w:pPr>
    </w:p>
    <w:p>
      <w:pPr>
        <w:ind w:left="6" w:right="180" w:firstLine="324"/>
        <w:spacing w:after="0" w:line="266" w:lineRule="auto"/>
        <w:rPr>
          <w:sz w:val="20"/>
          <w:szCs w:val="20"/>
          <w:color w:val="auto"/>
        </w:rPr>
      </w:pPr>
      <w:r>
        <w:rPr>
          <w:rFonts w:ascii="Times New Roman" w:cs="Times New Roman" w:eastAsia="Times New Roman" w:hAnsi="Times New Roman"/>
          <w:sz w:val="18"/>
          <w:szCs w:val="18"/>
          <w:color w:val="auto"/>
        </w:rPr>
        <w:t>At Chime, we are driven by our mission to unite everyday people to unlock their financial progress. In an industry riddled with punitive fees, we have pioneered a business model that succeeds when we earn and maintain our members’ trust. This alignment keeps us authentically focused on developing affordable, easy-to-use products that address our members’ most critical financial needs.</w:t>
      </w:r>
    </w:p>
    <w:p>
      <w:pPr>
        <w:spacing w:after="0" w:line="11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We Solve for Critical Member Needs</w:t>
      </w:r>
    </w:p>
    <w:p>
      <w:pPr>
        <w:spacing w:after="0" w:line="175" w:lineRule="exact"/>
        <w:rPr>
          <w:sz w:val="20"/>
          <w:szCs w:val="20"/>
          <w:color w:val="auto"/>
        </w:rPr>
      </w:pPr>
    </w:p>
    <w:p>
      <w:pPr>
        <w:ind w:left="6" w:right="240" w:firstLine="324"/>
        <w:spacing w:after="0" w:line="282" w:lineRule="auto"/>
        <w:rPr>
          <w:sz w:val="20"/>
          <w:szCs w:val="20"/>
          <w:color w:val="auto"/>
        </w:rPr>
      </w:pPr>
      <w:r>
        <w:rPr>
          <w:rFonts w:ascii="Times New Roman" w:cs="Times New Roman" w:eastAsia="Times New Roman" w:hAnsi="Times New Roman"/>
          <w:sz w:val="18"/>
          <w:szCs w:val="18"/>
          <w:color w:val="auto"/>
        </w:rPr>
        <w:t>We offer everyday Americans access to a broad range of free or low-cost, innovative products, with banking services provided by our FDIC-insured bank partners. Our products positively impact our members’ lives across:</w:t>
      </w:r>
    </w:p>
    <w:p>
      <w:pPr>
        <w:spacing w:after="0" w:line="104" w:lineRule="exact"/>
        <w:rPr>
          <w:sz w:val="20"/>
          <w:szCs w:val="20"/>
          <w:color w:val="auto"/>
        </w:rPr>
      </w:pPr>
    </w:p>
    <w:p>
      <w:pPr>
        <w:ind w:left="6" w:right="60" w:firstLine="324"/>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Spending. </w:t>
      </w:r>
      <w:r>
        <w:rPr>
          <w:rFonts w:ascii="Times New Roman" w:cs="Times New Roman" w:eastAsia="Times New Roman" w:hAnsi="Times New Roman"/>
          <w:sz w:val="18"/>
          <w:szCs w:val="18"/>
          <w:color w:val="auto"/>
        </w:rPr>
        <w:t>Through our platform, our members access FDIC-insured checking accounts and linked debit cards, secured credit cards,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other mobile banking features that allow them to confidently manage their money and pay for their everyday expenses. Ninety percent of our members say that Chime helped them avoid bank fees.</w:t>
      </w:r>
      <w:r>
        <w:rPr>
          <w:rFonts w:ascii="Times New Roman" w:cs="Times New Roman" w:eastAsia="Times New Roman" w:hAnsi="Times New Roman"/>
          <w:sz w:val="23"/>
          <w:szCs w:val="23"/>
          <w:color w:val="auto"/>
          <w:vertAlign w:val="superscript"/>
        </w:rPr>
        <w:t>33</w:t>
      </w:r>
      <w:r>
        <w:rPr>
          <w:rFonts w:ascii="Times New Roman" w:cs="Times New Roman" w:eastAsia="Times New Roman" w:hAnsi="Times New Roman"/>
          <w:sz w:val="18"/>
          <w:szCs w:val="18"/>
          <w:color w:val="auto"/>
        </w:rPr>
        <w:t xml:space="preserve"> With Get Paid Early, members that direct deposit through Chime can access their paycheck up to two days early for free.</w:t>
      </w:r>
    </w:p>
    <w:p>
      <w:pPr>
        <w:spacing w:after="0" w:line="141" w:lineRule="exact"/>
        <w:rPr>
          <w:sz w:val="20"/>
          <w:szCs w:val="20"/>
          <w:color w:val="auto"/>
        </w:rPr>
      </w:pPr>
    </w:p>
    <w:p>
      <w:pPr>
        <w:ind w:left="6" w:right="10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Liquidity. </w:t>
      </w:r>
      <w:r>
        <w:rPr>
          <w:rFonts w:ascii="Times New Roman" w:cs="Times New Roman" w:eastAsia="Times New Roman" w:hAnsi="Times New Roman"/>
          <w:sz w:val="18"/>
          <w:szCs w:val="18"/>
          <w:color w:val="auto"/>
        </w:rPr>
        <w:t>The liquidity products offered through our platform are designed to provide our eligible members access to short-term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liquidity when they need it most for free or at a low cost. These products include SpotMe, which we believe was the industry’s first fee-free overdraft protection product of its kind, and MyPay, which allows our members to access up to $500 of their pay on demand before payday. As of December 31, 2024, our members have accessed over $38.7 billion through SpotMe since its full product launch in 2019, and over $5.3 billion through MyPay since its full product launch in July 2024.</w:t>
      </w:r>
    </w:p>
    <w:p>
      <w:pPr>
        <w:spacing w:after="0" w:line="125" w:lineRule="exact"/>
        <w:rPr>
          <w:sz w:val="20"/>
          <w:szCs w:val="20"/>
          <w:color w:val="auto"/>
        </w:rPr>
      </w:pPr>
    </w:p>
    <w:p>
      <w:pPr>
        <w:ind w:left="6" w:firstLine="324"/>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Credit Building. </w:t>
      </w:r>
      <w:r>
        <w:rPr>
          <w:rFonts w:ascii="Times New Roman" w:cs="Times New Roman" w:eastAsia="Times New Roman" w:hAnsi="Times New Roman"/>
          <w:sz w:val="18"/>
          <w:szCs w:val="18"/>
          <w:color w:val="auto"/>
        </w:rPr>
        <w:t>Credit Builder secured credit cards help our members build credit safely, without the risk of taking on debt. Unlike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unsecured credit cards and many other secured credit cards, Credit Builder secured credit cards have no annual fees or late fees, no interest charges on missed payments, no minimum security deposits, and no application fees. We believe when we launched Credit Builder in 2020, it was the first secured credit card of its kind in our industry </w:t>
      </w:r>
      <w:r>
        <w:rPr>
          <w:rFonts w:ascii="Times New Roman" w:cs="Times New Roman" w:eastAsia="Times New Roman" w:hAnsi="Times New Roman"/>
          <w:sz w:val="18"/>
          <w:szCs w:val="18"/>
          <w:color w:val="auto"/>
          <w:highlight w:val="white"/>
        </w:rPr>
        <w:t>without such fees, interest charges, or minimum security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deposit requirements. Seventy-nine percent of Americans say they are trying to improve their credit according to a 2023 survey.</w:t>
      </w:r>
      <w:r>
        <w:rPr>
          <w:rFonts w:ascii="Times New Roman" w:cs="Times New Roman" w:eastAsia="Times New Roman" w:hAnsi="Times New Roman"/>
          <w:sz w:val="23"/>
          <w:szCs w:val="23"/>
          <w:color w:val="auto"/>
          <w:highlight w:val="white"/>
          <w:vertAlign w:val="superscript"/>
        </w:rPr>
        <w:t>34</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color w:val="auto"/>
          <w:highlight w:val="white"/>
        </w:rPr>
        <w:t xml:space="preserve"> third-party study found that members using Credit Builder saw an average FICO score increase of 30 points within the first six months of use.</w:t>
      </w:r>
      <w:r>
        <w:rPr>
          <w:rFonts w:ascii="Times New Roman" w:cs="Times New Roman" w:eastAsia="Times New Roman" w:hAnsi="Times New Roman"/>
          <w:sz w:val="23"/>
          <w:szCs w:val="23"/>
          <w:color w:val="auto"/>
          <w:highlight w:val="white"/>
          <w:vertAlign w:val="superscript"/>
        </w:rPr>
        <w:t>35</w:t>
      </w:r>
    </w:p>
    <w:p>
      <w:pPr>
        <w:spacing w:after="0" w:line="51" w:lineRule="exact"/>
        <w:rPr>
          <w:sz w:val="20"/>
          <w:szCs w:val="20"/>
          <w:color w:val="auto"/>
        </w:rPr>
      </w:pPr>
    </w:p>
    <w:p>
      <w:pPr>
        <w:ind w:left="6"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Savings and Perks. </w:t>
      </w:r>
      <w:r>
        <w:rPr>
          <w:rFonts w:ascii="Times New Roman" w:cs="Times New Roman" w:eastAsia="Times New Roman" w:hAnsi="Times New Roman"/>
          <w:sz w:val="18"/>
          <w:szCs w:val="18"/>
          <w:color w:val="auto"/>
        </w:rPr>
        <w:t>Through our platform, our members access FDIC-insured high yield savings accounts that help our members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effortlessly grow their savings with attractive rates and automatic features such as Round Ups and Save When I Get Paid. These products have no minimum balances, no monthly fees, and no maximums on earned interest. We also offer exclusive deals to help our members save on food and groceries, gas, utilities, and more.</w:t>
      </w:r>
    </w:p>
    <w:p>
      <w:pPr>
        <w:spacing w:after="0" w:line="257" w:lineRule="exact"/>
        <w:rPr>
          <w:sz w:val="20"/>
          <w:szCs w:val="20"/>
          <w:color w:val="auto"/>
        </w:rPr>
      </w:pPr>
    </w:p>
    <w:p>
      <w:pPr>
        <w:ind w:left="326" w:right="260" w:hanging="326"/>
        <w:spacing w:after="0" w:line="221" w:lineRule="auto"/>
        <w:tabs>
          <w:tab w:leader="none" w:pos="329" w:val="left"/>
        </w:tabs>
        <w:numPr>
          <w:ilvl w:val="0"/>
          <w:numId w:val="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TransUnion, More than 45 Million Americans are Either Credit Unserved or Underserved; Approximately 20% Migrate to Being Credit Active Every Two Years, April 2022.</w:t>
      </w:r>
    </w:p>
    <w:p>
      <w:pPr>
        <w:ind w:left="326" w:hanging="326"/>
        <w:spacing w:after="0" w:line="261" w:lineRule="auto"/>
        <w:tabs>
          <w:tab w:leader="none" w:pos="329" w:val="left"/>
        </w:tabs>
        <w:numPr>
          <w:ilvl w:val="0"/>
          <w:numId w:val="1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Based on survey data published in November 2023. NerdWallet, Survey: 4 in 5 Americans Are Trying to Improve Their Credit, November 2023. See the section titled “Industry, Market, and Other Data.”</w:t>
      </w:r>
    </w:p>
    <w:p>
      <w:pPr>
        <w:ind w:left="306" w:hanging="306"/>
        <w:spacing w:after="0" w:line="192" w:lineRule="auto"/>
        <w:tabs>
          <w:tab w:leader="none" w:pos="306" w:val="left"/>
        </w:tabs>
        <w:numPr>
          <w:ilvl w:val="0"/>
          <w:numId w:val="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Chime Financial Progress Survey; see the section titled “Industry, Market, and Other Data.”</w:t>
      </w:r>
    </w:p>
    <w:p>
      <w:pPr>
        <w:spacing w:after="0" w:line="3" w:lineRule="exact"/>
        <w:rPr>
          <w:rFonts w:ascii="Times New Roman" w:cs="Times New Roman" w:eastAsia="Times New Roman" w:hAnsi="Times New Roman"/>
          <w:sz w:val="19"/>
          <w:szCs w:val="19"/>
          <w:color w:val="auto"/>
          <w:vertAlign w:val="superscript"/>
        </w:rPr>
      </w:pPr>
    </w:p>
    <w:p>
      <w:pPr>
        <w:ind w:left="326" w:hanging="326"/>
        <w:spacing w:after="0" w:line="211" w:lineRule="auto"/>
        <w:tabs>
          <w:tab w:leader="none" w:pos="311" w:val="left"/>
        </w:tabs>
        <w:numPr>
          <w:ilvl w:val="0"/>
          <w:numId w:val="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Based on survey data published in November 2023. NerdWallet, Survey: 4 in 5 Americans Are Trying to Improve Their Credit, November 2023. See the section titled “Industry, Market, and Other Data.”</w:t>
      </w:r>
    </w:p>
    <w:p>
      <w:pPr>
        <w:jc w:val="both"/>
        <w:ind w:left="326" w:right="300" w:hanging="326"/>
        <w:spacing w:after="0" w:line="272" w:lineRule="auto"/>
        <w:tabs>
          <w:tab w:leader="none" w:pos="311" w:val="left"/>
        </w:tabs>
        <w:numPr>
          <w:ilvl w:val="0"/>
          <w:numId w:val="1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Based on a Chime commissioned study conducted by Experian in January 2024 measuring FICO Score 8 improvements of Chime members who made their first purchase with the Chime Credit Builder secured credit card between June and October 2022 (the “Experian Study”). See the section titled “Industry, Market, and Other Data.”</w:t>
      </w:r>
    </w:p>
    <w:p>
      <w:pPr>
        <w:sectPr>
          <w:pgSz w:w="11900" w:h="16838" w:orient="portrait"/>
          <w:cols w:equalWidth="0" w:num="1">
            <w:col w:w="9886"/>
          </w:cols>
          <w:pgMar w:left="994" w:top="124"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9886"/>
          </w:cols>
          <w:pgMar w:left="994" w:top="124" w:right="1019" w:bottom="1440" w:gutter="0" w:footer="0" w:header="0"/>
          <w:type w:val="continuous"/>
        </w:sectPr>
      </w:pPr>
    </w:p>
    <w:bookmarkStart w:id="21" w:name="page22"/>
    <w:bookmarkEnd w:id="21"/>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684530</wp:posOffset>
            </wp:positionV>
            <wp:extent cx="7136130" cy="65449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130" cy="6544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Community. </w:t>
      </w:r>
      <w:r>
        <w:rPr>
          <w:rFonts w:ascii="Times New Roman" w:cs="Times New Roman" w:eastAsia="Times New Roman" w:hAnsi="Times New Roman"/>
          <w:sz w:val="18"/>
          <w:szCs w:val="18"/>
          <w:color w:val="auto"/>
        </w:rPr>
        <w:t>We know that financial progress is often not achieved solely in isolation, but also with the support of others. We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built Chime to be a community, where our members’ experiences improve when family, friends, and co-workers join our platform. Community-focused products include SpotMe Boost, which allows members to temporarily increase SpotMe overdraft limits of other members, and Pay Anyone, a peer-to-peer payments product which lets our members send money instantly to others, including to those without a Chime account. Community also strengthens our business: as our members have expanded their community networks on Chime, we see that their engagement and ARPAM has grown. More than 80% of our Active Members had a community connection on Chime as of December 31, 2024.</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Make It Easy</w:t>
      </w:r>
    </w:p>
    <w:p>
      <w:pPr>
        <w:spacing w:after="0" w:line="175"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At Chime, we believe in the adage that “retail is detail.” Our employees, known as Chimers, sweat the details of all aspects of our member experience to make Chime:</w:t>
      </w:r>
    </w:p>
    <w:p>
      <w:pPr>
        <w:spacing w:after="0" w:line="104" w:lineRule="exact"/>
        <w:rPr>
          <w:sz w:val="20"/>
          <w:szCs w:val="20"/>
          <w:color w:val="auto"/>
        </w:rPr>
      </w:pPr>
    </w:p>
    <w:p>
      <w:pPr>
        <w:ind w:right="8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Convenient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Convenience begins with our enrollment process, through which new members can create an account in as little as two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minutes. All of our products are conveniently available through our mobile application, allowing members to avoid in-person branch visits.</w:t>
      </w:r>
    </w:p>
    <w:p>
      <w:pPr>
        <w:spacing w:after="0" w:line="117" w:lineRule="exact"/>
        <w:rPr>
          <w:sz w:val="20"/>
          <w:szCs w:val="20"/>
          <w:color w:val="auto"/>
        </w:rPr>
      </w:pPr>
    </w:p>
    <w:p>
      <w:pPr>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Transparent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build trust with our members, in part, through our transparent pricing and product features. The Chime app and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tailored push notifications provide members with clear visibility into their balances and transaction activity, helping members stay connected and avoid surprises.</w:t>
      </w:r>
    </w:p>
    <w:p>
      <w:pPr>
        <w:spacing w:after="0" w:line="117" w:lineRule="exact"/>
        <w:rPr>
          <w:sz w:val="20"/>
          <w:szCs w:val="20"/>
          <w:color w:val="auto"/>
        </w:rPr>
      </w:pPr>
    </w:p>
    <w:p>
      <w:pPr>
        <w:ind w:right="2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Personalized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focus on individualizing the member experience, starting with personalized onboarding journeys when new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members join Chime. Our members’ deep and habitual engagement with Chime generates rich, first-party data, including member income, spending, transaction, social graph, and other engagement data. We leverage this data to deliver deeply personalized experiences to our members, such as individually tailored limits for liquidity products, personalized local rewards, and targeted referral incentives. We also use data to predict our members’ questions and provide proactive fraud and risk alerts before they reach out to us.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Believe in Free</w:t>
      </w:r>
    </w:p>
    <w:p>
      <w:pPr>
        <w:spacing w:after="0" w:line="17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a category dominated by high-cost providers for the segment we serve, Chime is doing something different than traditional banks: making banking free or low-cost for everyday Americans. We offer our members free access to checking accounts, Chime-branded debit and credit cards, SpotMe, MyPay, and high yield savings accounts. We also offer access to over 50,000 fee-free ATMs. We do not charge overdraft fees with SpotMe or non-sufficient funds fees, do not charge monthly maintenance fees, and do not require minimum security deposits for Credit Builder. For those seeking extra convenience, such as instant access to earned pay through MyPay or out-of-network ATMs, Chime offers a low-fee option that a member may choose to utilize.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Differentiated Approach Creates an Attractive Business Model for Serving Everyday Americans</w:t>
      </w:r>
    </w:p>
    <w:p>
      <w:pPr>
        <w:spacing w:after="0" w:line="175" w:lineRule="exact"/>
        <w:rPr>
          <w:sz w:val="20"/>
          <w:szCs w:val="20"/>
          <w:color w:val="auto"/>
        </w:rPr>
      </w:pPr>
    </w:p>
    <w:p>
      <w:pPr>
        <w:ind w:right="180" w:firstLine="324"/>
        <w:spacing w:after="0" w:line="312" w:lineRule="auto"/>
        <w:rPr>
          <w:sz w:val="20"/>
          <w:szCs w:val="20"/>
          <w:color w:val="auto"/>
        </w:rPr>
      </w:pPr>
      <w:r>
        <w:rPr>
          <w:rFonts w:ascii="Times New Roman" w:cs="Times New Roman" w:eastAsia="Times New Roman" w:hAnsi="Times New Roman"/>
          <w:sz w:val="17"/>
          <w:szCs w:val="17"/>
          <w:color w:val="auto"/>
        </w:rPr>
        <w:t>We have taken a fundamentally different approach than traditional banks. Built on our proprietary technology platform, our operating model is low-cost and powered by a payments-driven revenue model focused on profiting with our members, not from them.</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Low-Cost Operating Model</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have developed a low-cost operating model that allows us to serve everyday Americans at a significant cost advantage compared to traditional banks. The average annual cost-to-serve a retail deposit customer is estimated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9880"/>
          </w:cols>
          <w:pgMar w:left="1000" w:top="124" w:right="1019" w:bottom="1440" w:gutter="0" w:footer="0" w:header="0"/>
        </w:sectPr>
      </w:pPr>
    </w:p>
    <w:bookmarkStart w:id="22" w:name="page23"/>
    <w:bookmarkEnd w:id="22"/>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684530</wp:posOffset>
            </wp:positionV>
            <wp:extent cx="7136130" cy="71875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130" cy="7187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 w:right="180"/>
        <w:spacing w:after="0" w:line="295" w:lineRule="auto"/>
        <w:rPr>
          <w:sz w:val="20"/>
          <w:szCs w:val="20"/>
          <w:color w:val="auto"/>
        </w:rPr>
      </w:pPr>
      <w:r>
        <w:rPr>
          <w:rFonts w:ascii="Times New Roman" w:cs="Times New Roman" w:eastAsia="Times New Roman" w:hAnsi="Times New Roman"/>
          <w:sz w:val="18"/>
          <w:szCs w:val="18"/>
          <w:color w:val="auto"/>
        </w:rPr>
        <w:t>be approximately three times higher for the three largest incumbent banks and five times higher for mid-sized and regional banks when compared to Chime.</w:t>
      </w:r>
      <w:r>
        <w:rPr>
          <w:rFonts w:ascii="Times New Roman" w:cs="Times New Roman" w:eastAsia="Times New Roman" w:hAnsi="Times New Roman"/>
          <w:sz w:val="23"/>
          <w:szCs w:val="23"/>
          <w:color w:val="auto"/>
          <w:vertAlign w:val="superscript"/>
        </w:rPr>
        <w:t>36</w:t>
      </w:r>
      <w:r>
        <w:rPr>
          <w:rFonts w:ascii="Times New Roman" w:cs="Times New Roman" w:eastAsia="Times New Roman" w:hAnsi="Times New Roman"/>
          <w:sz w:val="18"/>
          <w:szCs w:val="18"/>
          <w:color w:val="auto"/>
        </w:rPr>
        <w:t xml:space="preserve"> Our low-cost operating model is centered on our:</w:t>
      </w:r>
    </w:p>
    <w:p>
      <w:pPr>
        <w:spacing w:after="0" w:line="10" w:lineRule="exact"/>
        <w:rPr>
          <w:sz w:val="20"/>
          <w:szCs w:val="20"/>
          <w:color w:val="auto"/>
        </w:rPr>
      </w:pPr>
    </w:p>
    <w:p>
      <w:pPr>
        <w:ind w:left="646" w:right="400" w:hanging="322"/>
        <w:spacing w:after="0" w:line="286" w:lineRule="auto"/>
        <w:tabs>
          <w:tab w:leader="none" w:pos="64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Digital-First Partnership Strategy. </w:t>
      </w:r>
      <w:r>
        <w:rPr>
          <w:rFonts w:ascii="Times New Roman" w:cs="Times New Roman" w:eastAsia="Times New Roman" w:hAnsi="Times New Roman"/>
          <w:sz w:val="18"/>
          <w:szCs w:val="18"/>
          <w:color w:val="auto"/>
        </w:rPr>
        <w:t>Our digital-first approach allows us to remain asset-light, avoiding physical branch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ATM infrastructure, and significantly drive down costs.</w:t>
      </w:r>
    </w:p>
    <w:p>
      <w:pPr>
        <w:spacing w:after="0" w:line="102" w:lineRule="exact"/>
        <w:rPr>
          <w:rFonts w:ascii="Times New Roman" w:cs="Times New Roman" w:eastAsia="Times New Roman" w:hAnsi="Times New Roman"/>
          <w:sz w:val="18"/>
          <w:szCs w:val="18"/>
          <w:color w:val="auto"/>
        </w:rPr>
      </w:pPr>
    </w:p>
    <w:p>
      <w:pPr>
        <w:ind w:left="966" w:right="80" w:hanging="318"/>
        <w:spacing w:after="0" w:line="267" w:lineRule="auto"/>
        <w:tabs>
          <w:tab w:leader="none" w:pos="96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Bank Partnerships. </w:t>
      </w:r>
      <w:r>
        <w:rPr>
          <w:rFonts w:ascii="Times New Roman" w:cs="Times New Roman" w:eastAsia="Times New Roman" w:hAnsi="Times New Roman"/>
          <w:sz w:val="18"/>
          <w:szCs w:val="18"/>
          <w:color w:val="auto"/>
        </w:rPr>
        <w:t>We partner with The Bancorp Bank, N.A. (“Bancorp”) and Stride Bank, N.A. (“Stride”), FDIC-insured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community banks, to provide banking services through our mobile platform, including checking and high yield savings accounts, debit and credit cards, and liquidity products.</w:t>
      </w:r>
    </w:p>
    <w:p>
      <w:pPr>
        <w:spacing w:after="0" w:line="117" w:lineRule="exact"/>
        <w:rPr>
          <w:rFonts w:ascii="Times New Roman" w:cs="Times New Roman" w:eastAsia="Times New Roman" w:hAnsi="Times New Roman"/>
          <w:sz w:val="18"/>
          <w:szCs w:val="18"/>
          <w:color w:val="auto"/>
        </w:rPr>
      </w:pPr>
    </w:p>
    <w:p>
      <w:pPr>
        <w:ind w:left="646" w:hanging="322"/>
        <w:spacing w:after="0" w:line="242" w:lineRule="auto"/>
        <w:tabs>
          <w:tab w:leader="none" w:pos="64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Vertically-Integrated Technology Platform. </w:t>
      </w:r>
      <w:r>
        <w:rPr>
          <w:rFonts w:ascii="Times New Roman" w:cs="Times New Roman" w:eastAsia="Times New Roman" w:hAnsi="Times New Roman"/>
          <w:sz w:val="18"/>
          <w:szCs w:val="18"/>
          <w:color w:val="auto"/>
        </w:rPr>
        <w:t>Our proprietary, cloud-native technology platform is a key component of our low-cost operating model. This technology platform includes ChimeCore, our proprietary payment processor and ledger which today handles a portion of our member transactions, and also includes our data and AI platforms. Our data streaming platform captures and processes real-time data with sub-second latency, handling approximately 50 billion events per month.</w:t>
      </w:r>
      <w:r>
        <w:rPr>
          <w:rFonts w:ascii="Times New Roman" w:cs="Times New Roman" w:eastAsia="Times New Roman" w:hAnsi="Times New Roman"/>
          <w:sz w:val="23"/>
          <w:szCs w:val="23"/>
          <w:color w:val="auto"/>
          <w:vertAlign w:val="superscript"/>
        </w:rPr>
        <w:t>37</w:t>
      </w:r>
      <w:r>
        <w:rPr>
          <w:rFonts w:ascii="Times New Roman" w:cs="Times New Roman" w:eastAsia="Times New Roman" w:hAnsi="Times New Roman"/>
          <w:sz w:val="18"/>
          <w:szCs w:val="18"/>
          <w:color w:val="auto"/>
        </w:rPr>
        <w:t xml:space="preserve"> By building our technology platform in-house, we can reduce spend on maintenance and expensive legacy vendors.</w:t>
      </w:r>
    </w:p>
    <w:p>
      <w:pPr>
        <w:spacing w:after="0" w:line="140" w:lineRule="exact"/>
        <w:rPr>
          <w:rFonts w:ascii="Times New Roman" w:cs="Times New Roman" w:eastAsia="Times New Roman" w:hAnsi="Times New Roman"/>
          <w:sz w:val="18"/>
          <w:szCs w:val="18"/>
          <w:color w:val="auto"/>
        </w:rPr>
      </w:pPr>
    </w:p>
    <w:p>
      <w:pPr>
        <w:ind w:left="646" w:right="120" w:hanging="322"/>
        <w:spacing w:after="0" w:line="268" w:lineRule="auto"/>
        <w:tabs>
          <w:tab w:leader="none" w:pos="64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Operational Excellence Enhanced by AI. </w:t>
      </w:r>
      <w:r>
        <w:rPr>
          <w:rFonts w:ascii="Times New Roman" w:cs="Times New Roman" w:eastAsia="Times New Roman" w:hAnsi="Times New Roman"/>
          <w:sz w:val="18"/>
          <w:szCs w:val="18"/>
          <w:color w:val="auto"/>
        </w:rPr>
        <w:t>Built on over a decade of iteration, we have developed operational excellence in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risk management and member support capabilities. As a result, we have been able to maintain low loss rates and deliver efficient member support, while improving member service satisfaction levels.</w:t>
      </w:r>
    </w:p>
    <w:p>
      <w:pPr>
        <w:spacing w:after="0" w:line="105" w:lineRule="exact"/>
        <w:rPr>
          <w:rFonts w:ascii="Times New Roman" w:cs="Times New Roman" w:eastAsia="Times New Roman" w:hAnsi="Times New Roman"/>
          <w:sz w:val="18"/>
          <w:szCs w:val="18"/>
          <w:color w:val="auto"/>
        </w:rPr>
      </w:pPr>
    </w:p>
    <w:p>
      <w:pPr>
        <w:ind w:left="966" w:right="100" w:hanging="318"/>
        <w:spacing w:after="0" w:line="251" w:lineRule="auto"/>
        <w:tabs>
          <w:tab w:leader="none" w:pos="96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Effective Risk Management. </w:t>
      </w:r>
      <w:r>
        <w:rPr>
          <w:rFonts w:ascii="Times New Roman" w:cs="Times New Roman" w:eastAsia="Times New Roman" w:hAnsi="Times New Roman"/>
          <w:sz w:val="18"/>
          <w:szCs w:val="18"/>
          <w:color w:val="auto"/>
        </w:rPr>
        <w:t>We have built an in-house risk decisioning platform that leverages rich, first-party data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effectively manage fraud risk, credit risk, and financial crimes. Our proprietary AI and ML models have helped reduce our fraud loss rates, which declined by 31% between the years ended December 31, 2022 and 2024.</w:t>
      </w:r>
    </w:p>
    <w:p>
      <w:pPr>
        <w:spacing w:after="0" w:line="133" w:lineRule="exact"/>
        <w:rPr>
          <w:rFonts w:ascii="Times New Roman" w:cs="Times New Roman" w:eastAsia="Times New Roman" w:hAnsi="Times New Roman"/>
          <w:sz w:val="18"/>
          <w:szCs w:val="18"/>
          <w:color w:val="auto"/>
        </w:rPr>
      </w:pPr>
    </w:p>
    <w:p>
      <w:pPr>
        <w:ind w:left="966" w:right="140" w:hanging="318"/>
        <w:spacing w:after="0" w:line="263" w:lineRule="auto"/>
        <w:tabs>
          <w:tab w:leader="none" w:pos="96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Scaled Member Support. </w:t>
      </w:r>
      <w:r>
        <w:rPr>
          <w:rFonts w:ascii="Times New Roman" w:cs="Times New Roman" w:eastAsia="Times New Roman" w:hAnsi="Times New Roman"/>
          <w:sz w:val="18"/>
          <w:szCs w:val="18"/>
          <w:color w:val="auto"/>
        </w:rPr>
        <w:t>We have built an advanced support program designed to provide real-time, 24/7 assistance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members. We have invested in automation and AI to improve the efficiency of our service delivery while also improving our members’ support experience. Between 2022 and 2024, we reduced our support costs per Active Member by 64% while simultaneously increasing our member support satisfaction scores by 93%.</w:t>
      </w:r>
      <w:r>
        <w:rPr>
          <w:rFonts w:ascii="Times New Roman" w:cs="Times New Roman" w:eastAsia="Times New Roman" w:hAnsi="Times New Roman"/>
          <w:sz w:val="23"/>
          <w:szCs w:val="23"/>
          <w:color w:val="auto"/>
          <w:vertAlign w:val="superscript"/>
        </w:rPr>
        <w:t>38</w:t>
      </w:r>
    </w:p>
    <w:p>
      <w:pPr>
        <w:spacing w:after="0" w:line="54" w:lineRule="exact"/>
        <w:rPr>
          <w:sz w:val="20"/>
          <w:szCs w:val="20"/>
          <w:color w:val="auto"/>
        </w:rPr>
      </w:pPr>
    </w:p>
    <w:p>
      <w:pPr>
        <w:ind w:left="326"/>
        <w:spacing w:after="0"/>
        <w:rPr>
          <w:sz w:val="20"/>
          <w:szCs w:val="20"/>
          <w:color w:val="auto"/>
        </w:rPr>
      </w:pPr>
      <w:r>
        <w:rPr>
          <w:rFonts w:ascii="Times New Roman" w:cs="Times New Roman" w:eastAsia="Times New Roman" w:hAnsi="Times New Roman"/>
          <w:sz w:val="18"/>
          <w:szCs w:val="18"/>
          <w:b w:val="1"/>
          <w:bCs w:val="1"/>
          <w:i w:val="1"/>
          <w:iCs w:val="1"/>
          <w:color w:val="auto"/>
        </w:rPr>
        <w:t>Payments-Driven Revenue Model</w:t>
      </w:r>
    </w:p>
    <w:p>
      <w:pPr>
        <w:spacing w:after="0" w:line="175" w:lineRule="exact"/>
        <w:rPr>
          <w:sz w:val="20"/>
          <w:szCs w:val="20"/>
          <w:color w:val="auto"/>
        </w:rPr>
      </w:pPr>
    </w:p>
    <w:p>
      <w:pPr>
        <w:ind w:left="6" w:right="80" w:firstLine="324"/>
        <w:spacing w:after="0" w:line="266" w:lineRule="auto"/>
        <w:rPr>
          <w:sz w:val="20"/>
          <w:szCs w:val="20"/>
          <w:color w:val="auto"/>
        </w:rPr>
      </w:pPr>
      <w:r>
        <w:rPr>
          <w:rFonts w:ascii="Times New Roman" w:cs="Times New Roman" w:eastAsia="Times New Roman" w:hAnsi="Times New Roman"/>
          <w:sz w:val="18"/>
          <w:szCs w:val="18"/>
          <w:color w:val="auto"/>
        </w:rPr>
        <w:t>Unlike the traditional banks’ net interest margin-driven revenue model, we have an asset-light, payments-driven revenue model. We generate the substantial majority of our revenue through interchange-based fees paid via the card networks, not paid to us by our members, whenever Chime-branded debit and credit cards are used.</w:t>
      </w:r>
    </w:p>
    <w:p>
      <w:pPr>
        <w:spacing w:after="0" w:line="122" w:lineRule="exact"/>
        <w:rPr>
          <w:sz w:val="20"/>
          <w:szCs w:val="20"/>
          <w:color w:val="auto"/>
        </w:rPr>
      </w:pPr>
    </w:p>
    <w:p>
      <w:pPr>
        <w:ind w:left="6" w:right="40" w:firstLine="324"/>
        <w:spacing w:after="0" w:line="254" w:lineRule="auto"/>
        <w:rPr>
          <w:sz w:val="20"/>
          <w:szCs w:val="20"/>
          <w:color w:val="auto"/>
        </w:rPr>
      </w:pPr>
      <w:r>
        <w:rPr>
          <w:rFonts w:ascii="Times New Roman" w:cs="Times New Roman" w:eastAsia="Times New Roman" w:hAnsi="Times New Roman"/>
          <w:sz w:val="18"/>
          <w:szCs w:val="18"/>
          <w:color w:val="auto"/>
        </w:rPr>
        <w:t>Interchange fees are set by card networks, such as Visa, and transferred between the financial institutions involved in supporting card transactions. Generally, an interchange fee serves to compensate for the authorization, clearance, and settlement of the transaction. When a consumer uses a debit or credit card to make a purchase at a merchant, that merchant receives payment of the purchase amount net of a payment acceptance fee called the merchant discount rate. This merchant discount rate is shared among the acquiring bank (which enables the merchant to accept payments and is typically referred to as the acquirer) and other network participants, including the card network and the issuing bank (typically referred to as the issuer). The interchange fee represents a portion of the merchant discount rate and is paid to the issuer. The fees involved in a card transaction also serve to cover fraud protection, including applicable protections provided by the card networks such as Visa’s Zero Liability Policy, and the fraud losses in relation to transactions. The diagram below illustrates the card payment process for a Chime member’s purchase transaction:</w:t>
      </w:r>
    </w:p>
    <w:p>
      <w:pPr>
        <w:spacing w:after="0" w:line="252" w:lineRule="exact"/>
        <w:rPr>
          <w:sz w:val="20"/>
          <w:szCs w:val="20"/>
          <w:color w:val="auto"/>
        </w:rPr>
      </w:pPr>
    </w:p>
    <w:p>
      <w:pPr>
        <w:jc w:val="both"/>
        <w:ind w:left="326" w:right="440" w:hanging="326"/>
        <w:spacing w:after="0" w:line="267" w:lineRule="auto"/>
        <w:tabs>
          <w:tab w:leader="none" w:pos="329" w:val="left"/>
        </w:tabs>
        <w:numPr>
          <w:ilvl w:val="0"/>
          <w:numId w:val="1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Comparing average cost-to-serve for 2023 (in each case, excluding marketing costs) for the three largest banks by U.S. deposit volume (Bank of America, J.P. Morgan Chase, and Wells Fargo) and for a group of medium-sized and regional banks (BMO, KeyBank, PNC Bank, TD Bank, and U.S. Bank), in each case as estimated by FS Vector Report, to Chime’s average cost-to-serve for 2024; see the section titled “Industry, Market, and Other Data.”</w:t>
      </w:r>
    </w:p>
    <w:p>
      <w:pPr>
        <w:spacing w:after="0" w:line="1" w:lineRule="exact"/>
        <w:rPr>
          <w:rFonts w:ascii="Times New Roman" w:cs="Times New Roman" w:eastAsia="Times New Roman" w:hAnsi="Times New Roman"/>
          <w:sz w:val="9"/>
          <w:szCs w:val="9"/>
          <w:color w:val="auto"/>
        </w:rPr>
      </w:pPr>
    </w:p>
    <w:p>
      <w:pPr>
        <w:ind w:left="326" w:hanging="326"/>
        <w:spacing w:after="0" w:line="192" w:lineRule="auto"/>
        <w:tabs>
          <w:tab w:leader="none" w:pos="326" w:val="left"/>
        </w:tabs>
        <w:numPr>
          <w:ilvl w:val="0"/>
          <w:numId w:val="1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Based on the average of the three months ended December 31, 2024.</w:t>
      </w:r>
    </w:p>
    <w:p>
      <w:pPr>
        <w:spacing w:after="0" w:line="3" w:lineRule="exact"/>
        <w:rPr>
          <w:rFonts w:ascii="Times New Roman" w:cs="Times New Roman" w:eastAsia="Times New Roman" w:hAnsi="Times New Roman"/>
          <w:sz w:val="19"/>
          <w:szCs w:val="19"/>
          <w:color w:val="auto"/>
          <w:vertAlign w:val="superscript"/>
        </w:rPr>
      </w:pPr>
    </w:p>
    <w:p>
      <w:pPr>
        <w:ind w:left="326" w:right="240" w:hanging="326"/>
        <w:spacing w:after="0" w:line="211" w:lineRule="auto"/>
        <w:tabs>
          <w:tab w:leader="none" w:pos="329" w:val="left"/>
        </w:tabs>
        <w:numPr>
          <w:ilvl w:val="0"/>
          <w:numId w:val="1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Based on Service Net Promoter Score (sNPS) scores collected from Chime commissioned third-party surveys conducted on a rolling basis to measure the member support satisfaction of our members. See the section titled “Industry, Market, and Other Data.”</w:t>
      </w:r>
    </w:p>
    <w:p>
      <w:pPr>
        <w:sectPr>
          <w:pgSz w:w="11900" w:h="16838" w:orient="portrait"/>
          <w:cols w:equalWidth="0" w:num="1">
            <w:col w:w="9906"/>
          </w:cols>
          <w:pgMar w:left="994" w:top="124"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9906"/>
          </w:cols>
          <w:pgMar w:left="994" w:top="124" w:right="999" w:bottom="1440" w:gutter="0" w:footer="0" w:header="0"/>
          <w:type w:val="continuous"/>
        </w:sectPr>
      </w:pPr>
    </w:p>
    <w:bookmarkStart w:id="23" w:name="page24"/>
    <w:bookmarkEnd w:id="23"/>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684530</wp:posOffset>
            </wp:positionV>
            <wp:extent cx="7136130" cy="73507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130" cy="7350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 w:right="60" w:firstLine="324"/>
        <w:spacing w:after="0" w:line="266" w:lineRule="auto"/>
        <w:rPr>
          <w:sz w:val="20"/>
          <w:szCs w:val="20"/>
          <w:color w:val="auto"/>
        </w:rPr>
      </w:pPr>
      <w:r>
        <w:rPr>
          <w:rFonts w:ascii="Times New Roman" w:cs="Times New Roman" w:eastAsia="Times New Roman" w:hAnsi="Times New Roman"/>
          <w:sz w:val="18"/>
          <w:szCs w:val="18"/>
          <w:color w:val="auto"/>
        </w:rPr>
        <w:t>We recognize payments revenue based on interchange fees generated from purchase transactions made by members using their Chime-branded debit and credit cards. Our bank partners, as issuing banks, collect the interchange fees from these transactions, and pass amounts onto us based on these fees. Our payments revenue accounts for the gross amount of the interchange fees.</w:t>
      </w:r>
    </w:p>
    <w:p>
      <w:pPr>
        <w:spacing w:after="0" w:line="122" w:lineRule="exact"/>
        <w:rPr>
          <w:sz w:val="20"/>
          <w:szCs w:val="20"/>
          <w:color w:val="auto"/>
        </w:rPr>
      </w:pPr>
    </w:p>
    <w:p>
      <w:pPr>
        <w:ind w:left="6" w:right="60" w:firstLine="324"/>
        <w:spacing w:after="0" w:line="255" w:lineRule="auto"/>
        <w:rPr>
          <w:sz w:val="20"/>
          <w:szCs w:val="20"/>
          <w:color w:val="auto"/>
        </w:rPr>
      </w:pPr>
      <w:r>
        <w:rPr>
          <w:rFonts w:ascii="Times New Roman" w:cs="Times New Roman" w:eastAsia="Times New Roman" w:hAnsi="Times New Roman"/>
          <w:sz w:val="18"/>
          <w:szCs w:val="18"/>
          <w:color w:val="auto"/>
        </w:rPr>
        <w:t>At the same time, we are strongly positioned to complement and reinforce our payments revenue by offering our members access to short-term liquidity at scale in a low-cost, low-risk, and asset-light way. Our primary account relationships provide rich, first-party data regarding our members’ income and spending behavior as well as a privileged repayment advantage from paycheck direct depositors, which reduces the risk profile of liquidity products. Given the short duration of the liquidity products offered through our platform, we are able to facilitate the origination of large volumes with only modest balance sheet needs, and nimbly adjust our risk exposure. Our model does not face the same asset-liability mismatch risk inherent in the traditional banking model that uses short term deposits to fund long-dated assets.</w:t>
      </w:r>
    </w:p>
    <w:p>
      <w:pPr>
        <w:spacing w:after="0" w:line="13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Primary Account Relationships Power Our Self-Reinforcing Flywheel</w:t>
      </w:r>
    </w:p>
    <w:p>
      <w:pPr>
        <w:spacing w:after="0" w:line="175" w:lineRule="exact"/>
        <w:rPr>
          <w:sz w:val="20"/>
          <w:szCs w:val="20"/>
          <w:color w:val="auto"/>
        </w:rPr>
      </w:pPr>
    </w:p>
    <w:p>
      <w:pPr>
        <w:ind w:left="326"/>
        <w:spacing w:after="0"/>
        <w:rPr>
          <w:sz w:val="20"/>
          <w:szCs w:val="20"/>
          <w:color w:val="auto"/>
        </w:rPr>
      </w:pPr>
      <w:r>
        <w:rPr>
          <w:rFonts w:ascii="Times New Roman" w:cs="Times New Roman" w:eastAsia="Times New Roman" w:hAnsi="Times New Roman"/>
          <w:sz w:val="18"/>
          <w:szCs w:val="18"/>
          <w:color w:val="auto"/>
        </w:rPr>
        <w:t>We designed our business to develop primary account relationships with our members, establishing Chime as their central financial</w:t>
      </w:r>
    </w:p>
    <w:p>
      <w:pPr>
        <w:spacing w:after="0" w:line="2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hub.</w:t>
      </w:r>
    </w:p>
    <w:p>
      <w:pPr>
        <w:spacing w:after="0" w:line="153" w:lineRule="exact"/>
        <w:rPr>
          <w:sz w:val="20"/>
          <w:szCs w:val="20"/>
          <w:color w:val="auto"/>
        </w:rPr>
      </w:pPr>
    </w:p>
    <w:p>
      <w:pPr>
        <w:ind w:left="6" w:right="360" w:firstLine="324"/>
        <w:spacing w:after="0" w:line="282" w:lineRule="auto"/>
        <w:rPr>
          <w:sz w:val="20"/>
          <w:szCs w:val="20"/>
          <w:color w:val="auto"/>
        </w:rPr>
      </w:pPr>
      <w:r>
        <w:rPr>
          <w:rFonts w:ascii="Times New Roman" w:cs="Times New Roman" w:eastAsia="Times New Roman" w:hAnsi="Times New Roman"/>
          <w:sz w:val="18"/>
          <w:szCs w:val="18"/>
          <w:color w:val="auto"/>
        </w:rPr>
        <w:t>When we earn the privilege to serve our members through a primary account relationship, we become deeply embedded in their financial lives, and gain several key benefits:</w:t>
      </w:r>
    </w:p>
    <w:p>
      <w:pPr>
        <w:spacing w:after="0" w:line="104" w:lineRule="exact"/>
        <w:rPr>
          <w:sz w:val="20"/>
          <w:szCs w:val="20"/>
          <w:color w:val="auto"/>
        </w:rPr>
      </w:pPr>
    </w:p>
    <w:p>
      <w:pPr>
        <w:ind w:left="6" w:firstLine="324"/>
        <w:spacing w:after="0" w:line="230"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Deep, Habitual Engagement and Predictable, Recurring Spend. </w:t>
      </w:r>
      <w:r>
        <w:rPr>
          <w:rFonts w:ascii="Times New Roman" w:cs="Times New Roman" w:eastAsia="Times New Roman" w:hAnsi="Times New Roman"/>
          <w:sz w:val="18"/>
          <w:szCs w:val="18"/>
          <w:color w:val="auto"/>
        </w:rPr>
        <w:t>Our members are highly engaged on our platform, and typically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use Chime-branded debit and credit cards to pay for their everyday, largely non-discretionary expenses, with 70% of purchases being made in categories such as food and groceries, gas, and utilities.</w:t>
      </w:r>
      <w:r>
        <w:rPr>
          <w:rFonts w:ascii="Times New Roman" w:cs="Times New Roman" w:eastAsia="Times New Roman" w:hAnsi="Times New Roman"/>
          <w:sz w:val="23"/>
          <w:szCs w:val="23"/>
          <w:color w:val="auto"/>
          <w:vertAlign w:val="superscript"/>
        </w:rPr>
        <w:t>39</w:t>
      </w:r>
      <w:r>
        <w:rPr>
          <w:rFonts w:ascii="Times New Roman" w:cs="Times New Roman" w:eastAsia="Times New Roman" w:hAnsi="Times New Roman"/>
          <w:sz w:val="18"/>
          <w:szCs w:val="18"/>
          <w:color w:val="auto"/>
        </w:rPr>
        <w:t xml:space="preserve"> This results in predictable, recurring spend across our member cohorts. In the fourth quarter of 2024, our Active Members interacted with our app an average of 147 times per month</w:t>
      </w:r>
      <w:r>
        <w:rPr>
          <w:rFonts w:ascii="Times New Roman" w:cs="Times New Roman" w:eastAsia="Times New Roman" w:hAnsi="Times New Roman"/>
          <w:sz w:val="23"/>
          <w:szCs w:val="23"/>
          <w:color w:val="auto"/>
          <w:vertAlign w:val="superscript"/>
        </w:rPr>
        <w:t>40</w:t>
      </w:r>
      <w:r>
        <w:rPr>
          <w:rFonts w:ascii="Times New Roman" w:cs="Times New Roman" w:eastAsia="Times New Roman" w:hAnsi="Times New Roman"/>
          <w:sz w:val="18"/>
          <w:szCs w:val="18"/>
          <w:color w:val="auto"/>
        </w:rPr>
        <w:t xml:space="preserve"> and completed an average of 55 transactions per month.</w:t>
      </w:r>
    </w:p>
    <w:p>
      <w:pPr>
        <w:spacing w:after="0" w:line="261" w:lineRule="exact"/>
        <w:rPr>
          <w:sz w:val="20"/>
          <w:szCs w:val="20"/>
          <w:color w:val="auto"/>
        </w:rPr>
      </w:pPr>
    </w:p>
    <w:p>
      <w:pPr>
        <w:ind w:left="306" w:hanging="306"/>
        <w:spacing w:after="0"/>
        <w:tabs>
          <w:tab w:leader="none" w:pos="306" w:val="left"/>
        </w:tabs>
        <w:numPr>
          <w:ilvl w:val="0"/>
          <w:numId w:val="2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Based on Purchase Volume from January 1 to December 31, 2024 categorized by merchant category.</w:t>
      </w:r>
    </w:p>
    <w:p>
      <w:pPr>
        <w:spacing w:after="0" w:line="27" w:lineRule="exact"/>
        <w:rPr>
          <w:rFonts w:ascii="Times New Roman" w:cs="Times New Roman" w:eastAsia="Times New Roman" w:hAnsi="Times New Roman"/>
          <w:sz w:val="9"/>
          <w:szCs w:val="9"/>
          <w:color w:val="auto"/>
        </w:rPr>
      </w:pPr>
    </w:p>
    <w:p>
      <w:pPr>
        <w:ind w:left="326" w:hanging="326"/>
        <w:spacing w:after="0" w:line="192" w:lineRule="auto"/>
        <w:tabs>
          <w:tab w:leader="none" w:pos="326"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Interactions are defined as every time a member opens the Chime mobile application.</w:t>
      </w:r>
    </w:p>
    <w:p>
      <w:pPr>
        <w:sectPr>
          <w:pgSz w:w="11900" w:h="16838" w:orient="portrait"/>
          <w:cols w:equalWidth="0" w:num="1">
            <w:col w:w="9886"/>
          </w:cols>
          <w:pgMar w:left="994" w:top="124"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9886"/>
          </w:cols>
          <w:pgMar w:left="994" w:top="124" w:right="1019" w:bottom="1440" w:gutter="0" w:footer="0" w:header="0"/>
          <w:type w:val="continuous"/>
        </w:sectPr>
      </w:pPr>
    </w:p>
    <w:bookmarkStart w:id="24" w:name="page25"/>
    <w:bookmarkEnd w:id="24"/>
    <w:p>
      <w:pPr>
        <w:jc w:val="center"/>
        <w:ind w:right="-45"/>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45"/>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684530</wp:posOffset>
            </wp:positionV>
            <wp:extent cx="7136130" cy="61677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130" cy="6167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 w:right="120"/>
        <w:spacing w:after="0" w:line="229" w:lineRule="auto"/>
        <w:rPr>
          <w:sz w:val="20"/>
          <w:szCs w:val="20"/>
          <w:color w:val="auto"/>
        </w:rPr>
      </w:pPr>
      <w:r>
        <w:rPr>
          <w:rFonts w:ascii="Times New Roman" w:cs="Times New Roman" w:eastAsia="Times New Roman" w:hAnsi="Times New Roman"/>
          <w:sz w:val="18"/>
          <w:szCs w:val="18"/>
          <w:color w:val="auto"/>
        </w:rPr>
        <w:t>In 2024, our Active Members demonstrated approximately 97% net dollar Purchase Volume retention.</w:t>
      </w:r>
      <w:r>
        <w:rPr>
          <w:rFonts w:ascii="Times New Roman" w:cs="Times New Roman" w:eastAsia="Times New Roman" w:hAnsi="Times New Roman"/>
          <w:sz w:val="23"/>
          <w:szCs w:val="23"/>
          <w:color w:val="auto"/>
          <w:vertAlign w:val="superscript"/>
        </w:rPr>
        <w:t>41</w:t>
      </w:r>
      <w:r>
        <w:rPr>
          <w:rFonts w:ascii="Times New Roman" w:cs="Times New Roman" w:eastAsia="Times New Roman" w:hAnsi="Times New Roman"/>
          <w:sz w:val="18"/>
          <w:szCs w:val="18"/>
          <w:color w:val="auto"/>
        </w:rPr>
        <w:t xml:space="preserve"> We believe our engagement — as measured by transactions per Active Member — is among the highest, or is the highest, in the consumer fintech category.</w:t>
      </w:r>
    </w:p>
    <w:p>
      <w:pPr>
        <w:spacing w:after="0" w:line="140" w:lineRule="exact"/>
        <w:rPr>
          <w:sz w:val="20"/>
          <w:szCs w:val="20"/>
          <w:color w:val="auto"/>
        </w:rPr>
      </w:pPr>
    </w:p>
    <w:p>
      <w:pPr>
        <w:ind w:left="6" w:right="20"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Advantaged Unit Economics. </w:t>
      </w:r>
      <w:r>
        <w:rPr>
          <w:rFonts w:ascii="Times New Roman" w:cs="Times New Roman" w:eastAsia="Times New Roman" w:hAnsi="Times New Roman"/>
          <w:sz w:val="18"/>
          <w:szCs w:val="18"/>
          <w:color w:val="auto"/>
        </w:rPr>
        <w:t>Our members’ “top-of-wallet,” recurring Purchase Volume drives a high level of ARPAM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sustained cohort performance. We monetize this volume at high margins as a result of our low-cost operating model and scale. In the fourth quarter of 2024, our ARPAM was $245, the substantial majority of which was from payments revenue, up from $212 in the fourth quarter of 2023. In 2024, our gross margin and transaction margin were 88% and 74%, up from 83% and 71% in 2023. We believe our monetization and unit economics compare favorably to others in the consumer fintech category. Given the durability of our primary account relationships, our cohorts have sustained consistent transaction profit generation, as evidenced by our approximately 107% net dollar transaction profit retention in 2024.</w:t>
      </w:r>
    </w:p>
    <w:p>
      <w:pPr>
        <w:spacing w:after="0" w:line="133" w:lineRule="exact"/>
        <w:rPr>
          <w:sz w:val="20"/>
          <w:szCs w:val="20"/>
          <w:color w:val="auto"/>
        </w:rPr>
      </w:pPr>
    </w:p>
    <w:p>
      <w:pPr>
        <w:ind w:left="6" w:right="140" w:firstLine="324"/>
        <w:spacing w:after="0" w:line="282" w:lineRule="auto"/>
        <w:rPr>
          <w:sz w:val="20"/>
          <w:szCs w:val="20"/>
          <w:color w:val="auto"/>
        </w:rPr>
      </w:pPr>
      <w:r>
        <w:rPr>
          <w:rFonts w:ascii="Times New Roman" w:cs="Times New Roman" w:eastAsia="Times New Roman" w:hAnsi="Times New Roman"/>
          <w:sz w:val="18"/>
          <w:szCs w:val="18"/>
          <w:color w:val="auto"/>
        </w:rPr>
        <w:t>Our primary account relationships also provide us several strategic benefits, which enhance our ability to offer affordable, easy-to-use products that address the most critical financial needs of our members:</w:t>
      </w:r>
    </w:p>
    <w:p>
      <w:pPr>
        <w:spacing w:after="0" w:line="104" w:lineRule="exact"/>
        <w:rPr>
          <w:sz w:val="20"/>
          <w:szCs w:val="20"/>
          <w:color w:val="auto"/>
        </w:rPr>
      </w:pPr>
    </w:p>
    <w:p>
      <w:pPr>
        <w:ind w:left="6" w:right="6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Access to Rich, First-Party Data. </w:t>
      </w:r>
      <w:r>
        <w:rPr>
          <w:rFonts w:ascii="Times New Roman" w:cs="Times New Roman" w:eastAsia="Times New Roman" w:hAnsi="Times New Roman"/>
          <w:sz w:val="18"/>
          <w:szCs w:val="18"/>
          <w:color w:val="auto"/>
        </w:rPr>
        <w:t>Our members’ deep and habitual engagement with Chime generates rich, first-party data,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member income, spending, transaction, social graph, and other engagement data.</w:t>
      </w:r>
    </w:p>
    <w:p>
      <w:pPr>
        <w:spacing w:after="0" w:line="101" w:lineRule="exact"/>
        <w:rPr>
          <w:sz w:val="20"/>
          <w:szCs w:val="20"/>
          <w:color w:val="auto"/>
        </w:rPr>
      </w:pPr>
    </w:p>
    <w:p>
      <w:pPr>
        <w:ind w:left="6" w:right="6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Privileged Repayment Advantage. </w:t>
      </w:r>
      <w:r>
        <w:rPr>
          <w:rFonts w:ascii="Times New Roman" w:cs="Times New Roman" w:eastAsia="Times New Roman" w:hAnsi="Times New Roman"/>
          <w:sz w:val="18"/>
          <w:szCs w:val="18"/>
          <w:color w:val="auto"/>
        </w:rPr>
        <w:t>When members direct deposit their paychecks through Chime, it provides a first-in-line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repayment position for Chime-branded liquidity products. When combined with our strong underwriting capabilities, this positions us to offer our members instant access to low-cost liquidity when our members need it most, while maintaining low loss rates.</w:t>
      </w:r>
    </w:p>
    <w:p>
      <w:pPr>
        <w:spacing w:after="0" w:line="121" w:lineRule="exact"/>
        <w:rPr>
          <w:sz w:val="20"/>
          <w:szCs w:val="20"/>
          <w:color w:val="auto"/>
        </w:rPr>
      </w:pPr>
    </w:p>
    <w:p>
      <w:pPr>
        <w:ind w:left="6" w:right="20" w:firstLine="324"/>
        <w:spacing w:after="0" w:line="261" w:lineRule="auto"/>
        <w:rPr>
          <w:sz w:val="20"/>
          <w:szCs w:val="20"/>
          <w:color w:val="auto"/>
        </w:rPr>
      </w:pPr>
      <w:r>
        <w:rPr>
          <w:rFonts w:ascii="Times New Roman" w:cs="Times New Roman" w:eastAsia="Times New Roman" w:hAnsi="Times New Roman"/>
          <w:sz w:val="18"/>
          <w:szCs w:val="18"/>
          <w:color w:val="auto"/>
        </w:rPr>
        <w:t>Finally, because we are our members’ central financial hub, we are able to cross sell our products at high attach rates. Our monthly attach rates across the most used products for December 2024 are: 91% for debit cards, 69% for High Yield Savings, 53% for SpotMe, 51% for Pay Anyone, 36% for Credit Builder, and 28% for MyPay. We define monthly attach rates as the percentage of Active Members who used a given product in a month.</w:t>
      </w:r>
    </w:p>
    <w:p>
      <w:pPr>
        <w:spacing w:after="0" w:line="126" w:lineRule="exact"/>
        <w:rPr>
          <w:sz w:val="20"/>
          <w:szCs w:val="20"/>
          <w:color w:val="auto"/>
        </w:rPr>
      </w:pPr>
    </w:p>
    <w:p>
      <w:pPr>
        <w:ind w:left="326"/>
        <w:spacing w:after="0"/>
        <w:rPr>
          <w:sz w:val="20"/>
          <w:szCs w:val="20"/>
          <w:color w:val="auto"/>
        </w:rPr>
      </w:pPr>
      <w:r>
        <w:rPr>
          <w:rFonts w:ascii="Times New Roman" w:cs="Times New Roman" w:eastAsia="Times New Roman" w:hAnsi="Times New Roman"/>
          <w:sz w:val="18"/>
          <w:szCs w:val="18"/>
          <w:color w:val="auto"/>
        </w:rPr>
        <w:t>Strong product adoption powers the growth of our business in two ways:</w:t>
      </w:r>
    </w:p>
    <w:p>
      <w:pPr>
        <w:spacing w:after="0" w:line="167" w:lineRule="exact"/>
        <w:rPr>
          <w:sz w:val="20"/>
          <w:szCs w:val="20"/>
          <w:color w:val="auto"/>
        </w:rPr>
      </w:pPr>
    </w:p>
    <w:p>
      <w:pPr>
        <w:ind w:left="6" w:right="3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ARPAM Growth. </w:t>
      </w:r>
      <w:r>
        <w:rPr>
          <w:rFonts w:ascii="Times New Roman" w:cs="Times New Roman" w:eastAsia="Times New Roman" w:hAnsi="Times New Roman"/>
          <w:sz w:val="18"/>
          <w:szCs w:val="18"/>
          <w:color w:val="auto"/>
        </w:rPr>
        <w:t>As our Active Members adopt more of our products, we observe higher levels of Purchase Volume per Active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Member and ARPAM.</w:t>
      </w:r>
    </w:p>
    <w:p>
      <w:pPr>
        <w:spacing w:after="0" w:line="101" w:lineRule="exact"/>
        <w:rPr>
          <w:sz w:val="20"/>
          <w:szCs w:val="20"/>
          <w:color w:val="auto"/>
        </w:rPr>
      </w:pPr>
    </w:p>
    <w:p>
      <w:pPr>
        <w:ind w:left="326"/>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Active Member Growth. </w:t>
      </w:r>
      <w:r>
        <w:rPr>
          <w:rFonts w:ascii="Times New Roman" w:cs="Times New Roman" w:eastAsia="Times New Roman" w:hAnsi="Times New Roman"/>
          <w:sz w:val="18"/>
          <w:szCs w:val="18"/>
          <w:color w:val="auto"/>
        </w:rPr>
        <w:t>As our members adopt more of our products, they refer family and friends to Chime at higher rates.</w:t>
      </w:r>
    </w:p>
    <w:p>
      <w:pPr>
        <w:spacing w:after="0" w:line="175" w:lineRule="exact"/>
        <w:rPr>
          <w:sz w:val="20"/>
          <w:szCs w:val="20"/>
          <w:color w:val="auto"/>
        </w:rPr>
      </w:pPr>
    </w:p>
    <w:p>
      <w:pPr>
        <w:ind w:left="6" w:right="140" w:firstLine="324"/>
        <w:spacing w:after="0" w:line="258" w:lineRule="auto"/>
        <w:rPr>
          <w:sz w:val="20"/>
          <w:szCs w:val="20"/>
          <w:color w:val="auto"/>
        </w:rPr>
      </w:pPr>
      <w:r>
        <w:rPr>
          <w:rFonts w:ascii="Times New Roman" w:cs="Times New Roman" w:eastAsia="Times New Roman" w:hAnsi="Times New Roman"/>
          <w:sz w:val="18"/>
          <w:szCs w:val="18"/>
          <w:color w:val="auto"/>
        </w:rPr>
        <w:t>We believe these flywheel effects will continue to grow stronger over time. As we add more products to our platform, we provide prospective members with additional reasons to try Chime. As we have scaled, our cost-to-serve has continued to improve, allowing us to reinvest more in the member experience. Finally, as our member base grows, our opportunity to drive more member referrals increases. Our model is aligned with our members: as we continue to execute on our mission to unite everyday people to unlock their financial progress, our flywheel gets stronger.</w:t>
      </w:r>
    </w:p>
    <w:p>
      <w:pPr>
        <w:spacing w:after="0" w:line="260" w:lineRule="exact"/>
        <w:rPr>
          <w:sz w:val="20"/>
          <w:szCs w:val="20"/>
          <w:color w:val="auto"/>
        </w:rPr>
      </w:pPr>
    </w:p>
    <w:p>
      <w:pPr>
        <w:ind w:left="326" w:hanging="326"/>
        <w:spacing w:after="0"/>
        <w:tabs>
          <w:tab w:leader="none" w:pos="305" w:val="left"/>
        </w:tabs>
        <w:numPr>
          <w:ilvl w:val="0"/>
          <w:numId w:val="2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We calculate net dollar Purchase Volume retention by dividing Purchase Volume in the current period from all members that first became active at least one year prior to such period, by Purchase Volume from those same members in the prior period, inclusive of any members that have churned. We only include members that first became active at least one year prior to avoid comparing a full period of Purchase Volume in the current period to a partial period of Purchase Volume in the prior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5"/>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9866"/>
          </w:cols>
          <w:pgMar w:left="994" w:top="124" w:right="1039" w:bottom="1440" w:gutter="0" w:footer="0" w:header="0"/>
        </w:sectPr>
      </w:pPr>
    </w:p>
    <w:bookmarkStart w:id="25" w:name="page26"/>
    <w:bookmarkEnd w:id="25"/>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684530</wp:posOffset>
            </wp:positionV>
            <wp:extent cx="7136130" cy="7118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130" cy="7118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highlight w:val="white"/>
        </w:rPr>
        <w:t>OUR MARKET OPPORTUNITY</w:t>
      </w:r>
    </w:p>
    <w:p>
      <w:pPr>
        <w:spacing w:after="0" w:line="175" w:lineRule="exact"/>
        <w:rPr>
          <w:sz w:val="20"/>
          <w:szCs w:val="20"/>
          <w:color w:val="auto"/>
        </w:rPr>
      </w:pPr>
    </w:p>
    <w:p>
      <w:pPr>
        <w:ind w:left="6" w:right="60" w:firstLine="324"/>
        <w:spacing w:after="0" w:line="282" w:lineRule="auto"/>
        <w:rPr>
          <w:sz w:val="20"/>
          <w:szCs w:val="20"/>
          <w:color w:val="auto"/>
        </w:rPr>
      </w:pPr>
      <w:r>
        <w:rPr>
          <w:rFonts w:ascii="Times New Roman" w:cs="Times New Roman" w:eastAsia="Times New Roman" w:hAnsi="Times New Roman"/>
          <w:sz w:val="18"/>
          <w:szCs w:val="18"/>
          <w:color w:val="auto"/>
        </w:rPr>
        <w:t>We believe there is a massive market opportunity that comes with transforming financial services for everyday Americans. We view our addressable market across three opportunities:</w:t>
      </w:r>
    </w:p>
    <w:p>
      <w:pPr>
        <w:spacing w:after="0" w:line="104" w:lineRule="exact"/>
        <w:rPr>
          <w:sz w:val="20"/>
          <w:szCs w:val="20"/>
          <w:color w:val="auto"/>
        </w:rPr>
      </w:pPr>
    </w:p>
    <w:p>
      <w:pPr>
        <w:ind w:left="646" w:hanging="322"/>
        <w:spacing w:after="0" w:line="277" w:lineRule="auto"/>
        <w:tabs>
          <w:tab w:leader="none" w:pos="64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Expanding Our Lead. </w:t>
      </w:r>
      <w:r>
        <w:rPr>
          <w:rFonts w:ascii="Times New Roman" w:cs="Times New Roman" w:eastAsia="Times New Roman" w:hAnsi="Times New Roman"/>
          <w:sz w:val="18"/>
          <w:szCs w:val="18"/>
          <w:color w:val="auto"/>
        </w:rPr>
        <w:t>We estimate our serviceable addressable market (“SAM”) to be a $85 billion annual revenue opportunity.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derive this estimate from multiplying the ARPAM generated among our highly engaged members of $436 by the 196 million Americans earning up to $100,000 annually.</w:t>
      </w:r>
      <w:r>
        <w:rPr>
          <w:rFonts w:ascii="Times New Roman" w:cs="Times New Roman" w:eastAsia="Times New Roman" w:hAnsi="Times New Roman"/>
          <w:sz w:val="23"/>
          <w:szCs w:val="23"/>
          <w:color w:val="auto"/>
          <w:vertAlign w:val="superscript"/>
        </w:rPr>
        <w:t>42</w:t>
      </w:r>
    </w:p>
    <w:p>
      <w:pPr>
        <w:spacing w:after="0" w:line="26" w:lineRule="exact"/>
        <w:rPr>
          <w:rFonts w:ascii="Times New Roman" w:cs="Times New Roman" w:eastAsia="Times New Roman" w:hAnsi="Times New Roman"/>
          <w:sz w:val="18"/>
          <w:szCs w:val="18"/>
          <w:color w:val="auto"/>
        </w:rPr>
      </w:pPr>
    </w:p>
    <w:p>
      <w:pPr>
        <w:ind w:left="646" w:right="60" w:hanging="322"/>
        <w:spacing w:after="0" w:line="264" w:lineRule="auto"/>
        <w:tabs>
          <w:tab w:leader="none" w:pos="64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Addressing Additional Financial Needs of Everyday Americans. </w:t>
      </w:r>
      <w:r>
        <w:rPr>
          <w:rFonts w:ascii="Times New Roman" w:cs="Times New Roman" w:eastAsia="Times New Roman" w:hAnsi="Times New Roman"/>
          <w:sz w:val="18"/>
          <w:szCs w:val="18"/>
          <w:color w:val="auto"/>
        </w:rPr>
        <w:t>Our vertically-integrated technology platform, low-cost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model, rich, first-party data, and privileged repayment position provide critical advantages for us to continue to drive product innovation to address even more of our target audience’s financial needs. By developing and introducing new products, services, and features to address the additional financial needs of the 196 million Americans in our target audience today, we believe our total addressable market (“TAM”) can expand to a $312 billion annual revenue opportunity.</w:t>
      </w:r>
      <w:r>
        <w:rPr>
          <w:rFonts w:ascii="Times New Roman" w:cs="Times New Roman" w:eastAsia="Times New Roman" w:hAnsi="Times New Roman"/>
          <w:sz w:val="23"/>
          <w:szCs w:val="23"/>
          <w:color w:val="auto"/>
          <w:vertAlign w:val="superscript"/>
        </w:rPr>
        <w:t>43</w:t>
      </w:r>
    </w:p>
    <w:p>
      <w:pPr>
        <w:spacing w:after="0" w:line="40" w:lineRule="exact"/>
        <w:rPr>
          <w:rFonts w:ascii="Times New Roman" w:cs="Times New Roman" w:eastAsia="Times New Roman" w:hAnsi="Times New Roman"/>
          <w:sz w:val="18"/>
          <w:szCs w:val="18"/>
          <w:color w:val="auto"/>
        </w:rPr>
      </w:pPr>
    </w:p>
    <w:p>
      <w:pPr>
        <w:ind w:left="646" w:right="80" w:hanging="322"/>
        <w:spacing w:after="0" w:line="242" w:lineRule="auto"/>
        <w:tabs>
          <w:tab w:leader="none" w:pos="641"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Broadening Our Audience. </w:t>
      </w:r>
      <w:r>
        <w:rPr>
          <w:rFonts w:ascii="Times New Roman" w:cs="Times New Roman" w:eastAsia="Times New Roman" w:hAnsi="Times New Roman"/>
          <w:sz w:val="17"/>
          <w:szCs w:val="17"/>
          <w:color w:val="auto"/>
        </w:rPr>
        <w:t>We believe that our annual revenue opportunity can grow to $426 billion as we continue to expand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our platform, and target the broader market of 227 million Americans earning up to $200,000 annually.</w:t>
      </w:r>
      <w:r>
        <w:rPr>
          <w:rFonts w:ascii="Times New Roman" w:cs="Times New Roman" w:eastAsia="Times New Roman" w:hAnsi="Times New Roman"/>
          <w:sz w:val="22"/>
          <w:szCs w:val="22"/>
          <w:color w:val="auto"/>
          <w:vertAlign w:val="superscript"/>
        </w:rPr>
        <w:t>44</w:t>
      </w:r>
      <w:r>
        <w:rPr>
          <w:rFonts w:ascii="Times New Roman" w:cs="Times New Roman" w:eastAsia="Times New Roman" w:hAnsi="Times New Roman"/>
          <w:sz w:val="17"/>
          <w:szCs w:val="17"/>
          <w:color w:val="auto"/>
        </w:rPr>
        <w:t xml:space="preserve"> Given nearly half of Americans earning more than $100,000 annually are estimated to live paycheck to paycheck,</w:t>
      </w:r>
      <w:r>
        <w:rPr>
          <w:rFonts w:ascii="Times New Roman" w:cs="Times New Roman" w:eastAsia="Times New Roman" w:hAnsi="Times New Roman"/>
          <w:sz w:val="22"/>
          <w:szCs w:val="22"/>
          <w:color w:val="auto"/>
          <w:vertAlign w:val="superscript"/>
        </w:rPr>
        <w:t>45</w:t>
      </w:r>
      <w:r>
        <w:rPr>
          <w:rFonts w:ascii="Times New Roman" w:cs="Times New Roman" w:eastAsia="Times New Roman" w:hAnsi="Times New Roman"/>
          <w:sz w:val="17"/>
          <w:szCs w:val="17"/>
          <w:color w:val="auto"/>
        </w:rPr>
        <w:t xml:space="preserve"> many of these Americans’ financial priorities overlap with those of our current target audience. As we broaden our platform and address more complex financial challenges for our members, we will also be well-positioned to address the financial needs of a wider audience.</w:t>
      </w:r>
    </w:p>
    <w:p>
      <w:pPr>
        <w:spacing w:after="0" w:line="14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highlight w:val="white"/>
        </w:rPr>
        <w:t>GROWTH STRATEGIES</w:t>
      </w:r>
    </w:p>
    <w:p>
      <w:pPr>
        <w:spacing w:after="0" w:line="175" w:lineRule="exact"/>
        <w:rPr>
          <w:sz w:val="20"/>
          <w:szCs w:val="20"/>
          <w:color w:val="auto"/>
        </w:rPr>
      </w:pPr>
    </w:p>
    <w:p>
      <w:pPr>
        <w:ind w:left="6" w:right="160" w:firstLine="324"/>
        <w:spacing w:after="0" w:line="282" w:lineRule="auto"/>
        <w:rPr>
          <w:sz w:val="20"/>
          <w:szCs w:val="20"/>
          <w:color w:val="auto"/>
        </w:rPr>
      </w:pPr>
      <w:r>
        <w:rPr>
          <w:rFonts w:ascii="Times New Roman" w:cs="Times New Roman" w:eastAsia="Times New Roman" w:hAnsi="Times New Roman"/>
          <w:sz w:val="18"/>
          <w:szCs w:val="18"/>
          <w:color w:val="auto"/>
        </w:rPr>
        <w:t>We believe that we are in the early stages of addressing our significant serviceable and total addressable market opportunities. Key elements of our growth strategy include our plans to:</w:t>
      </w:r>
    </w:p>
    <w:p>
      <w:pPr>
        <w:spacing w:after="0" w:line="108" w:lineRule="exact"/>
        <w:rPr>
          <w:sz w:val="20"/>
          <w:szCs w:val="20"/>
          <w:color w:val="auto"/>
        </w:rPr>
      </w:pPr>
    </w:p>
    <w:p>
      <w:pPr>
        <w:ind w:left="646" w:hanging="322"/>
        <w:spacing w:after="0"/>
        <w:tabs>
          <w:tab w:leader="none" w:pos="64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attract and acquire Active Members;</w:t>
      </w:r>
    </w:p>
    <w:p>
      <w:pPr>
        <w:spacing w:after="0" w:line="171" w:lineRule="exact"/>
        <w:rPr>
          <w:rFonts w:ascii="Times New Roman" w:cs="Times New Roman" w:eastAsia="Times New Roman" w:hAnsi="Times New Roman"/>
          <w:sz w:val="18"/>
          <w:szCs w:val="18"/>
          <w:color w:val="auto"/>
        </w:rPr>
      </w:pPr>
    </w:p>
    <w:p>
      <w:pPr>
        <w:ind w:left="646" w:hanging="322"/>
        <w:spacing w:after="0"/>
        <w:tabs>
          <w:tab w:leader="none" w:pos="64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adoption of our existing products;</w:t>
      </w:r>
    </w:p>
    <w:p>
      <w:pPr>
        <w:spacing w:after="0" w:line="171" w:lineRule="exact"/>
        <w:rPr>
          <w:rFonts w:ascii="Times New Roman" w:cs="Times New Roman" w:eastAsia="Times New Roman" w:hAnsi="Times New Roman"/>
          <w:sz w:val="18"/>
          <w:szCs w:val="18"/>
          <w:color w:val="auto"/>
        </w:rPr>
      </w:pPr>
    </w:p>
    <w:p>
      <w:pPr>
        <w:ind w:left="646" w:hanging="322"/>
        <w:spacing w:after="0"/>
        <w:tabs>
          <w:tab w:leader="none" w:pos="64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market opportunity by developing new products and expanding our audience;</w:t>
      </w:r>
    </w:p>
    <w:p>
      <w:pPr>
        <w:spacing w:after="0" w:line="171" w:lineRule="exact"/>
        <w:rPr>
          <w:rFonts w:ascii="Times New Roman" w:cs="Times New Roman" w:eastAsia="Times New Roman" w:hAnsi="Times New Roman"/>
          <w:sz w:val="18"/>
          <w:szCs w:val="18"/>
          <w:color w:val="auto"/>
        </w:rPr>
      </w:pPr>
    </w:p>
    <w:p>
      <w:pPr>
        <w:ind w:left="646" w:hanging="322"/>
        <w:spacing w:after="0"/>
        <w:tabs>
          <w:tab w:leader="none" w:pos="64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into the employer channel with Chime Enterprise; and</w:t>
      </w:r>
    </w:p>
    <w:p>
      <w:pPr>
        <w:spacing w:after="0" w:line="171" w:lineRule="exact"/>
        <w:rPr>
          <w:rFonts w:ascii="Times New Roman" w:cs="Times New Roman" w:eastAsia="Times New Roman" w:hAnsi="Times New Roman"/>
          <w:sz w:val="18"/>
          <w:szCs w:val="18"/>
          <w:color w:val="auto"/>
        </w:rPr>
      </w:pPr>
    </w:p>
    <w:p>
      <w:pPr>
        <w:ind w:left="646" w:hanging="322"/>
        <w:spacing w:after="0"/>
        <w:tabs>
          <w:tab w:leader="none" w:pos="64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selectively pursue strategic investments and acquisitions.</w:t>
      </w:r>
    </w:p>
    <w:p>
      <w:pPr>
        <w:spacing w:after="0" w:line="16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75" w:lineRule="exact"/>
        <w:rPr>
          <w:sz w:val="20"/>
          <w:szCs w:val="20"/>
          <w:color w:val="auto"/>
        </w:rPr>
      </w:pPr>
    </w:p>
    <w:p>
      <w:pPr>
        <w:ind w:left="6" w:right="720" w:firstLine="324"/>
        <w:spacing w:after="0" w:line="28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highlighted in the section titled “Risk Factors” immediately following this prospectus summary. These risks include the following:</w:t>
      </w:r>
    </w:p>
    <w:p>
      <w:pPr>
        <w:spacing w:after="0" w:line="108" w:lineRule="exact"/>
        <w:rPr>
          <w:sz w:val="20"/>
          <w:szCs w:val="20"/>
          <w:color w:val="auto"/>
        </w:rPr>
      </w:pPr>
    </w:p>
    <w:p>
      <w:pPr>
        <w:ind w:left="646" w:right="260" w:hanging="322"/>
        <w:spacing w:after="0" w:line="282" w:lineRule="auto"/>
        <w:tabs>
          <w:tab w:leader="none" w:pos="64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attract and retain Active Members, and maintain and increase the revenue we generate from our Active Members, which may adversely affect our business, financial condition, and results of operations.</w:t>
      </w:r>
    </w:p>
    <w:p>
      <w:pPr>
        <w:spacing w:after="0" w:line="238" w:lineRule="exact"/>
        <w:rPr>
          <w:sz w:val="20"/>
          <w:szCs w:val="20"/>
          <w:color w:val="auto"/>
        </w:rPr>
      </w:pPr>
    </w:p>
    <w:p>
      <w:pPr>
        <w:ind w:left="326" w:right="160" w:hanging="326"/>
        <w:spacing w:after="0" w:line="221" w:lineRule="auto"/>
        <w:tabs>
          <w:tab w:leader="none" w:pos="329" w:val="left"/>
        </w:tabs>
        <w:numPr>
          <w:ilvl w:val="0"/>
          <w:numId w:val="2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Estimated revenue opportunity calculated by multiplying the 196 million adult Americans earning up to $100,000 annually by the ARPAM for the fourth quarter of 2024 for members who used at least six products per month in December 2024.</w:t>
      </w:r>
    </w:p>
    <w:p>
      <w:pPr>
        <w:ind w:left="326" w:right="40" w:hanging="326"/>
        <w:spacing w:after="0" w:line="261" w:lineRule="auto"/>
        <w:tabs>
          <w:tab w:leader="none" w:pos="305" w:val="left"/>
        </w:tabs>
        <w:numPr>
          <w:ilvl w:val="0"/>
          <w:numId w:val="2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$312 billion annual revenue opportunity is estimated for Americans earning up to $100,000 annually across our core products as well as opportunities including installment loans (such as home, auto, and personal loans); unsecured credit cards; longer-term saving; retirement, investing, and wealth management; insurance; and enhanced rewards. FS Vector Report; see the section titled “Industry, Market, and Other Data.”</w:t>
      </w:r>
    </w:p>
    <w:p>
      <w:pPr>
        <w:spacing w:after="0" w:line="1" w:lineRule="exact"/>
        <w:rPr>
          <w:rFonts w:ascii="Times New Roman" w:cs="Times New Roman" w:eastAsia="Times New Roman" w:hAnsi="Times New Roman"/>
          <w:sz w:val="9"/>
          <w:szCs w:val="9"/>
          <w:color w:val="auto"/>
        </w:rPr>
      </w:pPr>
    </w:p>
    <w:p>
      <w:pPr>
        <w:ind w:left="326" w:right="340" w:hanging="326"/>
        <w:spacing w:after="0" w:line="213" w:lineRule="auto"/>
        <w:tabs>
          <w:tab w:leader="none" w:pos="329" w:val="left"/>
        </w:tabs>
        <w:numPr>
          <w:ilvl w:val="0"/>
          <w:numId w:val="2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Based on the products and opportunities used in the $312 billion annual revenue opportunity, but including the revenue opportunity for Americans earning up to $200,000 annually. FS Vector Report; see the section titled “Industry, Market, and Other Data.”</w:t>
      </w:r>
    </w:p>
    <w:p>
      <w:pPr>
        <w:ind w:left="326" w:hanging="326"/>
        <w:spacing w:after="0"/>
        <w:tabs>
          <w:tab w:leader="none" w:pos="326" w:val="left"/>
        </w:tabs>
        <w:numPr>
          <w:ilvl w:val="0"/>
          <w:numId w:val="2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FS Vector Report; see the section titled “Industry, Market, and Other Data.”</w:t>
      </w:r>
    </w:p>
    <w:p>
      <w:pPr>
        <w:sectPr>
          <w:pgSz w:w="11900" w:h="16838" w:orient="portrait"/>
          <w:cols w:equalWidth="0" w:num="1">
            <w:col w:w="9886"/>
          </w:cols>
          <w:pgMar w:left="994" w:top="124"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9886"/>
          </w:cols>
          <w:pgMar w:left="994" w:top="124" w:right="1019" w:bottom="1440" w:gutter="0" w:footer="0" w:header="0"/>
          <w:type w:val="continuous"/>
        </w:sectPr>
      </w:pPr>
    </w:p>
    <w:bookmarkStart w:id="26" w:name="page27"/>
    <w:bookmarkEnd w:id="26"/>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684530</wp:posOffset>
            </wp:positionV>
            <wp:extent cx="7136130" cy="75050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6130" cy="7505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40" w:right="300" w:hanging="322"/>
        <w:spacing w:after="0" w:line="282"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our bank partners are crucial to our business, and we may be unable to maintain our relationship with either of our bank partners, which may adversely affect our business, financial condition, and results of operations.</w:t>
      </w:r>
    </w:p>
    <w:p>
      <w:pPr>
        <w:spacing w:after="0" w:line="107" w:lineRule="exact"/>
        <w:rPr>
          <w:rFonts w:ascii="Times New Roman" w:cs="Times New Roman" w:eastAsia="Times New Roman" w:hAnsi="Times New Roman"/>
          <w:sz w:val="18"/>
          <w:szCs w:val="18"/>
          <w:color w:val="auto"/>
        </w:rPr>
      </w:pPr>
    </w:p>
    <w:p>
      <w:pPr>
        <w:ind w:left="640" w:right="320" w:hanging="322"/>
        <w:spacing w:after="0" w:line="282"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rules and practices regarding interchange fees, card network fees, and other fees and assessments may adversely affect our business, financial condition, and results of operations.</w:t>
      </w:r>
    </w:p>
    <w:p>
      <w:pPr>
        <w:spacing w:after="0" w:line="107" w:lineRule="exact"/>
        <w:rPr>
          <w:rFonts w:ascii="Times New Roman" w:cs="Times New Roman" w:eastAsia="Times New Roman" w:hAnsi="Times New Roman"/>
          <w:sz w:val="18"/>
          <w:szCs w:val="18"/>
          <w:color w:val="auto"/>
        </w:rPr>
      </w:pPr>
    </w:p>
    <w:p>
      <w:pPr>
        <w:ind w:left="640" w:right="60" w:hanging="322"/>
        <w:spacing w:after="0" w:line="282"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our strong and trusted brand, and we may fail to maintain and protect our brand, which may adversely affect our business, financial condition, and results of operations.</w:t>
      </w:r>
    </w:p>
    <w:p>
      <w:pPr>
        <w:spacing w:after="0" w:line="107" w:lineRule="exact"/>
        <w:rPr>
          <w:rFonts w:ascii="Times New Roman" w:cs="Times New Roman" w:eastAsia="Times New Roman" w:hAnsi="Times New Roman"/>
          <w:sz w:val="18"/>
          <w:szCs w:val="18"/>
          <w:color w:val="auto"/>
        </w:rPr>
      </w:pPr>
    </w:p>
    <w:p>
      <w:pPr>
        <w:ind w:left="640" w:right="80" w:hanging="322"/>
        <w:spacing w:after="0" w:line="266"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engagement with our platform relies on member satisfaction. Any failure to maintain member satisfaction or provide reliable member support may cause member engagement with our products to decline and adversely affect our business, results of operations, and financial condition.</w:t>
      </w:r>
    </w:p>
    <w:p>
      <w:pPr>
        <w:spacing w:after="0" w:line="121" w:lineRule="exact"/>
        <w:rPr>
          <w:rFonts w:ascii="Times New Roman" w:cs="Times New Roman" w:eastAsia="Times New Roman" w:hAnsi="Times New Roman"/>
          <w:sz w:val="18"/>
          <w:szCs w:val="18"/>
          <w:color w:val="auto"/>
        </w:rPr>
      </w:pPr>
    </w:p>
    <w:p>
      <w:pPr>
        <w:jc w:val="both"/>
        <w:ind w:left="640" w:right="160" w:hanging="322"/>
        <w:spacing w:after="0" w:line="266"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on our ability to develop products to address the market for financial services, and we may not be able to develop new products or implement successful enhancements for existing products, which may adversely affect our business, financial condition, and results of operations.</w:t>
      </w:r>
    </w:p>
    <w:p>
      <w:pPr>
        <w:spacing w:after="0" w:line="121" w:lineRule="exact"/>
        <w:rPr>
          <w:rFonts w:ascii="Times New Roman" w:cs="Times New Roman" w:eastAsia="Times New Roman" w:hAnsi="Times New Roman"/>
          <w:sz w:val="18"/>
          <w:szCs w:val="18"/>
          <w:color w:val="auto"/>
        </w:rPr>
      </w:pPr>
    </w:p>
    <w:p>
      <w:pPr>
        <w:ind w:left="640" w:right="60" w:hanging="322"/>
        <w:spacing w:after="0" w:line="266"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our bank partners, we rely on third parties and their systems for a variety of services, and we face risks associated with any failure by these third parties to adequately perform these services, which may adversely affect our business, financial condition, and results of operations.</w:t>
      </w:r>
    </w:p>
    <w:p>
      <w:pPr>
        <w:spacing w:after="0" w:line="12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net losses, and we may not be able to achieve or maintain profitability in the future.</w:t>
      </w:r>
    </w:p>
    <w:p>
      <w:pPr>
        <w:spacing w:after="0" w:line="171" w:lineRule="exact"/>
        <w:rPr>
          <w:rFonts w:ascii="Times New Roman" w:cs="Times New Roman" w:eastAsia="Times New Roman" w:hAnsi="Times New Roman"/>
          <w:sz w:val="18"/>
          <w:szCs w:val="18"/>
          <w:color w:val="auto"/>
        </w:rPr>
      </w:pPr>
    </w:p>
    <w:p>
      <w:pPr>
        <w:ind w:left="640" w:right="60" w:hanging="322"/>
        <w:spacing w:after="0" w:line="266"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a wide range of complex and evolving laws and regulations, which are subject to change and to uncertain interpretation, and failure by us or by our bank partners or third-party service providers to comply with such laws and regulations may adversely affect our business, financial condition, and results of operations.</w:t>
      </w:r>
    </w:p>
    <w:p>
      <w:pPr>
        <w:spacing w:after="0" w:line="121" w:lineRule="exact"/>
        <w:rPr>
          <w:rFonts w:ascii="Times New Roman" w:cs="Times New Roman" w:eastAsia="Times New Roman" w:hAnsi="Times New Roman"/>
          <w:sz w:val="18"/>
          <w:szCs w:val="18"/>
          <w:color w:val="auto"/>
        </w:rPr>
      </w:pPr>
    </w:p>
    <w:p>
      <w:pPr>
        <w:ind w:left="640" w:right="40" w:hanging="322"/>
        <w:spacing w:after="0" w:line="261"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framework for our business is evolving and uncertain as federal and state governments consider new laws and regulations to regulate financial services companies and their partners that, independently or together, provide digital banking services. Additional laws and regulations, or new interpretations thereof, may adversely affect our business, financial condition, and results of operations.</w:t>
      </w:r>
    </w:p>
    <w:p>
      <w:pPr>
        <w:spacing w:after="0" w:line="125" w:lineRule="exact"/>
        <w:rPr>
          <w:rFonts w:ascii="Times New Roman" w:cs="Times New Roman" w:eastAsia="Times New Roman" w:hAnsi="Times New Roman"/>
          <w:sz w:val="18"/>
          <w:szCs w:val="18"/>
          <w:color w:val="auto"/>
        </w:rPr>
      </w:pPr>
    </w:p>
    <w:p>
      <w:pPr>
        <w:ind w:left="640" w:right="580" w:hanging="322"/>
        <w:spacing w:after="0" w:line="266"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related to the banking ecosystem, including through our bank partnerships, FDIC regulations and policies, and other regulatory obligations, which may adversely affect our business, financial condition, and results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CHANNELS FOR DISCLOSURE OF INFORMATION</w:t>
      </w:r>
    </w:p>
    <w:p>
      <w:pPr>
        <w:spacing w:after="0" w:line="175"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Investors, the media and others should note that, following the completion of this offering, we intend to announce material information to the public through filings with the Securities and Exchange Commission (the “SEC”), the investor relations page on our website, press releases, public conference calls, and webcasts.</w:t>
      </w:r>
    </w:p>
    <w:p>
      <w:pPr>
        <w:spacing w:after="0" w:line="12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information disclosed by the foregoing channels could be deemed to be material information. As such, following the completion of this offering, we encourage investors, the media, and others to follow the channels listed above and to review the information disclosed through such channels. We are not incorporating any of the information in such channels into this prospectus.</w:t>
      </w:r>
    </w:p>
    <w:p>
      <w:pPr>
        <w:spacing w:after="0" w:line="122"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Any updates to the list of disclosure channels through which we will announce information will be posted on the investor relations page on our website.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75"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We were incorporated in 2012 as 1debit, Inc., a Delaware corporation. In 2019, we changed our name to Chime Financial, Inc. Our principal executive offices are located at 101 California Street, Suite 500, San Francisco,</w:t>
      </w:r>
    </w:p>
    <w:p>
      <w:pPr>
        <w:sectPr>
          <w:pgSz w:w="11900" w:h="16838" w:orient="portrait"/>
          <w:cols w:equalWidth="0" w:num="1">
            <w:col w:w="9880"/>
          </w:cols>
          <w:pgMar w:left="1000" w:top="124"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9880"/>
          </w:cols>
          <w:pgMar w:left="1000" w:top="124" w:right="1019" w:bottom="1440" w:gutter="0" w:footer="0" w:header="0"/>
          <w:type w:val="continuous"/>
        </w:sectPr>
      </w:pPr>
    </w:p>
    <w:bookmarkStart w:id="27" w:name="page28"/>
    <w:bookmarkEnd w:id="27"/>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684530</wp:posOffset>
            </wp:positionV>
            <wp:extent cx="7136130" cy="18129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6130" cy="1812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California 94111, and our telephone number is (844) 244-6363. Our website address is www.chime.com. Information contained on, or that can be accessed through, our website does not constitute part of this prospectus and inclusions of our website address in this prospectus are inactive textual references only. You should not consider information contained on our website to be part of this prospectus or in deciding whether to purchase shares of our common stock.</w:t>
      </w:r>
    </w:p>
    <w:p>
      <w:pPr>
        <w:spacing w:after="0" w:line="12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“Chime,” our logo and our other registered or common law trademarks, service marks or trade names appearing in this prospectus are the property of Chime Financial, Inc. Other trademarks and trade names referred to in this prospectus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9680"/>
          </w:cols>
          <w:pgMar w:left="1000" w:top="124" w:right="121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684530</wp:posOffset>
            </wp:positionV>
            <wp:extent cx="7136130" cy="72390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6130" cy="723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356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THE OFFERING</w:t>
            </w:r>
          </w:p>
        </w:tc>
        <w:tc>
          <w:tcPr>
            <w:tcW w:w="1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418"/>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offered by us</w:t>
            </w:r>
          </w:p>
        </w:tc>
        <w:tc>
          <w:tcPr>
            <w:tcW w:w="35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shares</w:t>
            </w: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8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to be outstanding after this offering</w:t>
            </w:r>
          </w:p>
        </w:tc>
        <w:tc>
          <w:tcPr>
            <w:tcW w:w="35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shares</w:t>
            </w: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38"/>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Option to purchase additional shares of common</w:t>
            </w:r>
          </w:p>
        </w:tc>
        <w:tc>
          <w:tcPr>
            <w:tcW w:w="3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34"/>
        </w:trPr>
        <w:tc>
          <w:tcPr>
            <w:tcW w:w="3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 from us</w:t>
            </w:r>
          </w:p>
        </w:tc>
        <w:tc>
          <w:tcPr>
            <w:tcW w:w="35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shares</w:t>
            </w:r>
          </w:p>
        </w:tc>
        <w:tc>
          <w:tcPr>
            <w:tcW w:w="1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38"/>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60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We estimate that the net proceeds from the sale of shares of our common stock in</w:t>
            </w:r>
          </w:p>
        </w:tc>
      </w:tr>
      <w:tr>
        <w:trPr>
          <w:trHeight w:val="180"/>
        </w:trPr>
        <w:tc>
          <w:tcPr>
            <w:tcW w:w="3800" w:type="dxa"/>
            <w:vAlign w:val="bottom"/>
          </w:tcPr>
          <w:p>
            <w:pPr>
              <w:spacing w:after="0"/>
              <w:rPr>
                <w:sz w:val="15"/>
                <w:szCs w:val="15"/>
                <w:color w:val="auto"/>
              </w:rPr>
            </w:pPr>
          </w:p>
        </w:tc>
        <w:tc>
          <w:tcPr>
            <w:tcW w:w="3560" w:type="dxa"/>
            <w:vAlign w:val="bottom"/>
          </w:tcPr>
          <w:p>
            <w:pPr>
              <w:ind w:left="120"/>
              <w:spacing w:after="0" w:line="181" w:lineRule="exact"/>
              <w:rPr>
                <w:sz w:val="20"/>
                <w:szCs w:val="20"/>
                <w:color w:val="auto"/>
              </w:rPr>
            </w:pPr>
            <w:r>
              <w:rPr>
                <w:rFonts w:ascii="Times New Roman" w:cs="Times New Roman" w:eastAsia="Times New Roman" w:hAnsi="Times New Roman"/>
                <w:sz w:val="18"/>
                <w:szCs w:val="18"/>
                <w:color w:val="auto"/>
              </w:rPr>
              <w:t>this offering will be approximately $</w:t>
            </w:r>
          </w:p>
        </w:tc>
        <w:tc>
          <w:tcPr>
            <w:tcW w:w="20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(or approximately $</w:t>
            </w:r>
          </w:p>
        </w:tc>
        <w:tc>
          <w:tcPr>
            <w:tcW w:w="4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if the</w:t>
            </w:r>
          </w:p>
        </w:tc>
      </w:tr>
      <w:tr>
        <w:trPr>
          <w:trHeight w:val="176"/>
        </w:trPr>
        <w:tc>
          <w:tcPr>
            <w:tcW w:w="3800" w:type="dxa"/>
            <w:vAlign w:val="bottom"/>
          </w:tcPr>
          <w:p>
            <w:pPr>
              <w:spacing w:after="0"/>
              <w:rPr>
                <w:sz w:val="15"/>
                <w:szCs w:val="15"/>
                <w:color w:val="auto"/>
              </w:rPr>
            </w:pPr>
          </w:p>
        </w:tc>
        <w:tc>
          <w:tcPr>
            <w:tcW w:w="6060" w:type="dxa"/>
            <w:vAlign w:val="bottom"/>
            <w:gridSpan w:val="4"/>
          </w:tcPr>
          <w:p>
            <w:pPr>
              <w:ind w:left="120"/>
              <w:spacing w:after="0" w:line="176" w:lineRule="exact"/>
              <w:rPr>
                <w:sz w:val="20"/>
                <w:szCs w:val="20"/>
                <w:color w:val="auto"/>
              </w:rPr>
            </w:pPr>
            <w:r>
              <w:rPr>
                <w:rFonts w:ascii="Times New Roman" w:cs="Times New Roman" w:eastAsia="Times New Roman" w:hAnsi="Times New Roman"/>
                <w:sz w:val="18"/>
                <w:szCs w:val="18"/>
                <w:color w:val="auto"/>
              </w:rPr>
              <w:t>underwriters’ option to purchase additional shares of our common stock is</w:t>
            </w:r>
          </w:p>
        </w:tc>
      </w:tr>
      <w:tr>
        <w:trPr>
          <w:trHeight w:val="184"/>
        </w:trPr>
        <w:tc>
          <w:tcPr>
            <w:tcW w:w="3800" w:type="dxa"/>
            <w:vAlign w:val="bottom"/>
          </w:tcPr>
          <w:p>
            <w:pPr>
              <w:spacing w:after="0"/>
              <w:rPr>
                <w:sz w:val="16"/>
                <w:szCs w:val="16"/>
                <w:color w:val="auto"/>
              </w:rPr>
            </w:pPr>
          </w:p>
        </w:tc>
        <w:tc>
          <w:tcPr>
            <w:tcW w:w="5580" w:type="dxa"/>
            <w:vAlign w:val="bottom"/>
            <w:gridSpan w:val="3"/>
          </w:tcPr>
          <w:p>
            <w:pPr>
              <w:ind w:left="120"/>
              <w:spacing w:after="0" w:line="184" w:lineRule="exact"/>
              <w:rPr>
                <w:sz w:val="20"/>
                <w:szCs w:val="20"/>
                <w:color w:val="auto"/>
              </w:rPr>
            </w:pPr>
            <w:r>
              <w:rPr>
                <w:rFonts w:ascii="Times New Roman" w:cs="Times New Roman" w:eastAsia="Times New Roman" w:hAnsi="Times New Roman"/>
                <w:sz w:val="18"/>
                <w:szCs w:val="18"/>
                <w:color w:val="auto"/>
              </w:rPr>
              <w:t>exercised in full), based upon the assumed initial public offering price of $</w:t>
            </w:r>
          </w:p>
        </w:tc>
        <w:tc>
          <w:tcPr>
            <w:tcW w:w="4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per</w:t>
            </w:r>
          </w:p>
        </w:tc>
      </w:tr>
      <w:tr>
        <w:trPr>
          <w:trHeight w:val="180"/>
        </w:trPr>
        <w:tc>
          <w:tcPr>
            <w:tcW w:w="3800" w:type="dxa"/>
            <w:vAlign w:val="bottom"/>
          </w:tcPr>
          <w:p>
            <w:pPr>
              <w:spacing w:after="0"/>
              <w:rPr>
                <w:sz w:val="15"/>
                <w:szCs w:val="15"/>
                <w:color w:val="auto"/>
              </w:rPr>
            </w:pPr>
          </w:p>
        </w:tc>
        <w:tc>
          <w:tcPr>
            <w:tcW w:w="6060" w:type="dxa"/>
            <w:vAlign w:val="bottom"/>
            <w:gridSpan w:val="4"/>
          </w:tcPr>
          <w:p>
            <w:pPr>
              <w:ind w:left="120"/>
              <w:spacing w:after="0" w:line="181" w:lineRule="exact"/>
              <w:rPr>
                <w:sz w:val="20"/>
                <w:szCs w:val="20"/>
                <w:color w:val="auto"/>
              </w:rPr>
            </w:pPr>
            <w:r>
              <w:rPr>
                <w:rFonts w:ascii="Times New Roman" w:cs="Times New Roman" w:eastAsia="Times New Roman" w:hAnsi="Times New Roman"/>
                <w:sz w:val="18"/>
                <w:szCs w:val="18"/>
                <w:color w:val="auto"/>
              </w:rPr>
              <w:t>share, which is the midpoint of the estimated offering price range set forth on the</w:t>
            </w:r>
          </w:p>
        </w:tc>
      </w:tr>
      <w:tr>
        <w:trPr>
          <w:trHeight w:val="176"/>
        </w:trPr>
        <w:tc>
          <w:tcPr>
            <w:tcW w:w="3800" w:type="dxa"/>
            <w:vAlign w:val="bottom"/>
          </w:tcPr>
          <w:p>
            <w:pPr>
              <w:spacing w:after="0"/>
              <w:rPr>
                <w:sz w:val="15"/>
                <w:szCs w:val="15"/>
                <w:color w:val="auto"/>
              </w:rPr>
            </w:pPr>
          </w:p>
        </w:tc>
        <w:tc>
          <w:tcPr>
            <w:tcW w:w="6060" w:type="dxa"/>
            <w:vAlign w:val="bottom"/>
            <w:gridSpan w:val="4"/>
          </w:tcPr>
          <w:p>
            <w:pPr>
              <w:ind w:left="120"/>
              <w:spacing w:after="0" w:line="176" w:lineRule="exact"/>
              <w:rPr>
                <w:sz w:val="20"/>
                <w:szCs w:val="20"/>
                <w:color w:val="auto"/>
              </w:rPr>
            </w:pPr>
            <w:r>
              <w:rPr>
                <w:rFonts w:ascii="Times New Roman" w:cs="Times New Roman" w:eastAsia="Times New Roman" w:hAnsi="Times New Roman"/>
                <w:sz w:val="18"/>
                <w:szCs w:val="18"/>
                <w:color w:val="auto"/>
              </w:rPr>
              <w:t>cover  page  of  this  prospectus,  and  after  deducting  estimated  underwriting</w:t>
            </w:r>
          </w:p>
        </w:tc>
      </w:tr>
      <w:tr>
        <w:trPr>
          <w:trHeight w:val="234"/>
        </w:trPr>
        <w:tc>
          <w:tcPr>
            <w:tcW w:w="3800" w:type="dxa"/>
            <w:vAlign w:val="bottom"/>
          </w:tcPr>
          <w:p>
            <w:pPr>
              <w:spacing w:after="0"/>
              <w:rPr>
                <w:sz w:val="20"/>
                <w:szCs w:val="20"/>
                <w:color w:val="auto"/>
              </w:rPr>
            </w:pPr>
          </w:p>
        </w:tc>
        <w:tc>
          <w:tcPr>
            <w:tcW w:w="55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discounts and commissions and estimated offering expenses payable by us.</w:t>
            </w:r>
          </w:p>
        </w:tc>
        <w:tc>
          <w:tcPr>
            <w:tcW w:w="480" w:type="dxa"/>
            <w:vAlign w:val="bottom"/>
          </w:tcPr>
          <w:p>
            <w:pPr>
              <w:spacing w:after="0"/>
              <w:rPr>
                <w:sz w:val="20"/>
                <w:szCs w:val="20"/>
                <w:color w:val="auto"/>
              </w:rPr>
            </w:pPr>
          </w:p>
        </w:tc>
      </w:tr>
      <w:tr>
        <w:trPr>
          <w:trHeight w:val="292"/>
        </w:trPr>
        <w:tc>
          <w:tcPr>
            <w:tcW w:w="3800" w:type="dxa"/>
            <w:vAlign w:val="bottom"/>
          </w:tcPr>
          <w:p>
            <w:pPr>
              <w:spacing w:after="0"/>
              <w:rPr>
                <w:sz w:val="24"/>
                <w:szCs w:val="24"/>
                <w:color w:val="auto"/>
              </w:rPr>
            </w:pPr>
          </w:p>
        </w:tc>
        <w:tc>
          <w:tcPr>
            <w:tcW w:w="60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The principal purposes of this offering are to increase our capitalization and</w:t>
            </w:r>
          </w:p>
        </w:tc>
      </w:tr>
      <w:tr>
        <w:trPr>
          <w:trHeight w:val="176"/>
        </w:trPr>
        <w:tc>
          <w:tcPr>
            <w:tcW w:w="3800" w:type="dxa"/>
            <w:vAlign w:val="bottom"/>
          </w:tcPr>
          <w:p>
            <w:pPr>
              <w:spacing w:after="0"/>
              <w:rPr>
                <w:sz w:val="15"/>
                <w:szCs w:val="15"/>
                <w:color w:val="auto"/>
              </w:rPr>
            </w:pPr>
          </w:p>
        </w:tc>
        <w:tc>
          <w:tcPr>
            <w:tcW w:w="6060" w:type="dxa"/>
            <w:vAlign w:val="bottom"/>
            <w:gridSpan w:val="4"/>
          </w:tcPr>
          <w:p>
            <w:pPr>
              <w:ind w:left="120"/>
              <w:spacing w:after="0" w:line="176" w:lineRule="exact"/>
              <w:rPr>
                <w:sz w:val="20"/>
                <w:szCs w:val="20"/>
                <w:color w:val="auto"/>
              </w:rPr>
            </w:pPr>
            <w:r>
              <w:rPr>
                <w:rFonts w:ascii="Times New Roman" w:cs="Times New Roman" w:eastAsia="Times New Roman" w:hAnsi="Times New Roman"/>
                <w:sz w:val="18"/>
                <w:szCs w:val="18"/>
                <w:color w:val="auto"/>
              </w:rPr>
              <w:t>financial flexibility, create a public market for our common stock, and enable</w:t>
            </w:r>
          </w:p>
        </w:tc>
      </w:tr>
      <w:tr>
        <w:trPr>
          <w:trHeight w:val="184"/>
        </w:trPr>
        <w:tc>
          <w:tcPr>
            <w:tcW w:w="3800" w:type="dxa"/>
            <w:vAlign w:val="bottom"/>
          </w:tcPr>
          <w:p>
            <w:pPr>
              <w:spacing w:after="0"/>
              <w:rPr>
                <w:sz w:val="16"/>
                <w:szCs w:val="16"/>
                <w:color w:val="auto"/>
              </w:rPr>
            </w:pPr>
          </w:p>
        </w:tc>
        <w:tc>
          <w:tcPr>
            <w:tcW w:w="6060" w:type="dxa"/>
            <w:vAlign w:val="bottom"/>
            <w:gridSpan w:val="4"/>
          </w:tcPr>
          <w:p>
            <w:pPr>
              <w:ind w:left="120"/>
              <w:spacing w:after="0" w:line="184" w:lineRule="exact"/>
              <w:rPr>
                <w:sz w:val="20"/>
                <w:szCs w:val="20"/>
                <w:color w:val="auto"/>
              </w:rPr>
            </w:pPr>
            <w:r>
              <w:rPr>
                <w:rFonts w:ascii="Times New Roman" w:cs="Times New Roman" w:eastAsia="Times New Roman" w:hAnsi="Times New Roman"/>
                <w:sz w:val="18"/>
                <w:szCs w:val="18"/>
                <w:color w:val="auto"/>
              </w:rPr>
              <w:t>access to the public equity markets for us and our stockholders. We intend to use</w:t>
            </w:r>
          </w:p>
        </w:tc>
      </w:tr>
      <w:tr>
        <w:trPr>
          <w:trHeight w:val="180"/>
        </w:trPr>
        <w:tc>
          <w:tcPr>
            <w:tcW w:w="3800" w:type="dxa"/>
            <w:vAlign w:val="bottom"/>
          </w:tcPr>
          <w:p>
            <w:pPr>
              <w:spacing w:after="0"/>
              <w:rPr>
                <w:sz w:val="15"/>
                <w:szCs w:val="15"/>
                <w:color w:val="auto"/>
              </w:rPr>
            </w:pPr>
          </w:p>
        </w:tc>
        <w:tc>
          <w:tcPr>
            <w:tcW w:w="6060" w:type="dxa"/>
            <w:vAlign w:val="bottom"/>
            <w:gridSpan w:val="4"/>
          </w:tcPr>
          <w:p>
            <w:pPr>
              <w:ind w:left="120"/>
              <w:spacing w:after="0" w:line="181" w:lineRule="exact"/>
              <w:rPr>
                <w:sz w:val="20"/>
                <w:szCs w:val="20"/>
                <w:color w:val="auto"/>
              </w:rPr>
            </w:pPr>
            <w:r>
              <w:rPr>
                <w:rFonts w:ascii="Times New Roman" w:cs="Times New Roman" w:eastAsia="Times New Roman" w:hAnsi="Times New Roman"/>
                <w:sz w:val="18"/>
                <w:szCs w:val="18"/>
                <w:color w:val="auto"/>
              </w:rPr>
              <w:t>the net proceeds from this offering for general corporate purposes, including</w:t>
            </w:r>
          </w:p>
        </w:tc>
      </w:tr>
      <w:tr>
        <w:trPr>
          <w:trHeight w:val="176"/>
        </w:trPr>
        <w:tc>
          <w:tcPr>
            <w:tcW w:w="3800" w:type="dxa"/>
            <w:vAlign w:val="bottom"/>
          </w:tcPr>
          <w:p>
            <w:pPr>
              <w:spacing w:after="0"/>
              <w:rPr>
                <w:sz w:val="15"/>
                <w:szCs w:val="15"/>
                <w:color w:val="auto"/>
              </w:rPr>
            </w:pPr>
          </w:p>
        </w:tc>
        <w:tc>
          <w:tcPr>
            <w:tcW w:w="6060" w:type="dxa"/>
            <w:vAlign w:val="bottom"/>
            <w:gridSpan w:val="4"/>
          </w:tcPr>
          <w:p>
            <w:pPr>
              <w:ind w:left="120"/>
              <w:spacing w:after="0" w:line="176" w:lineRule="exact"/>
              <w:rPr>
                <w:sz w:val="20"/>
                <w:szCs w:val="20"/>
                <w:color w:val="auto"/>
              </w:rPr>
            </w:pPr>
            <w:r>
              <w:rPr>
                <w:rFonts w:ascii="Times New Roman" w:cs="Times New Roman" w:eastAsia="Times New Roman" w:hAnsi="Times New Roman"/>
                <w:sz w:val="18"/>
                <w:szCs w:val="18"/>
                <w:color w:val="auto"/>
              </w:rPr>
              <w:t>working capital, operating expenses, and capital expenditures. Additionally, we</w:t>
            </w:r>
          </w:p>
        </w:tc>
      </w:tr>
      <w:tr>
        <w:trPr>
          <w:trHeight w:val="184"/>
        </w:trPr>
        <w:tc>
          <w:tcPr>
            <w:tcW w:w="3800" w:type="dxa"/>
            <w:vAlign w:val="bottom"/>
          </w:tcPr>
          <w:p>
            <w:pPr>
              <w:spacing w:after="0"/>
              <w:rPr>
                <w:sz w:val="16"/>
                <w:szCs w:val="16"/>
                <w:color w:val="auto"/>
              </w:rPr>
            </w:pPr>
          </w:p>
        </w:tc>
        <w:tc>
          <w:tcPr>
            <w:tcW w:w="6060" w:type="dxa"/>
            <w:vAlign w:val="bottom"/>
            <w:gridSpan w:val="4"/>
          </w:tcPr>
          <w:p>
            <w:pPr>
              <w:ind w:left="120"/>
              <w:spacing w:after="0" w:line="184" w:lineRule="exact"/>
              <w:rPr>
                <w:sz w:val="20"/>
                <w:szCs w:val="20"/>
                <w:color w:val="auto"/>
              </w:rPr>
            </w:pPr>
            <w:r>
              <w:rPr>
                <w:rFonts w:ascii="Times New Roman" w:cs="Times New Roman" w:eastAsia="Times New Roman" w:hAnsi="Times New Roman"/>
                <w:sz w:val="18"/>
                <w:szCs w:val="18"/>
                <w:color w:val="auto"/>
              </w:rPr>
              <w:t>may use a portion of the net proceeds to acquire or invest in businesses, products,</w:t>
            </w:r>
          </w:p>
        </w:tc>
      </w:tr>
      <w:tr>
        <w:trPr>
          <w:trHeight w:val="180"/>
        </w:trPr>
        <w:tc>
          <w:tcPr>
            <w:tcW w:w="3800" w:type="dxa"/>
            <w:vAlign w:val="bottom"/>
          </w:tcPr>
          <w:p>
            <w:pPr>
              <w:spacing w:after="0"/>
              <w:rPr>
                <w:sz w:val="15"/>
                <w:szCs w:val="15"/>
                <w:color w:val="auto"/>
              </w:rPr>
            </w:pPr>
          </w:p>
        </w:tc>
        <w:tc>
          <w:tcPr>
            <w:tcW w:w="6060" w:type="dxa"/>
            <w:vAlign w:val="bottom"/>
            <w:gridSpan w:val="4"/>
          </w:tcPr>
          <w:p>
            <w:pPr>
              <w:ind w:left="120"/>
              <w:spacing w:after="0" w:line="181" w:lineRule="exact"/>
              <w:rPr>
                <w:sz w:val="20"/>
                <w:szCs w:val="20"/>
                <w:color w:val="auto"/>
              </w:rPr>
            </w:pPr>
            <w:r>
              <w:rPr>
                <w:rFonts w:ascii="Times New Roman" w:cs="Times New Roman" w:eastAsia="Times New Roman" w:hAnsi="Times New Roman"/>
                <w:sz w:val="18"/>
                <w:szCs w:val="18"/>
                <w:color w:val="auto"/>
              </w:rPr>
              <w:t>services, or technologies. However, we do not have agreements or commitments</w:t>
            </w:r>
          </w:p>
        </w:tc>
      </w:tr>
      <w:tr>
        <w:trPr>
          <w:trHeight w:val="176"/>
        </w:trPr>
        <w:tc>
          <w:tcPr>
            <w:tcW w:w="3800" w:type="dxa"/>
            <w:vAlign w:val="bottom"/>
          </w:tcPr>
          <w:p>
            <w:pPr>
              <w:spacing w:after="0"/>
              <w:rPr>
                <w:sz w:val="15"/>
                <w:szCs w:val="15"/>
                <w:color w:val="auto"/>
              </w:rPr>
            </w:pPr>
          </w:p>
        </w:tc>
        <w:tc>
          <w:tcPr>
            <w:tcW w:w="6060" w:type="dxa"/>
            <w:vAlign w:val="bottom"/>
            <w:gridSpan w:val="4"/>
          </w:tcPr>
          <w:p>
            <w:pPr>
              <w:ind w:left="120"/>
              <w:spacing w:after="0" w:line="176" w:lineRule="exact"/>
              <w:rPr>
                <w:sz w:val="20"/>
                <w:szCs w:val="20"/>
                <w:color w:val="auto"/>
              </w:rPr>
            </w:pPr>
            <w:r>
              <w:rPr>
                <w:rFonts w:ascii="Times New Roman" w:cs="Times New Roman" w:eastAsia="Times New Roman" w:hAnsi="Times New Roman"/>
                <w:sz w:val="18"/>
                <w:szCs w:val="18"/>
                <w:color w:val="auto"/>
              </w:rPr>
              <w:t>for any material acquisitions or investments at this time. We also intend to use a</w:t>
            </w:r>
          </w:p>
        </w:tc>
      </w:tr>
      <w:tr>
        <w:trPr>
          <w:trHeight w:val="184"/>
        </w:trPr>
        <w:tc>
          <w:tcPr>
            <w:tcW w:w="3800" w:type="dxa"/>
            <w:vAlign w:val="bottom"/>
          </w:tcPr>
          <w:p>
            <w:pPr>
              <w:spacing w:after="0"/>
              <w:rPr>
                <w:sz w:val="16"/>
                <w:szCs w:val="16"/>
                <w:color w:val="auto"/>
              </w:rPr>
            </w:pPr>
          </w:p>
        </w:tc>
        <w:tc>
          <w:tcPr>
            <w:tcW w:w="6060" w:type="dxa"/>
            <w:vAlign w:val="bottom"/>
            <w:gridSpan w:val="4"/>
          </w:tcPr>
          <w:p>
            <w:pPr>
              <w:ind w:left="120"/>
              <w:spacing w:after="0" w:line="184" w:lineRule="exact"/>
              <w:rPr>
                <w:sz w:val="20"/>
                <w:szCs w:val="20"/>
                <w:color w:val="auto"/>
              </w:rPr>
            </w:pPr>
            <w:r>
              <w:rPr>
                <w:rFonts w:ascii="Times New Roman" w:cs="Times New Roman" w:eastAsia="Times New Roman" w:hAnsi="Times New Roman"/>
                <w:sz w:val="18"/>
                <w:szCs w:val="18"/>
                <w:color w:val="auto"/>
              </w:rPr>
              <w:t>portion of the net proceeds to satisfy our anticipated tax withholding and</w:t>
            </w:r>
          </w:p>
        </w:tc>
      </w:tr>
      <w:tr>
        <w:trPr>
          <w:trHeight w:val="180"/>
        </w:trPr>
        <w:tc>
          <w:tcPr>
            <w:tcW w:w="3800" w:type="dxa"/>
            <w:vAlign w:val="bottom"/>
          </w:tcPr>
          <w:p>
            <w:pPr>
              <w:spacing w:after="0"/>
              <w:rPr>
                <w:sz w:val="15"/>
                <w:szCs w:val="15"/>
                <w:color w:val="auto"/>
              </w:rPr>
            </w:pPr>
          </w:p>
        </w:tc>
        <w:tc>
          <w:tcPr>
            <w:tcW w:w="6060" w:type="dxa"/>
            <w:vAlign w:val="bottom"/>
            <w:gridSpan w:val="4"/>
          </w:tcPr>
          <w:p>
            <w:pPr>
              <w:ind w:left="120"/>
              <w:spacing w:after="0" w:line="181" w:lineRule="exact"/>
              <w:rPr>
                <w:sz w:val="20"/>
                <w:szCs w:val="20"/>
                <w:color w:val="auto"/>
              </w:rPr>
            </w:pPr>
            <w:r>
              <w:rPr>
                <w:rFonts w:ascii="Times New Roman" w:cs="Times New Roman" w:eastAsia="Times New Roman" w:hAnsi="Times New Roman"/>
                <w:sz w:val="18"/>
                <w:szCs w:val="18"/>
                <w:color w:val="auto"/>
              </w:rPr>
              <w:t>remittance obligations related to the settlement of certain of our outstanding</w:t>
            </w:r>
          </w:p>
        </w:tc>
      </w:tr>
      <w:tr>
        <w:trPr>
          <w:trHeight w:val="175"/>
        </w:trPr>
        <w:tc>
          <w:tcPr>
            <w:tcW w:w="3800" w:type="dxa"/>
            <w:vAlign w:val="bottom"/>
          </w:tcPr>
          <w:p>
            <w:pPr>
              <w:spacing w:after="0"/>
              <w:rPr>
                <w:sz w:val="15"/>
                <w:szCs w:val="15"/>
                <w:color w:val="auto"/>
              </w:rPr>
            </w:pPr>
          </w:p>
        </w:tc>
        <w:tc>
          <w:tcPr>
            <w:tcW w:w="6060" w:type="dxa"/>
            <w:vAlign w:val="bottom"/>
            <w:gridSpan w:val="4"/>
          </w:tcPr>
          <w:p>
            <w:pPr>
              <w:ind w:left="120"/>
              <w:spacing w:after="0" w:line="176" w:lineRule="exact"/>
              <w:rPr>
                <w:sz w:val="20"/>
                <w:szCs w:val="20"/>
                <w:color w:val="auto"/>
              </w:rPr>
            </w:pPr>
            <w:r>
              <w:rPr>
                <w:rFonts w:ascii="Times New Roman" w:cs="Times New Roman" w:eastAsia="Times New Roman" w:hAnsi="Times New Roman"/>
                <w:sz w:val="18"/>
                <w:szCs w:val="18"/>
                <w:color w:val="auto"/>
              </w:rPr>
              <w:t>restricted stock units subject to a service-based and liquidity-based vesting</w:t>
            </w:r>
          </w:p>
        </w:tc>
      </w:tr>
      <w:tr>
        <w:trPr>
          <w:trHeight w:val="189"/>
        </w:trPr>
        <w:tc>
          <w:tcPr>
            <w:tcW w:w="3800" w:type="dxa"/>
            <w:vAlign w:val="bottom"/>
          </w:tcPr>
          <w:p>
            <w:pPr>
              <w:spacing w:after="0"/>
              <w:rPr>
                <w:sz w:val="16"/>
                <w:szCs w:val="16"/>
                <w:color w:val="auto"/>
              </w:rPr>
            </w:pPr>
          </w:p>
        </w:tc>
        <w:tc>
          <w:tcPr>
            <w:tcW w:w="6060" w:type="dxa"/>
            <w:vAlign w:val="bottom"/>
            <w:gridSpan w:val="4"/>
          </w:tcPr>
          <w:p>
            <w:pPr>
              <w:ind w:left="120"/>
              <w:spacing w:after="0" w:line="189" w:lineRule="exact"/>
              <w:rPr>
                <w:sz w:val="20"/>
                <w:szCs w:val="20"/>
                <w:color w:val="auto"/>
              </w:rPr>
            </w:pPr>
            <w:r>
              <w:rPr>
                <w:rFonts w:ascii="Times New Roman" w:cs="Times New Roman" w:eastAsia="Times New Roman" w:hAnsi="Times New Roman"/>
                <w:sz w:val="18"/>
                <w:szCs w:val="18"/>
                <w:color w:val="auto"/>
              </w:rPr>
              <w:t>condition (“RSUs”). See the section titled “</w:t>
            </w:r>
            <w:r>
              <w:rPr>
                <w:rFonts w:ascii="Times New Roman" w:cs="Times New Roman" w:eastAsia="Times New Roman" w:hAnsi="Times New Roman"/>
                <w:sz w:val="18"/>
                <w:szCs w:val="18"/>
                <w:color w:val="0000FF"/>
              </w:rPr>
              <w:t>Use of Proceeds</w:t>
            </w:r>
            <w:r>
              <w:rPr>
                <w:rFonts w:ascii="Times New Roman" w:cs="Times New Roman" w:eastAsia="Times New Roman" w:hAnsi="Times New Roman"/>
                <w:sz w:val="18"/>
                <w:szCs w:val="18"/>
                <w:color w:val="auto"/>
              </w:rPr>
              <w:t>” for additional</w:t>
            </w:r>
          </w:p>
        </w:tc>
      </w:tr>
      <w:tr>
        <w:trPr>
          <w:trHeight w:val="214"/>
        </w:trPr>
        <w:tc>
          <w:tcPr>
            <w:tcW w:w="3800" w:type="dxa"/>
            <w:vAlign w:val="bottom"/>
          </w:tcPr>
          <w:p>
            <w:pPr>
              <w:spacing w:after="0"/>
              <w:rPr>
                <w:sz w:val="18"/>
                <w:szCs w:val="18"/>
                <w:color w:val="auto"/>
              </w:rPr>
            </w:pPr>
          </w:p>
        </w:tc>
        <w:tc>
          <w:tcPr>
            <w:tcW w:w="3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information.</w:t>
            </w:r>
          </w:p>
        </w:tc>
        <w:tc>
          <w:tcPr>
            <w:tcW w:w="1280" w:type="dxa"/>
            <w:vAlign w:val="bottom"/>
            <w:tcBorders>
              <w:top w:val="single" w:sz="8" w:color="0000FF"/>
            </w:tcBorders>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79"/>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Proposed Nasdaq trading symbol</w:t>
            </w:r>
          </w:p>
        </w:tc>
        <w:tc>
          <w:tcPr>
            <w:tcW w:w="3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“CHYM”</w:t>
            </w: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73"/>
        </w:trPr>
        <w:tc>
          <w:tcPr>
            <w:tcW w:w="73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The number of shares of our common stock that will be outstanding after this offering is based on</w:t>
            </w:r>
          </w:p>
        </w:tc>
        <w:tc>
          <w:tcPr>
            <w:tcW w:w="250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shares of our common stock</w:t>
            </w:r>
          </w:p>
        </w:tc>
      </w:tr>
    </w:tbl>
    <w:p>
      <w:pPr>
        <w:spacing w:after="0"/>
        <w:rPr>
          <w:sz w:val="20"/>
          <w:szCs w:val="20"/>
          <w:color w:val="auto"/>
        </w:rPr>
      </w:pPr>
      <w:r>
        <w:rPr>
          <w:rFonts w:ascii="Times New Roman" w:cs="Times New Roman" w:eastAsia="Times New Roman" w:hAnsi="Times New Roman"/>
          <w:sz w:val="18"/>
          <w:szCs w:val="18"/>
          <w:color w:val="auto"/>
        </w:rPr>
        <w:t>outstanding as of December 31, 2024, which reflects:</w:t>
      </w:r>
    </w:p>
    <w:p>
      <w:pPr>
        <w:spacing w:after="0" w:line="153" w:lineRule="exact"/>
        <w:rPr>
          <w:sz w:val="20"/>
          <w:szCs w:val="20"/>
          <w:color w:val="auto"/>
        </w:rPr>
      </w:pPr>
    </w:p>
    <w:p>
      <w:pPr>
        <w:ind w:left="640" w:right="100" w:hanging="322"/>
        <w:spacing w:after="0" w:line="266"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automatic conversion of all outstanding shares of our redeemable convertible preferred stock into 258,667,836 shares of common stock immediately prior to the closing of this offering pursuant to the terms of our amended and restated certificate of incorporation (the “Preferred Stock Conversion”); and</w:t>
      </w:r>
    </w:p>
    <w:p>
      <w:pPr>
        <w:spacing w:after="0" w:line="122" w:lineRule="exact"/>
        <w:rPr>
          <w:sz w:val="20"/>
          <w:szCs w:val="20"/>
          <w:color w:val="auto"/>
        </w:rPr>
      </w:pPr>
    </w:p>
    <w:p>
      <w:pPr>
        <w:ind w:left="320"/>
        <w:spacing w:after="0"/>
        <w:tabs>
          <w:tab w:leader="none" w:pos="620" w:val="left"/>
          <w:tab w:leader="none" w:pos="2260" w:val="left"/>
        </w:tabs>
        <w:rPr>
          <w:sz w:val="20"/>
          <w:szCs w:val="20"/>
          <w:color w:val="auto"/>
        </w:rPr>
      </w:pPr>
      <w:r>
        <w:rPr>
          <w:rFonts w:ascii="Times New Roman" w:cs="Times New Roman" w:eastAsia="Times New Roman" w:hAnsi="Times New Roman"/>
          <w:sz w:val="18"/>
          <w:szCs w:val="18"/>
          <w:color w:val="auto"/>
        </w:rPr>
        <w:t>•</w:t>
        <w:tab/>
        <w:t>the net issuance of</w:t>
      </w:r>
      <w:r>
        <w:rPr>
          <w:sz w:val="20"/>
          <w:szCs w:val="20"/>
          <w:color w:val="auto"/>
        </w:rPr>
        <w:tab/>
      </w:r>
      <w:r>
        <w:rPr>
          <w:rFonts w:ascii="Times New Roman" w:cs="Times New Roman" w:eastAsia="Times New Roman" w:hAnsi="Times New Roman"/>
          <w:sz w:val="18"/>
          <w:szCs w:val="18"/>
          <w:color w:val="auto"/>
        </w:rPr>
        <w:t>shares of common stock subject to RSUs, for which the service-based vesting condition was satisfied as</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of December 31, 2024 and the liquidity-based vesting condition will be satisfied upon the effectiveness of the registration</w:t>
      </w:r>
    </w:p>
    <w:p>
      <w:pPr>
        <w:spacing w:after="0" w:line="9" w:lineRule="exact"/>
        <w:rPr>
          <w:sz w:val="20"/>
          <w:szCs w:val="20"/>
          <w:color w:val="auto"/>
        </w:rPr>
      </w:pPr>
    </w:p>
    <w:p>
      <w:pPr>
        <w:ind w:left="640"/>
        <w:spacing w:after="0"/>
        <w:tabs>
          <w:tab w:leader="none" w:pos="7280" w:val="left"/>
        </w:tabs>
        <w:rPr>
          <w:sz w:val="20"/>
          <w:szCs w:val="20"/>
          <w:color w:val="auto"/>
        </w:rPr>
      </w:pPr>
      <w:r>
        <w:rPr>
          <w:rFonts w:ascii="Times New Roman" w:cs="Times New Roman" w:eastAsia="Times New Roman" w:hAnsi="Times New Roman"/>
          <w:sz w:val="18"/>
          <w:szCs w:val="18"/>
          <w:color w:val="auto"/>
        </w:rPr>
        <w:t>statement of which this prospectus forms a part, after giving effect to the withholding of</w:t>
      </w:r>
      <w:r>
        <w:rPr>
          <w:sz w:val="20"/>
          <w:szCs w:val="20"/>
          <w:color w:val="auto"/>
        </w:rPr>
        <w:tab/>
      </w:r>
      <w:r>
        <w:rPr>
          <w:rFonts w:ascii="Times New Roman" w:cs="Times New Roman" w:eastAsia="Times New Roman" w:hAnsi="Times New Roman"/>
          <w:sz w:val="17"/>
          <w:szCs w:val="17"/>
          <w:color w:val="auto"/>
        </w:rPr>
        <w:t>shares of common stock subject to</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such RSUs to satisfy the associated estimated tax withholding and remittance obligations (based upon the assumed initial public</w:t>
      </w:r>
    </w:p>
    <w:p>
      <w:pPr>
        <w:spacing w:after="0" w:line="9" w:lineRule="exact"/>
        <w:rPr>
          <w:sz w:val="20"/>
          <w:szCs w:val="20"/>
          <w:color w:val="auto"/>
        </w:rPr>
      </w:pPr>
    </w:p>
    <w:p>
      <w:pPr>
        <w:ind w:left="640"/>
        <w:spacing w:after="0"/>
        <w:tabs>
          <w:tab w:leader="none" w:pos="2200" w:val="left"/>
        </w:tabs>
        <w:rPr>
          <w:sz w:val="20"/>
          <w:szCs w:val="20"/>
          <w:color w:val="auto"/>
        </w:rPr>
      </w:pPr>
      <w:r>
        <w:rPr>
          <w:rFonts w:ascii="Times New Roman" w:cs="Times New Roman" w:eastAsia="Times New Roman" w:hAnsi="Times New Roman"/>
          <w:sz w:val="18"/>
          <w:szCs w:val="18"/>
          <w:color w:val="auto"/>
        </w:rPr>
        <w:t>offering price of $</w:t>
        <w:tab/>
        <w:t>per share, which is the midpoint of the estimated offering price range set forth on the cover page of this</w:t>
      </w:r>
    </w:p>
    <w:p>
      <w:pPr>
        <w:spacing w:after="0" w:line="9" w:lineRule="exact"/>
        <w:rPr>
          <w:sz w:val="20"/>
          <w:szCs w:val="20"/>
          <w:color w:val="auto"/>
        </w:rPr>
      </w:pPr>
    </w:p>
    <w:p>
      <w:pPr>
        <w:ind w:left="640"/>
        <w:spacing w:after="0"/>
        <w:tabs>
          <w:tab w:leader="none" w:pos="2940" w:val="left"/>
        </w:tabs>
        <w:rPr>
          <w:sz w:val="20"/>
          <w:szCs w:val="20"/>
          <w:color w:val="auto"/>
        </w:rPr>
      </w:pPr>
      <w:r>
        <w:rPr>
          <w:rFonts w:ascii="Times New Roman" w:cs="Times New Roman" w:eastAsia="Times New Roman" w:hAnsi="Times New Roman"/>
          <w:sz w:val="18"/>
          <w:szCs w:val="18"/>
          <w:color w:val="auto"/>
        </w:rPr>
        <w:t>prospectus, and an assumed</w:t>
      </w:r>
      <w:r>
        <w:rPr>
          <w:sz w:val="20"/>
          <w:szCs w:val="20"/>
          <w:color w:val="auto"/>
        </w:rPr>
        <w:tab/>
      </w:r>
      <w:r>
        <w:rPr>
          <w:rFonts w:ascii="Times New Roman" w:cs="Times New Roman" w:eastAsia="Times New Roman" w:hAnsi="Times New Roman"/>
          <w:sz w:val="17"/>
          <w:szCs w:val="17"/>
          <w:color w:val="auto"/>
        </w:rPr>
        <w:t>% tax withholding rate) (the “RSU Settlement”).</w:t>
      </w:r>
    </w:p>
    <w:p>
      <w:pPr>
        <w:spacing w:after="0" w:line="1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shares of our common stock outstanding as of December 31, 2024 exclude the following:</w:t>
      </w:r>
    </w:p>
    <w:p>
      <w:pPr>
        <w:spacing w:after="0" w:line="171" w:lineRule="exact"/>
        <w:rPr>
          <w:sz w:val="20"/>
          <w:szCs w:val="20"/>
          <w:color w:val="auto"/>
        </w:rPr>
      </w:pPr>
    </w:p>
    <w:p>
      <w:pPr>
        <w:ind w:left="640" w:right="720" w:hanging="322"/>
        <w:spacing w:after="0" w:line="282"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32,663,015 shares of our common stock issuable upon the exercise of options to purchase shares of our common stock outstanding as of December 31, 2024, with a weighted-average exercise price of $7.25 per share;</w:t>
      </w:r>
    </w:p>
    <w:p>
      <w:pPr>
        <w:spacing w:after="0" w:line="107" w:lineRule="exact"/>
        <w:rPr>
          <w:rFonts w:ascii="Times New Roman" w:cs="Times New Roman" w:eastAsia="Times New Roman" w:hAnsi="Times New Roman"/>
          <w:sz w:val="18"/>
          <w:szCs w:val="18"/>
          <w:color w:val="auto"/>
        </w:rPr>
      </w:pPr>
    </w:p>
    <w:p>
      <w:pPr>
        <w:ind w:left="900" w:hanging="582"/>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common stock issuable upon the exercise of options to purchase shares of our common stock granted after</w:t>
      </w:r>
    </w:p>
    <w:p>
      <w:pPr>
        <w:spacing w:after="0" w:line="27" w:lineRule="exact"/>
        <w:rPr>
          <w:sz w:val="20"/>
          <w:szCs w:val="20"/>
          <w:color w:val="auto"/>
        </w:rPr>
      </w:pPr>
    </w:p>
    <w:p>
      <w:pPr>
        <w:ind w:left="640"/>
        <w:spacing w:after="0"/>
        <w:tabs>
          <w:tab w:leader="none" w:pos="5540" w:val="left"/>
        </w:tabs>
        <w:rPr>
          <w:sz w:val="20"/>
          <w:szCs w:val="20"/>
          <w:color w:val="auto"/>
        </w:rPr>
      </w:pPr>
      <w:r>
        <w:rPr>
          <w:rFonts w:ascii="Times New Roman" w:cs="Times New Roman" w:eastAsia="Times New Roman" w:hAnsi="Times New Roman"/>
          <w:sz w:val="18"/>
          <w:szCs w:val="18"/>
          <w:color w:val="auto"/>
        </w:rPr>
        <w:t>December 31, 2024, with a weighted-average exercise price of $</w:t>
      </w:r>
      <w:r>
        <w:rPr>
          <w:sz w:val="20"/>
          <w:szCs w:val="20"/>
          <w:color w:val="auto"/>
        </w:rPr>
        <w:tab/>
      </w:r>
      <w:r>
        <w:rPr>
          <w:rFonts w:ascii="Times New Roman" w:cs="Times New Roman" w:eastAsia="Times New Roman" w:hAnsi="Times New Roman"/>
          <w:sz w:val="17"/>
          <w:szCs w:val="17"/>
          <w:color w:val="auto"/>
        </w:rPr>
        <w:t>per share;</w:t>
      </w:r>
    </w:p>
    <w:p>
      <w:pPr>
        <w:sectPr>
          <w:pgSz w:w="11900" w:h="16838" w:orient="portrait"/>
          <w:cols w:equalWidth="0" w:num="1">
            <w:col w:w="9880"/>
          </w:cols>
          <w:pgMar w:left="1000" w:top="124"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9880"/>
          </w:cols>
          <w:pgMar w:left="1000" w:top="124" w:right="1019" w:bottom="1440" w:gutter="0" w:footer="0" w:header="0"/>
          <w:type w:val="continuous"/>
        </w:sectPr>
      </w:pPr>
    </w:p>
    <w:bookmarkStart w:id="29" w:name="page30"/>
    <w:bookmarkEnd w:id="29"/>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684530</wp:posOffset>
            </wp:positionV>
            <wp:extent cx="7136130" cy="59277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6130" cy="5927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40" w:right="40" w:hanging="322"/>
        <w:spacing w:after="0" w:line="282"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17,981,237 shares of our common stock subject to RSUs outstanding as of December 31, 2024, but for which the service-based vesting condition was not satisfied as of December 31, 2024;</w:t>
      </w:r>
    </w:p>
    <w:p>
      <w:pPr>
        <w:spacing w:after="0" w:line="107" w:lineRule="exact"/>
        <w:rPr>
          <w:rFonts w:ascii="Times New Roman" w:cs="Times New Roman" w:eastAsia="Times New Roman" w:hAnsi="Times New Roman"/>
          <w:sz w:val="18"/>
          <w:szCs w:val="18"/>
          <w:color w:val="auto"/>
        </w:rPr>
      </w:pPr>
    </w:p>
    <w:p>
      <w:pPr>
        <w:ind w:left="900" w:hanging="582"/>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common stock subject to RSUs granted after December 31, 2024;</w:t>
      </w:r>
    </w:p>
    <w:p>
      <w:pPr>
        <w:spacing w:after="0" w:line="171" w:lineRule="exact"/>
        <w:rPr>
          <w:rFonts w:ascii="Times New Roman" w:cs="Times New Roman" w:eastAsia="Times New Roman" w:hAnsi="Times New Roman"/>
          <w:sz w:val="18"/>
          <w:szCs w:val="18"/>
          <w:color w:val="auto"/>
        </w:rPr>
      </w:pPr>
    </w:p>
    <w:p>
      <w:pPr>
        <w:ind w:left="640" w:right="420" w:hanging="322"/>
        <w:spacing w:after="0" w:line="266"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1,929,943 shares of our common stock subject to performance-based restricted stock units (“PSUs”) outstanding as of December 31, 2024 and subject to service-based, liquidity-based, and other performance-based vesting conditions, but for which the service-based and/or performance-based vesting conditions were not satisfied as of December 31, 2024;</w:t>
      </w:r>
    </w:p>
    <w:p>
      <w:pPr>
        <w:spacing w:after="0" w:line="121" w:lineRule="exact"/>
        <w:rPr>
          <w:rFonts w:ascii="Times New Roman" w:cs="Times New Roman" w:eastAsia="Times New Roman" w:hAnsi="Times New Roman"/>
          <w:sz w:val="18"/>
          <w:szCs w:val="18"/>
          <w:color w:val="auto"/>
        </w:rPr>
      </w:pPr>
    </w:p>
    <w:p>
      <w:pPr>
        <w:ind w:left="640" w:right="520" w:hanging="322"/>
        <w:spacing w:after="0" w:line="282"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787,840 shares of our common stock issuable upon the exercise of warrants to purchase common stock outstanding as of December 31, 2024, with a weighted average exercise price of $0.10 per share;</w:t>
      </w:r>
    </w:p>
    <w:p>
      <w:pPr>
        <w:spacing w:after="0" w:line="107" w:lineRule="exact"/>
        <w:rPr>
          <w:rFonts w:ascii="Times New Roman" w:cs="Times New Roman" w:eastAsia="Times New Roman" w:hAnsi="Times New Roman"/>
          <w:sz w:val="18"/>
          <w:szCs w:val="18"/>
          <w:color w:val="auto"/>
        </w:rPr>
      </w:pPr>
    </w:p>
    <w:p>
      <w:pPr>
        <w:ind w:left="640" w:right="220" w:hanging="322"/>
        <w:spacing w:after="0" w:line="282"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3,210,192 shares of our common stock reserved for future issuance to fund and support the operations of the Chime Scholars Foundation; and</w:t>
      </w:r>
    </w:p>
    <w:p>
      <w:pPr>
        <w:spacing w:after="0" w:line="107" w:lineRule="exact"/>
        <w:rPr>
          <w:rFonts w:ascii="Times New Roman" w:cs="Times New Roman" w:eastAsia="Times New Roman" w:hAnsi="Times New Roman"/>
          <w:sz w:val="18"/>
          <w:szCs w:val="18"/>
          <w:color w:val="auto"/>
        </w:rPr>
      </w:pPr>
    </w:p>
    <w:p>
      <w:pPr>
        <w:ind w:left="900" w:hanging="582"/>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common stock reserved for future issuance under our equity compensation plans, consisting of:</w:t>
      </w:r>
    </w:p>
    <w:p>
      <w:pPr>
        <w:spacing w:after="0" w:line="171" w:lineRule="exact"/>
        <w:rPr>
          <w:rFonts w:ascii="Times New Roman" w:cs="Times New Roman" w:eastAsia="Times New Roman" w:hAnsi="Times New Roman"/>
          <w:sz w:val="18"/>
          <w:szCs w:val="18"/>
          <w:color w:val="auto"/>
        </w:rPr>
      </w:pPr>
    </w:p>
    <w:p>
      <w:pPr>
        <w:ind w:left="960" w:right="40" w:hanging="318"/>
        <w:spacing w:after="0" w:line="282" w:lineRule="auto"/>
        <w:tabs>
          <w:tab w:leader="none" w:pos="122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common stock to be reserved for future issuance under our 2025 Equity Incentive Plan (the “2025 Plan”), which will become effective prior to the completion of this offering; and</w:t>
      </w:r>
    </w:p>
    <w:p>
      <w:pPr>
        <w:spacing w:after="0" w:line="107" w:lineRule="exact"/>
        <w:rPr>
          <w:rFonts w:ascii="Times New Roman" w:cs="Times New Roman" w:eastAsia="Times New Roman" w:hAnsi="Times New Roman"/>
          <w:sz w:val="18"/>
          <w:szCs w:val="18"/>
          <w:color w:val="auto"/>
        </w:rPr>
      </w:pPr>
    </w:p>
    <w:p>
      <w:pPr>
        <w:ind w:left="960" w:right="380" w:hanging="318"/>
        <w:spacing w:after="0" w:line="282" w:lineRule="auto"/>
        <w:tabs>
          <w:tab w:leader="none" w:pos="122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common stock to be reserved for future issuance under our 2025 Employee Stock Purchase Plan (the “ESPP”), which will become effective prior to the completion of this offering.</w:t>
      </w:r>
    </w:p>
    <w:p>
      <w:pPr>
        <w:spacing w:after="0" w:line="10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2025 Plan and ESPP each provides for an annual automatic increase in the number of shares of our common stock reserved thereunder, and our 2025 Plan provides for increases to the number of shares that may be granted thereunder based on shares under our Amended and Restated 2012 Stock Option and Grant Plan (the “2012 Plan”) that expire, are tendered to, or withheld by us for payment of an exercise price or for satisfying tax withholding obligations, or are forfeited or otherwise repurchased by us, as more fully described in the section titled “Executive Compensation—Employee Benefit and Stock Plans.”</w:t>
      </w:r>
    </w:p>
    <w:p>
      <w:pPr>
        <w:spacing w:after="0" w:line="1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Except as otherwise indicated, all information in this prospectus assumes:</w:t>
      </w:r>
    </w:p>
    <w:p>
      <w:pPr>
        <w:spacing w:after="0" w:line="171" w:lineRule="exact"/>
        <w:rPr>
          <w:sz w:val="20"/>
          <w:szCs w:val="20"/>
          <w:color w:val="auto"/>
        </w:rPr>
      </w:pPr>
    </w:p>
    <w:p>
      <w:pPr>
        <w:ind w:left="640" w:hanging="322"/>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Preferred Stock Conversion will occur immediately prior to the completion of this offering;</w:t>
      </w:r>
    </w:p>
    <w:p>
      <w:pPr>
        <w:spacing w:after="0" w:line="171" w:lineRule="exact"/>
        <w:rPr>
          <w:rFonts w:ascii="Times New Roman" w:cs="Times New Roman" w:eastAsia="Times New Roman" w:hAnsi="Times New Roman"/>
          <w:sz w:val="18"/>
          <w:szCs w:val="18"/>
          <w:color w:val="auto"/>
        </w:rPr>
      </w:pPr>
    </w:p>
    <w:p>
      <w:pPr>
        <w:ind w:left="640" w:right="260" w:hanging="322"/>
        <w:spacing w:after="0" w:line="282" w:lineRule="auto"/>
        <w:tabs>
          <w:tab w:leader="none" w:pos="6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and effectiveness of our amended and restated certificate of incorporation in Delaware and the effectiveness of our amended and restated bylaws, will each occur immediately prior to the completion of this offering;</w:t>
      </w:r>
    </w:p>
    <w:p>
      <w:pPr>
        <w:spacing w:after="0" w:line="107" w:lineRule="exact"/>
        <w:rPr>
          <w:rFonts w:ascii="Times New Roman" w:cs="Times New Roman" w:eastAsia="Times New Roman" w:hAnsi="Times New Roman"/>
          <w:sz w:val="18"/>
          <w:szCs w:val="18"/>
          <w:color w:val="auto"/>
        </w:rPr>
      </w:pPr>
    </w:p>
    <w:p>
      <w:pPr>
        <w:ind w:left="640" w:right="200" w:hanging="322"/>
        <w:spacing w:after="0" w:line="282" w:lineRule="auto"/>
        <w:tabs>
          <w:tab w:leader="none" w:pos="6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outstanding stock options or warrants or settlement of outstanding RSUs or PSUs subsequent to December 31, 2024, other than the RSU Settlement; and</w:t>
      </w:r>
    </w:p>
    <w:p>
      <w:pPr>
        <w:sectPr>
          <w:pgSz w:w="11900" w:h="16838" w:orient="portrait"/>
          <w:cols w:equalWidth="0" w:num="1">
            <w:col w:w="9840"/>
          </w:cols>
          <w:pgMar w:left="1000" w:top="124" w:right="1059" w:bottom="1440" w:gutter="0" w:footer="0" w:header="0"/>
        </w:sectPr>
      </w:pPr>
    </w:p>
    <w:p>
      <w:pPr>
        <w:spacing w:after="0" w:line="1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hanging="4"/>
        <w:spacing w:after="0" w:line="282" w:lineRule="auto"/>
        <w:rPr>
          <w:sz w:val="20"/>
          <w:szCs w:val="20"/>
          <w:color w:val="auto"/>
        </w:rPr>
      </w:pPr>
      <w:r>
        <w:rPr>
          <w:rFonts w:ascii="Times New Roman" w:cs="Times New Roman" w:eastAsia="Times New Roman" w:hAnsi="Times New Roman"/>
          <w:sz w:val="18"/>
          <w:szCs w:val="18"/>
          <w:color w:val="auto"/>
        </w:rPr>
        <w:t>no exercise by the underwriters of their option to purchase up to an additional offering.</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 of our common stock from us in this</w:t>
      </w:r>
    </w:p>
    <w:p>
      <w:pPr>
        <w:spacing w:after="0" w:line="490" w:lineRule="exact"/>
        <w:rPr>
          <w:sz w:val="20"/>
          <w:szCs w:val="20"/>
          <w:color w:val="auto"/>
        </w:rPr>
      </w:pPr>
    </w:p>
    <w:p>
      <w:pPr>
        <w:sectPr>
          <w:pgSz w:w="11900" w:h="16838" w:orient="portrait"/>
          <w:cols w:equalWidth="0" w:num="3">
            <w:col w:w="380" w:space="260"/>
            <w:col w:w="5580" w:space="320"/>
            <w:col w:w="3300"/>
          </w:cols>
          <w:pgMar w:left="1000" w:top="124" w:right="10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9840"/>
          </w:cols>
          <w:pgMar w:left="1000" w:top="124" w:right="1059" w:bottom="1440" w:gutter="0" w:footer="0" w:header="0"/>
          <w:type w:val="continuous"/>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684530</wp:posOffset>
            </wp:positionV>
            <wp:extent cx="7136130" cy="66992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6130" cy="6699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CONSOLIDATED FINANCIAL AND OTHER DATA</w:t>
      </w:r>
    </w:p>
    <w:p>
      <w:pPr>
        <w:spacing w:after="0" w:line="175" w:lineRule="exact"/>
        <w:rPr>
          <w:sz w:val="20"/>
          <w:szCs w:val="20"/>
          <w:color w:val="auto"/>
        </w:rPr>
      </w:pPr>
    </w:p>
    <w:p>
      <w:pPr>
        <w:ind w:left="20" w:right="40" w:firstLine="324"/>
        <w:spacing w:after="0" w:line="255" w:lineRule="auto"/>
        <w:rPr>
          <w:sz w:val="20"/>
          <w:szCs w:val="20"/>
          <w:color w:val="auto"/>
        </w:rPr>
      </w:pPr>
      <w:r>
        <w:rPr>
          <w:rFonts w:ascii="Times New Roman" w:cs="Times New Roman" w:eastAsia="Times New Roman" w:hAnsi="Times New Roman"/>
          <w:sz w:val="18"/>
          <w:szCs w:val="18"/>
          <w:color w:val="auto"/>
        </w:rPr>
        <w:t>The following tables summarize our consolidated financial and other data. We have derived the summary consolidated statements of operations data for the years ended December 31, 2022, 2023, and 2024 and the balance sheet data as of December 31, 2024 from our audited consolidated financial statements included elsewhere in this prospectus. The summary consolidated financial data in this section are not intended to replace our consolidated financial statements and related notes and our historical results are not necessarily indicative of the results that may be expected in the future. The following summary consolidated financial and other data should be read in conjunction with the section titled “Management’s Discussion and Analysis of Financial Condition and Results of Operations” and our consolidated financial statements and related notes thereto included elsewhere in this prospectus.</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34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44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amounts)</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1,008,838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1,278,455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1,673,269</w:t>
            </w:r>
          </w:p>
        </w:tc>
        <w:tc>
          <w:tcPr>
            <w:tcW w:w="0" w:type="dxa"/>
            <w:vAlign w:val="bottom"/>
          </w:tcPr>
          <w:p>
            <w:pPr>
              <w:spacing w:after="0"/>
              <w:rPr>
                <w:sz w:val="1"/>
                <w:szCs w:val="1"/>
                <w:color w:val="auto"/>
              </w:rPr>
            </w:pPr>
          </w:p>
        </w:tc>
      </w:tr>
      <w:tr>
        <w:trPr>
          <w:trHeight w:val="229"/>
        </w:trPr>
        <w:tc>
          <w:tcPr>
            <w:tcW w:w="5440" w:type="dxa"/>
            <w:vAlign w:val="bottom"/>
            <w:tcBorders>
              <w:bottom w:val="single" w:sz="8" w:color="CCEEFF"/>
            </w:tcBorders>
            <w:gridSpan w:val="2"/>
          </w:tcPr>
          <w:p>
            <w:pPr>
              <w:ind w:left="40"/>
              <w:spacing w:after="0" w:line="230" w:lineRule="exact"/>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23"/>
                <w:szCs w:val="23"/>
                <w:color w:val="auto"/>
                <w:vertAlign w:val="superscript"/>
              </w:rPr>
              <w:t>(1)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214,686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219,737</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207,511</w:t>
            </w:r>
          </w:p>
        </w:tc>
        <w:tc>
          <w:tcPr>
            <w:tcW w:w="0" w:type="dxa"/>
            <w:vAlign w:val="bottom"/>
          </w:tcPr>
          <w:p>
            <w:pPr>
              <w:spacing w:after="0"/>
              <w:rPr>
                <w:sz w:val="1"/>
                <w:szCs w:val="1"/>
                <w:color w:val="auto"/>
              </w:rPr>
            </w:pPr>
          </w:p>
        </w:tc>
      </w:tr>
      <w:tr>
        <w:trPr>
          <w:trHeight w:val="223"/>
        </w:trPr>
        <w:tc>
          <w:tcPr>
            <w:tcW w:w="5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794,152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1,058,718</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1,465,758</w:t>
            </w:r>
          </w:p>
        </w:tc>
        <w:tc>
          <w:tcPr>
            <w:tcW w:w="0" w:type="dxa"/>
            <w:vAlign w:val="bottom"/>
          </w:tcPr>
          <w:p>
            <w:pPr>
              <w:spacing w:after="0"/>
              <w:rPr>
                <w:sz w:val="1"/>
                <w:szCs w:val="1"/>
                <w:color w:val="auto"/>
              </w:rPr>
            </w:pPr>
          </w:p>
        </w:tc>
      </w:tr>
      <w:tr>
        <w:trPr>
          <w:trHeight w:val="210"/>
        </w:trPr>
        <w:tc>
          <w:tcPr>
            <w:tcW w:w="5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and risk losses</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126,714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152,375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219,687</w:t>
            </w:r>
          </w:p>
        </w:tc>
        <w:tc>
          <w:tcPr>
            <w:tcW w:w="0" w:type="dxa"/>
            <w:vAlign w:val="bottom"/>
          </w:tcPr>
          <w:p>
            <w:pPr>
              <w:spacing w:after="0"/>
              <w:rPr>
                <w:sz w:val="1"/>
                <w:szCs w:val="1"/>
                <w:color w:val="auto"/>
              </w:rPr>
            </w:pPr>
          </w:p>
        </w:tc>
      </w:tr>
      <w:tr>
        <w:trPr>
          <w:trHeight w:val="230"/>
        </w:trPr>
        <w:tc>
          <w:tcPr>
            <w:tcW w:w="544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Member support and operations</w:t>
            </w:r>
            <w:r>
              <w:rPr>
                <w:rFonts w:ascii="Times New Roman" w:cs="Times New Roman" w:eastAsia="Times New Roman" w:hAnsi="Times New Roman"/>
                <w:sz w:val="23"/>
                <w:szCs w:val="23"/>
                <w:color w:val="auto"/>
                <w:vertAlign w:val="superscript"/>
              </w:rPr>
              <w:t>(2)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292,466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272,755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286,856</w:t>
            </w:r>
          </w:p>
        </w:tc>
        <w:tc>
          <w:tcPr>
            <w:tcW w:w="0" w:type="dxa"/>
            <w:vAlign w:val="bottom"/>
          </w:tcPr>
          <w:p>
            <w:pPr>
              <w:spacing w:after="0"/>
              <w:rPr>
                <w:sz w:val="1"/>
                <w:szCs w:val="1"/>
                <w:color w:val="auto"/>
              </w:rPr>
            </w:pPr>
          </w:p>
        </w:tc>
      </w:tr>
      <w:tr>
        <w:trPr>
          <w:trHeight w:val="230"/>
        </w:trPr>
        <w:tc>
          <w:tcPr>
            <w:tcW w:w="544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3"/>
                <w:szCs w:val="23"/>
                <w:color w:val="auto"/>
                <w:vertAlign w:val="superscript"/>
              </w:rPr>
              <w:t>(2)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434,225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443,806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519,760</w:t>
            </w:r>
          </w:p>
        </w:tc>
        <w:tc>
          <w:tcPr>
            <w:tcW w:w="0" w:type="dxa"/>
            <w:vAlign w:val="bottom"/>
          </w:tcPr>
          <w:p>
            <w:pPr>
              <w:spacing w:after="0"/>
              <w:rPr>
                <w:sz w:val="1"/>
                <w:szCs w:val="1"/>
                <w:color w:val="auto"/>
              </w:rPr>
            </w:pPr>
          </w:p>
        </w:tc>
      </w:tr>
      <w:tr>
        <w:trPr>
          <w:trHeight w:val="230"/>
        </w:trPr>
        <w:tc>
          <w:tcPr>
            <w:tcW w:w="544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Technology and development</w:t>
            </w:r>
            <w:r>
              <w:rPr>
                <w:rFonts w:ascii="Times New Roman" w:cs="Times New Roman" w:eastAsia="Times New Roman" w:hAnsi="Times New Roman"/>
                <w:sz w:val="23"/>
                <w:szCs w:val="23"/>
                <w:color w:val="auto"/>
                <w:vertAlign w:val="superscript"/>
              </w:rPr>
              <w:t>(2)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242,433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259,001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309,575</w:t>
            </w:r>
          </w:p>
        </w:tc>
        <w:tc>
          <w:tcPr>
            <w:tcW w:w="0" w:type="dxa"/>
            <w:vAlign w:val="bottom"/>
          </w:tcPr>
          <w:p>
            <w:pPr>
              <w:spacing w:after="0"/>
              <w:rPr>
                <w:sz w:val="1"/>
                <w:szCs w:val="1"/>
                <w:color w:val="auto"/>
              </w:rPr>
            </w:pPr>
          </w:p>
        </w:tc>
      </w:tr>
      <w:tr>
        <w:trPr>
          <w:trHeight w:val="230"/>
        </w:trPr>
        <w:tc>
          <w:tcPr>
            <w:tcW w:w="544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169,716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154,945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177,229</w:t>
            </w:r>
          </w:p>
        </w:tc>
        <w:tc>
          <w:tcPr>
            <w:tcW w:w="0" w:type="dxa"/>
            <w:vAlign w:val="bottom"/>
          </w:tcPr>
          <w:p>
            <w:pPr>
              <w:spacing w:after="0"/>
              <w:rPr>
                <w:sz w:val="1"/>
                <w:szCs w:val="1"/>
                <w:color w:val="auto"/>
              </w:rPr>
            </w:pPr>
          </w:p>
        </w:tc>
      </w:tr>
      <w:tr>
        <w:trPr>
          <w:trHeight w:val="229"/>
        </w:trPr>
        <w:tc>
          <w:tcPr>
            <w:tcW w:w="5440" w:type="dxa"/>
            <w:vAlign w:val="bottom"/>
            <w:tcBorders>
              <w:bottom w:val="single" w:sz="8" w:color="CCEEFF"/>
            </w:tcBorders>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3"/>
                <w:szCs w:val="23"/>
                <w:color w:val="auto"/>
                <w:vertAlign w:val="superscript"/>
              </w:rPr>
              <w:t>(1)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7,300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11,621</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14,850</w:t>
            </w:r>
          </w:p>
        </w:tc>
        <w:tc>
          <w:tcPr>
            <w:tcW w:w="0" w:type="dxa"/>
            <w:vAlign w:val="bottom"/>
          </w:tcPr>
          <w:p>
            <w:pPr>
              <w:spacing w:after="0"/>
              <w:rPr>
                <w:sz w:val="1"/>
                <w:szCs w:val="1"/>
                <w:color w:val="auto"/>
              </w:rPr>
            </w:pPr>
          </w:p>
        </w:tc>
      </w:tr>
      <w:tr>
        <w:trPr>
          <w:trHeight w:val="223"/>
        </w:trPr>
        <w:tc>
          <w:tcPr>
            <w:tcW w:w="5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1,272,854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1,294,503</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1,527,957</w:t>
            </w:r>
          </w:p>
        </w:tc>
        <w:tc>
          <w:tcPr>
            <w:tcW w:w="0" w:type="dxa"/>
            <w:vAlign w:val="bottom"/>
          </w:tcPr>
          <w:p>
            <w:pPr>
              <w:spacing w:after="0"/>
              <w:rPr>
                <w:sz w:val="1"/>
                <w:szCs w:val="1"/>
                <w:color w:val="auto"/>
              </w:rPr>
            </w:pPr>
          </w:p>
        </w:tc>
      </w:tr>
      <w:tr>
        <w:trPr>
          <w:trHeight w:val="223"/>
        </w:trPr>
        <w:tc>
          <w:tcPr>
            <w:tcW w:w="5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Loss from operations</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(478,702)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w w:val="99"/>
              </w:rPr>
              <w:t>(235,785)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(62,199)</w:t>
            </w:r>
          </w:p>
        </w:tc>
        <w:tc>
          <w:tcPr>
            <w:tcW w:w="0" w:type="dxa"/>
            <w:vAlign w:val="bottom"/>
          </w:tcPr>
          <w:p>
            <w:pPr>
              <w:spacing w:after="0"/>
              <w:rPr>
                <w:sz w:val="1"/>
                <w:szCs w:val="1"/>
                <w:color w:val="auto"/>
              </w:rPr>
            </w:pPr>
          </w:p>
        </w:tc>
      </w:tr>
      <w:tr>
        <w:trPr>
          <w:trHeight w:val="229"/>
        </w:trPr>
        <w:tc>
          <w:tcPr>
            <w:tcW w:w="5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income, net</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8,111</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32,817</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39,465</w:t>
            </w:r>
          </w:p>
        </w:tc>
        <w:tc>
          <w:tcPr>
            <w:tcW w:w="0" w:type="dxa"/>
            <w:vAlign w:val="bottom"/>
          </w:tcPr>
          <w:p>
            <w:pPr>
              <w:spacing w:after="0"/>
              <w:rPr>
                <w:sz w:val="1"/>
                <w:szCs w:val="1"/>
                <w:color w:val="auto"/>
              </w:rPr>
            </w:pPr>
          </w:p>
        </w:tc>
      </w:tr>
      <w:tr>
        <w:trPr>
          <w:trHeight w:val="223"/>
        </w:trPr>
        <w:tc>
          <w:tcPr>
            <w:tcW w:w="5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(470,591)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w w:val="99"/>
              </w:rPr>
              <w:t>(202,968)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(22,734)</w:t>
            </w:r>
          </w:p>
        </w:tc>
        <w:tc>
          <w:tcPr>
            <w:tcW w:w="0" w:type="dxa"/>
            <w:vAlign w:val="bottom"/>
          </w:tcPr>
          <w:p>
            <w:pPr>
              <w:spacing w:after="0"/>
              <w:rPr>
                <w:sz w:val="1"/>
                <w:szCs w:val="1"/>
                <w:color w:val="auto"/>
              </w:rPr>
            </w:pPr>
          </w:p>
        </w:tc>
      </w:tr>
      <w:tr>
        <w:trPr>
          <w:trHeight w:val="229"/>
        </w:trPr>
        <w:tc>
          <w:tcPr>
            <w:tcW w:w="5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2,610</w:t>
            </w:r>
          </w:p>
        </w:tc>
        <w:tc>
          <w:tcPr>
            <w:tcW w:w="0" w:type="dxa"/>
            <w:vAlign w:val="bottom"/>
          </w:tcPr>
          <w:p>
            <w:pPr>
              <w:spacing w:after="0"/>
              <w:rPr>
                <w:sz w:val="1"/>
                <w:szCs w:val="1"/>
                <w:color w:val="auto"/>
              </w:rPr>
            </w:pPr>
          </w:p>
        </w:tc>
      </w:tr>
      <w:tr>
        <w:trPr>
          <w:trHeight w:val="223"/>
        </w:trPr>
        <w:tc>
          <w:tcPr>
            <w:tcW w:w="5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(470,254)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8"/>
                <w:szCs w:val="18"/>
                <w:color w:val="auto"/>
                <w:w w:val="99"/>
              </w:rPr>
              <w:t>(203,202)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(25,344)</w:t>
            </w: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tcPr>
          <w:p>
            <w:pPr>
              <w:spacing w:after="0" w:line="20" w:lineRule="exact"/>
              <w:rPr>
                <w:sz w:val="1"/>
                <w:szCs w:val="1"/>
                <w:color w:val="auto"/>
              </w:rPr>
            </w:pPr>
          </w:p>
        </w:tc>
        <w:tc>
          <w:tcPr>
            <w:tcW w:w="5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4"/>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(0.39)</w:t>
            </w:r>
          </w:p>
        </w:tc>
        <w:tc>
          <w:tcPr>
            <w:tcW w:w="0" w:type="dxa"/>
            <w:vAlign w:val="bottom"/>
          </w:tcPr>
          <w:p>
            <w:pPr>
              <w:spacing w:after="0"/>
              <w:rPr>
                <w:sz w:val="1"/>
                <w:szCs w:val="1"/>
                <w:color w:val="auto"/>
              </w:rPr>
            </w:pPr>
          </w:p>
        </w:tc>
      </w:tr>
      <w:tr>
        <w:trPr>
          <w:trHeight w:val="184"/>
        </w:trPr>
        <w:tc>
          <w:tcPr>
            <w:tcW w:w="5440" w:type="dxa"/>
            <w:vAlign w:val="bottom"/>
            <w:gridSpan w:val="2"/>
          </w:tcPr>
          <w:p>
            <w:pPr>
              <w:ind w:left="40"/>
              <w:spacing w:after="0" w:line="184" w:lineRule="exact"/>
              <w:rPr>
                <w:sz w:val="20"/>
                <w:szCs w:val="20"/>
                <w:color w:val="auto"/>
              </w:rPr>
            </w:pPr>
            <w:r>
              <w:rPr>
                <w:rFonts w:ascii="Times New Roman" w:cs="Times New Roman" w:eastAsia="Times New Roman" w:hAnsi="Times New Roman"/>
                <w:sz w:val="18"/>
                <w:szCs w:val="18"/>
                <w:color w:val="auto"/>
              </w:rPr>
              <w:t>Weighted average number of shares outstanding used to compute net loss</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per share attributable to common stockholders, basic and diluted</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57,884,136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63,104,219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64,910,056</w:t>
            </w:r>
          </w:p>
        </w:tc>
        <w:tc>
          <w:tcPr>
            <w:tcW w:w="0" w:type="dxa"/>
            <w:vAlign w:val="bottom"/>
          </w:tcPr>
          <w:p>
            <w:pPr>
              <w:spacing w:after="0"/>
              <w:rPr>
                <w:sz w:val="1"/>
                <w:szCs w:val="1"/>
                <w:color w:val="auto"/>
              </w:rPr>
            </w:pPr>
          </w:p>
        </w:tc>
      </w:tr>
      <w:tr>
        <w:trPr>
          <w:trHeight w:val="247"/>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_______________</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  Total depreciation and amortization includes amounts as follows:</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00" w:type="dxa"/>
            <w:vAlign w:val="bottom"/>
            <w:gridSpan w:val="10"/>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40" w:type="dxa"/>
            <w:vAlign w:val="bottom"/>
          </w:tcPr>
          <w:p>
            <w:pPr>
              <w:spacing w:after="0"/>
              <w:rPr>
                <w:sz w:val="2"/>
                <w:szCs w:val="2"/>
                <w:color w:val="auto"/>
              </w:rPr>
            </w:pPr>
          </w:p>
        </w:tc>
        <w:tc>
          <w:tcPr>
            <w:tcW w:w="5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40" w:type="dxa"/>
            <w:vAlign w:val="bottom"/>
          </w:tcPr>
          <w:p>
            <w:pPr>
              <w:spacing w:after="0"/>
              <w:rPr>
                <w:sz w:val="16"/>
                <w:szCs w:val="16"/>
                <w:color w:val="auto"/>
              </w:rPr>
            </w:pPr>
          </w:p>
        </w:tc>
        <w:tc>
          <w:tcPr>
            <w:tcW w:w="510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recorded in cost of revenue</w:t>
            </w:r>
          </w:p>
        </w:tc>
        <w:tc>
          <w:tcPr>
            <w:tcW w:w="3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1,316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recorded as operating expense</w:t>
            </w: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11,621</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0" w:type="dxa"/>
            <w:vAlign w:val="bottom"/>
          </w:tcPr>
          <w:p>
            <w:pPr>
              <w:spacing w:after="0"/>
              <w:rPr>
                <w:sz w:val="21"/>
                <w:szCs w:val="21"/>
                <w:color w:val="auto"/>
              </w:rPr>
            </w:pPr>
          </w:p>
        </w:tc>
        <w:tc>
          <w:tcPr>
            <w:tcW w:w="51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360" w:type="dxa"/>
            <w:vAlign w:val="bottom"/>
            <w:tcBorders>
              <w:bottom w:val="single" w:sz="8" w:color="auto"/>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12,937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25,370</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9900"/>
          </w:cols>
          <w:pgMar w:left="980" w:top="124" w:right="101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684530</wp:posOffset>
            </wp:positionV>
            <wp:extent cx="7136130" cy="7410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6130" cy="7410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  Amounts include stock-based compensation as follows:</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4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4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Member support and operations</w:t>
            </w:r>
          </w:p>
        </w:tc>
        <w:tc>
          <w:tcPr>
            <w:tcW w:w="3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9,198</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1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80" w:type="dxa"/>
            <w:vAlign w:val="bottom"/>
            <w:tcBorders>
              <w:bottom w:val="single" w:sz="8" w:color="auto"/>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28,350</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26,035</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54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34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4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gridSpan w:val="3"/>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jc w:val="center"/>
              <w:ind w:left="38"/>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Pro Forma As</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5440" w:type="dxa"/>
            <w:vAlign w:val="bottom"/>
            <w:tcBorders>
              <w:bottom w:val="single" w:sz="8" w:color="CCEEFF"/>
            </w:tcBorders>
            <w:gridSpan w:val="2"/>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vMerge w:val="continue"/>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gridSpan w:val="2"/>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cash equivalents, and marketable securities</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706,586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gridSpan w:val="2"/>
          </w:tcPr>
          <w:p>
            <w:pPr>
              <w:ind w:left="40"/>
              <w:spacing w:after="0" w:line="230" w:lineRule="exact"/>
              <w:rPr>
                <w:sz w:val="20"/>
                <w:szCs w:val="20"/>
                <w:color w:val="auto"/>
              </w:rPr>
            </w:pPr>
            <w:r>
              <w:rPr>
                <w:rFonts w:ascii="Times New Roman" w:cs="Times New Roman" w:eastAsia="Times New Roman" w:hAnsi="Times New Roman"/>
                <w:sz w:val="18"/>
                <w:szCs w:val="18"/>
                <w:color w:val="auto"/>
              </w:rPr>
              <w:t>Working capital</w:t>
            </w:r>
            <w:r>
              <w:rPr>
                <w:rFonts w:ascii="Times New Roman" w:cs="Times New Roman" w:eastAsia="Times New Roman" w:hAnsi="Times New Roman"/>
                <w:sz w:val="23"/>
                <w:szCs w:val="23"/>
                <w:color w:val="auto"/>
                <w:vertAlign w:val="superscript"/>
              </w:rPr>
              <w:t>(1)</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912,219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1,461,037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2,890,121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433,363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Accumulated deficit</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(2,364,168)</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(1,930,600)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40" w:hanging="326"/>
        <w:spacing w:after="0"/>
        <w:tabs>
          <w:tab w:leader="none" w:pos="3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Working capital is defined as current assets less current liabilities.</w:t>
      </w:r>
    </w:p>
    <w:p>
      <w:pPr>
        <w:spacing w:after="0" w:line="1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Key Metrics and Non-GAAP Financial Measures</w:t>
      </w:r>
    </w:p>
    <w:p>
      <w:pPr>
        <w:spacing w:after="0" w:line="175" w:lineRule="exact"/>
        <w:rPr>
          <w:sz w:val="20"/>
          <w:szCs w:val="20"/>
          <w:color w:val="auto"/>
        </w:rPr>
      </w:pPr>
    </w:p>
    <w:p>
      <w:pPr>
        <w:ind w:left="20" w:right="240" w:firstLine="324"/>
        <w:spacing w:after="0" w:line="282" w:lineRule="auto"/>
        <w:rPr>
          <w:sz w:val="20"/>
          <w:szCs w:val="20"/>
          <w:color w:val="auto"/>
        </w:rPr>
      </w:pPr>
      <w:r>
        <w:rPr>
          <w:rFonts w:ascii="Times New Roman" w:cs="Times New Roman" w:eastAsia="Times New Roman" w:hAnsi="Times New Roman"/>
          <w:sz w:val="18"/>
          <w:szCs w:val="18"/>
          <w:color w:val="auto"/>
        </w:rPr>
        <w:t>We use the following key metrics and non-GAAP financial measures to evaluate our business, measure our performance, identify trends affecting our business, formulate business plans, and make strategic decisions.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94"/>
        </w:trPr>
        <w:tc>
          <w:tcPr>
            <w:tcW w:w="5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96"/>
        </w:trPr>
        <w:tc>
          <w:tcPr>
            <w:tcW w:w="52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 except for Average Revenue per Active Member and percentages)</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5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Key metrics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 Volume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71,508</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92,396</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115,152</w:t>
            </w:r>
          </w:p>
        </w:tc>
      </w:tr>
      <w:tr>
        <w:trPr>
          <w:trHeight w:val="230"/>
        </w:trPr>
        <w:tc>
          <w:tcPr>
            <w:tcW w:w="524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Active Members</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524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Average Revenue per Active Member (ARPAM)</w:t>
            </w:r>
            <w:r>
              <w:rPr>
                <w:rFonts w:ascii="Times New Roman" w:cs="Times New Roman" w:eastAsia="Times New Roman" w:hAnsi="Times New Roman"/>
                <w:sz w:val="23"/>
                <w:szCs w:val="23"/>
                <w:color w:val="auto"/>
                <w:vertAlign w:val="superscript"/>
              </w:rPr>
              <w:t>(1)</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245</w:t>
            </w:r>
          </w:p>
        </w:tc>
      </w:tr>
      <w:tr>
        <w:trPr>
          <w:trHeight w:val="229"/>
        </w:trPr>
        <w:tc>
          <w:tcPr>
            <w:tcW w:w="5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Non-GAAP financial measures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Transaction profit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906</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1,246</w:t>
            </w:r>
          </w:p>
        </w:tc>
      </w:tr>
      <w:tr>
        <w:trPr>
          <w:trHeight w:val="230"/>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Transaction margin (%)</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r>
      <w:tr>
        <w:trPr>
          <w:trHeight w:val="230"/>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EBITDA margin (%)</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hanging="326"/>
        <w:spacing w:after="0"/>
        <w:tabs>
          <w:tab w:leader="none" w:pos="3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Presented as of the fourth quarter of each year.</w:t>
      </w:r>
    </w:p>
    <w:p>
      <w:pPr>
        <w:spacing w:after="0" w:line="165" w:lineRule="exact"/>
        <w:rPr>
          <w:sz w:val="20"/>
          <w:szCs w:val="20"/>
          <w:color w:val="auto"/>
        </w:rPr>
      </w:pPr>
    </w:p>
    <w:p>
      <w:pPr>
        <w:ind w:left="20" w:right="40" w:firstLine="324"/>
        <w:spacing w:after="0" w:line="261" w:lineRule="auto"/>
        <w:rPr>
          <w:sz w:val="20"/>
          <w:szCs w:val="20"/>
          <w:color w:val="auto"/>
        </w:rPr>
      </w:pPr>
      <w:r>
        <w:rPr>
          <w:rFonts w:ascii="Times New Roman" w:cs="Times New Roman" w:eastAsia="Times New Roman" w:hAnsi="Times New Roman"/>
          <w:sz w:val="18"/>
          <w:szCs w:val="18"/>
          <w:color w:val="auto"/>
        </w:rPr>
        <w:t>See the section titled “Management’s Discussion and Analysis of Financial Condition and Results of Operations—Key Metrics and Non-GAAP Financial Measures” for descriptions of Purchase Volume, Active Members, and ARPAM and a reconciliation of transaction profit to gross profit and adjusted EBITDA to net loss, the most directly comparable financial measures calculated in accordance with GAAP.</w:t>
      </w:r>
    </w:p>
    <w:p>
      <w:pPr>
        <w:sectPr>
          <w:pgSz w:w="11900" w:h="16838" w:orient="portrait"/>
          <w:cols w:equalWidth="0" w:num="1">
            <w:col w:w="9900"/>
          </w:cols>
          <w:pgMar w:left="980" w:top="124"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9900"/>
          </w:cols>
          <w:pgMar w:left="980" w:top="124" w:right="1019" w:bottom="1440" w:gutter="0" w:footer="0" w:header="0"/>
          <w:type w:val="continuous"/>
        </w:sectPr>
      </w:pPr>
    </w:p>
    <w:bookmarkStart w:id="32" w:name="page33"/>
    <w:bookmarkEnd w:id="32"/>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111760</wp:posOffset>
            </wp:positionV>
            <wp:extent cx="6995160" cy="90525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0" w:num="1">
            <w:col w:w="9019"/>
          </w:cols>
          <w:pgMar w:left="1440" w:top="124" w:right="1440" w:bottom="1440" w:gutter="0" w:footer="0" w:header="0"/>
        </w:sectPr>
      </w:pPr>
    </w:p>
    <w:bookmarkStart w:id="33" w:name="page34"/>
    <w:bookmarkEnd w:id="33"/>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3"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and uncertainties described below, together with all of the other information in this prospectus, including the section titled “Management’s Discussion and Analysis of Financial Condition and Results of Operations” and our consolidated financial statements and related notes thereto, before making a decision to invest in our common stock. If any of the risks described below actually occur, our business, financial condition, results of operations, and prospects could be adversely affected. In that event, the market price of our common stock could decline, and you could lose part or all of your investment. Our business, financial condition, results of operations, and prospects could also be harmed by risks and uncertainties not currently known to us or that we currently do not believe are material. Chime is a technology company, not a bank. Banking services are provided by The Bancorp Bank, N.A. or Stride Bank, N.A.; Members FDIC. We are not a Member of the FDIC, and FDIC-insured accounts are provided by our bank partners.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7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attract and retain Active Members, and maintain and increase the revenue we generate from our Active Members, which may adversely affect our business, financial condition, and results of operations.</w:t>
      </w:r>
    </w:p>
    <w:p>
      <w:pPr>
        <w:spacing w:after="0" w:line="105"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We have experienced rapid growth since inception. As we continue to grow and our business matures, our rate of revenue growth is likely to decline, and it may decline more quickly than we expect for a variety of reasons, including the risks described in this “Risk Factors” section. Our future growth depends in part upon attracting and retaining Active Members. Our future growth also depends in part on maintaining and increasing the revenue we generate from our Active Members, including by increasing ARPAM through maintaining and expanding use of our existing products and driving adoption of new products. We may be unable to attract new Active Members to our platform, retain new or existing Active Members, or maintain and expand our Active Members’ use of our products cost-effectively, at the rate that we expect or at all. Our Active Members have no obligation to continue to use our products and we cannot assure you that they will.</w:t>
      </w:r>
    </w:p>
    <w:p>
      <w:pPr>
        <w:spacing w:after="0" w:line="13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 number of factors may negatively affect Active Member growth and their use and adoption of our products, including if we are unable to introduce compelling products. Active Member growth and their use and adoption of our products may also be negatively affected by changes to our systems, processes, or other technical or operational requirements that impact how members access or use our products, technical or other problems that affect member experience, changes in the regulatory environment or regulations applicable to us, increased competition from traditional, online-only, or emerging financial services or financial technology companies, and harm to our brand. In addition, as of December 31, 2024, some products, including Get Paid Early, SpotMe, and MyPay, are available only to members who direct deposit their paychecks through Chime, which may limit our ability to grow these products and increase the revenue we generate from them.</w:t>
      </w:r>
    </w:p>
    <w:p>
      <w:pPr>
        <w:spacing w:after="0" w:line="13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In addition, we have invested and expect to continue to invest in product innovation to attract and retain Active Members and increase ARPAM. These investments may not generate the desired growth in Active Members or lead to increased adoption or usage of our products, or do so cost-effectively. Further, we depend in part on the use of digital marketing channels to acquire new members, the availability and affordability of which are subject to a variety of factors, including the demand for search terms or display prominence we may bid on these platforms to achieve, and such cost may limit the effectiveness of these programs.</w:t>
      </w:r>
    </w:p>
    <w:p>
      <w:pPr>
        <w:spacing w:after="0" w:line="129"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If we fail to attract and retain Active Members or maintain and increase the revenue we generate from our Active Members, or do the foregoing cost-effectively, our revenue may grow more slowly than expected or decline, and our business, financial condition, and results of operations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20"/>
          </w:cols>
          <w:pgMar w:left="320" w:top="124" w:right="35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our bank partners are crucial to our business, and we may be unable to maintain our relationship with either of our bank partners, which may adversely affect our business, financial condition, and results of operations.</w:t>
      </w:r>
    </w:p>
    <w:p>
      <w:pPr>
        <w:spacing w:after="0" w:line="105"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We rely on our bank partners to provide the banking services offered through our platform, such as opening and maintaining member bank accounts, issuing Chime-branded debit and credit cards, and providing short term loans to our members to support the liquidity products offered through our platform. Our relationships with our bank partners are a crucial part of our business as we do not have a banking license.</w:t>
      </w:r>
    </w:p>
    <w:p>
      <w:pPr>
        <w:spacing w:after="0" w:line="122"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Our relationships with our bank partners are governed by several agreements. These agreements give our bank partners discretion in approving aspects of our business practices, including our application and qualification procedures for members and the products we introduce pursuant to such partnerships, and require us to comply with certain risk management standards and other regulations. If we lose our relationships with our bank partners and we are not able to switch to other bank partners, we will not be able to operate our business in its current form. If a bank partner terminates our agreement with them or is unable or unwilling to process member transactions for any reason, including for regulatory reasons, we would need to switch some or all of our member transactions or accounts from the terminating bank to another bank, including to our other bank partner or to one or more new bank partners. Switching a significant portion or all of our member accounts handled by one or both of our bank partners to another bank partner or partners, including contracting with additional banks, may take time and may increase the complexity of our operations, resulting in significant additional costs and diverting management’s attention from other aspects of our business.</w:t>
      </w:r>
    </w:p>
    <w:p>
      <w:pPr>
        <w:spacing w:after="0" w:line="134"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We partner with The Bancorp Bank, N.A. (“Bancorp”) pursuant to a master services agreement (as amended, the “Bancorp MSA”) and with Stride Bank, N.A. (“Stride”) pursuant to two main agreements: an amended and restated agreement covering debit card issuance and private label checking and savings accounts (the “Debit Agreement”), and a secured credit card issuing and marketing agreement for secured credit card programs (as amended, the “Credit Agreement” and together with the Debit Agreement, the “Stride Agreements”). The Bancorp MSA has an initial 60-month term ending in July 2028, while the Stride Agreements each have initial 36-month terms ending in November 2025. Our bank partner agreements automatically renew for successive one-year periods unless either party provides written notice of non-renewal, which can be provided without cause to the other party at least 365 days, in the case of the Bancorp MSA, and at least 180 days, in the case of the Stride Agreements, prior to the end of any such term, or unless earlier terminated for cause. We and our bank partners can terminate the bank partner agreements early for cause upon the occurrence of certain early termination events, subject to certain fees that may be owed by Chime. In the event a bank partner agreement is terminated without cause, we can elect, subject to regulatory approval, to engage in a plan to transition our products to a successor bank partner or to develop a wind-down plan. In both cases, parties are contractually obligated to ensure a smooth transition or wind-down for our members, but we cannot guarantee the outcome of such transition or wind-down. In addition to the Bancorp MSA, Stride Agreements, and their addenda, we and/or our subsidiaries are party to certain other agreements with our bank partners. For more information related to our agreements with our bank partners, see the section titled “Business—Bank Partnerships.”</w:t>
      </w:r>
    </w:p>
    <w:p>
      <w:pPr>
        <w:spacing w:after="0" w:line="13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Further, we earn the substantial majority of our revenue through interchange-based fees when our members use their Chime-branded debit or credit cards. See the risk factor titled “Changes in rules and practices regarding interchange fees, card network fees, and other fees and assessments may adversely affect our business, financial condition, and results of operations.” We are dependent on our bank partners’ compliance with card network requirements. We also depend in part on the maintenance of our bank partners’ qualification for the small issuer exemption, which exempts certain banks from the regulated limitations on debit card interchange fees imposed by the Durbin Amendment (the “Durbin Amendment”) to the Dodd-Frank Wall Street Reform and Consumer Protection Act (“Dodd-Frank Act”), and if any of our bank partners were to become subject to such limitations on debit card interchange fees, our payments revenue may be harmed and our business, financial condition, and results of operations may be adversely affected. The continued growth of our business and, in particular, the expansion of banking services provided through our platform by our bank partners, could itself put pressure on our bank partners’ ability to qualify for the small issuer exemption from the interchange limits established pursuant to the Durbin Amendment. If this happens and we are not able to find additional bank partners to provide products through our platform, then our growth may be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24" w:right="33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Partnerships between banks and financial technology companies have been the subject of increased and evolving scrutiny from regulators and legislators over the past several years. Federal banking regulators have, in some cases, required increased oversight by banks of their partners or restricted banks’ ability to offer or expand programs. Accordingly, we or our bank partners may face external pressures that could impose additional compliance costs on us or our bank partners, impact the ability of our bank partners to process transactions, and affect our relationships with our bank partners over time. The potential for increased regulatory scrutiny may cause our current bank partners to reassess their partnerships with us and may deter new potential bank partners from entering a partnership with us. For more information related to these regulatory matters, see the section titled “Business—Regulatory Environment.”</w:t>
      </w:r>
    </w:p>
    <w:p>
      <w:pPr>
        <w:spacing w:after="0" w:line="135"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In addition, our reliance on our bank partners exposes us to their economic performance, such as any liquidity constraints, insolvency, or other factors impacting such bank partner’s ability to provide banking services through our platform, and to any events, circumstances, or risks affecting such bank partners or the banking system generally. If our bank partners’ stability deteriorates, if our bank partners do not maintain appropriate regulatory compliance, or if our business or economic relationship with either of our bank partners deteriorates for any reason, we may incur substantial costs to transition member accounts to our other bank partner or to find additional bank partners, our products may be disrupted, our brand may be harmed, and our business, financial condition, and results of operations may be adversely affected.</w:t>
      </w:r>
    </w:p>
    <w:p>
      <w:pPr>
        <w:spacing w:after="0" w:line="129"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rules and practices regarding interchange fees, card network fees, and other fees and assessments may adversely affect our business, financial condition, and results of operations.</w:t>
      </w:r>
    </w:p>
    <w:p>
      <w:pPr>
        <w:spacing w:after="0" w:line="105"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We earn the significant majority of our revenue through interchange-based fees when our members use their Chime-branded debit or credit cards. The amount of interchange fees on any given transaction depends on a number of factors, including the interchange rates that card networks set and adjust from time to time, transaction types, the merchants at which our members transact, whether such merchants have negotiated discounted rates with card networks, and other factors which may not be in our control. Interchange fees are also subject to change from time to time due to government regulation.</w:t>
      </w:r>
    </w:p>
    <w:p>
      <w:pPr>
        <w:spacing w:after="0" w:line="126"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Card networks have modified, and may modify in the future, network fees and other fees and assessments that they apply to each transaction processed using their networks, or the rules governing assessment of such fees. In some cases, we have negotiated favorable pricing with card networks regarding the network fees paid by us and our bank partners, but such pricing is complex and is contingent on various conditions. Moreover, card networks may refuse to renew our agreements with them on terms that are favorable to us, commercially reasonable, or at all. Changes to card network fees and other fees and assessments, and any failure to meet contingent pricing conditions in our agreements with card networks, or successfully renew such agreements on favorable terms, will generally increase the card network costs we incur on a per transaction basis.</w:t>
      </w:r>
    </w:p>
    <w:p>
      <w:pPr>
        <w:spacing w:after="0" w:line="133"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There are also regulatory risks associated with interchange fees. The Durbin Amendment required the Federal Reserve Board to promulgate regulations governing debit card interchange fees, card network exclusivity, and transaction routing. Accordingly, the Federal Reserve Board promulgated Regulation II. The Durbin Amendment and Regulation II exempt issuing banks that, together with their affiliates, have assets less than $10 billion from the limitations on the amount of debit card interchange fees. While our bank partners are currently exempt from the limitations on debit card interchange fees, and we expect them to continue to be exempt, we can offer no assurance or guarantee that they will remain exempt, and various events outside our control may cause our bank partners to become subject to the interchange fee limits in Regulation II. To the extent that we seek to develop a relationship with a new bank partner, there is no assurance that it will be exempt. See the risk factor titled “Our relationships with our bank partners are crucial to our business, and we may be unable to maintain our relationship with either of our bank partners, which may adversely affect our business, financial condition, and results of operations.”</w:t>
      </w:r>
    </w:p>
    <w:p>
      <w:pPr>
        <w:spacing w:after="0" w:line="134"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Regulation II also requires debit card issuers to enable at least two card networks to process all debit card transactions, including card-not-present transactions. Our bank partners must comply with Regulation II’s network exclusivity prohibition and dual routing requirements, which allow merchants to choose between at least two unaffiliated card networks when routing transactions. Card networks may impose varying levels of fees and assessments on transactions, which may influence a merchant’s choice in routing. As a result, sometimes merchants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24" w:right="339"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choose to route debit card transactions over card networks based on differences in fees or other characteristics. The increased ability for merchants to choose to route debit card transactions over networks with rules governing fees that are less favorable to us impacts the amount of payments revenue that we generate and may adversely affect our business, financial condition, and results of operations.</w:t>
      </w:r>
    </w:p>
    <w:p>
      <w:pPr>
        <w:spacing w:after="0" w:line="122"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Any changes in interchange fee rates or limitations, whether due to actions by the card networks, merchants or regulation, may adversely affect our competitive position and reduce the payments revenue we generate, require us to change our business practices, and or otherwise adversely affect our business, financial condition, and results of operations.</w:t>
      </w:r>
    </w:p>
    <w:p>
      <w:pPr>
        <w:spacing w:after="0" w:line="11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strong and trusted brand, and we may fail to maintain and protect our brand, which may adversely affect our business, financial condition, and results of operations.</w:t>
      </w:r>
    </w:p>
    <w:p>
      <w:pPr>
        <w:spacing w:after="0" w:line="105"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We have developed a strong and trusted brand that has contributed significantly to the success of our business. We believe that maintaining and protecting our brand identity and reputation is critical to our ability to attract and retain Active Members, bank partners, and employees. Maintaining and promoting our brand will depend largely on our continued investment in marketing and our ability to continue to provide affordable and easy-to-use products that address our members’ most critical financial needs, as well as our ability to maintain trust and be a technology leader.</w:t>
      </w:r>
    </w:p>
    <w:p>
      <w:pPr>
        <w:spacing w:after="0" w:line="126"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Harm to our brand can arise from many sources, including failure by us, our bank partners, or other third parties to satisfy member expectations of service and quality; inadequate protection, misuse or disclosure of confidential, proprietary, personal, or sensitive data by us, our bank partners, or other third parties; employee misconduct and misconduct by others affiliated or perceived to be affiliated with us; fraud committed by third parties using our products or platform; compliance failures by us, our bank partners, or other third parties; and litigation, investigations, regulatory activity, and other claims relating to us or others in our industry. We may also introduce or make changes to products, privacy practices, or terms of service that members do not like, or members could become dissatisfied with the decisions we make with respect to the liquidity products offered through our platform, which may harm our brand. We have spent, and expect to continue to spend, resources on branding and other marketing initiatives, which may not be successful or cost effective. These activities may not generate member awareness, attract new Active Members or increase revenue, and even if they do, any increase in revenue may not offset the expenses we incur in maintaining and promoting our brand. If we fail to successfully maintain and promote our brand, or if we incur excessive expenses in this effort, our business, financial condition, and results of operations may be adversely affected.</w:t>
      </w:r>
    </w:p>
    <w:p>
      <w:pPr>
        <w:spacing w:after="0" w:line="14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Further, negative or unfavorable publicity, media coverage, and social media postings about us or our industry, including with respect to the quality and reliability of our products, member experience, and our ability to effectively manage and resolve complaints, as well as privacy, data protection and data security matters, litigation, governmental investigations, and regulatory activity relating to us or our industry, may harm our brand, even if inaccurate. We have in the past received, and may continue to receive, a high degree of media coverage and social media conversation, including coverage that is not directly attributable to statements made by our officers and employees, that incompletely or inaccurately reports on us or our industry, or that is misleading as a result of omitting information. Any negative or unfavorable publicity, media coverage, or social media postings may adversely affect our ability to attract new Active Members and retain our existing Active Members, and maintain and increase use and adoption of our products, which may adversely affect our business, financial condition, and results of operations.</w:t>
      </w:r>
    </w:p>
    <w:p>
      <w:pPr>
        <w:spacing w:after="0" w:line="13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Member engagement with our platform relies on member satisfaction. Any failure to maintain member satisfaction or provide reliable member support may cause member engagement with our products to decline and adversely affect our business, results of operations, and financial condition.</w:t>
      </w:r>
    </w:p>
    <w:p>
      <w:pPr>
        <w:spacing w:after="0" w:line="105"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Our members’ engagement with our platform, and therefore our ability to generate revenue, relies on maintaining member satisfaction by providing experiences that delight our members and make them feel secure and supported when using our platform. Member experience is also vital to our ability to generate referrals, which were our number one channel for acquiring new Active Members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24" w:right="339" w:bottom="1440" w:gutter="0" w:footer="0" w:header="0"/>
        </w:sectPr>
      </w:pPr>
    </w:p>
    <w:bookmarkStart w:id="37" w:name="page38"/>
    <w:bookmarkEnd w:id="37"/>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Providing a satisfactory member experience depends on our ability to provide products that are affordable, easy-to-use, and address our members’ most critical financial needs. However, our members could become dissatisfied with the decisions we make with respect to the liquidity products offered through our platform or become dissatisfied with the terms and conditions of our products generally, and reduce their use of such products or our platform more generally. Because we focus on member-alignment in our business model, from time to time we have made, and may in the future make, decisions that will have a negative effect on our short-term results of operations if we believe those decisions will improve our results of operations over the long term, such as decisions balancing our risk management processes with our focus on providing a high-quality member experience. These decisions may not be consistent with the expectations of investors and may not produce the long-term benefits that we expect, in which case our business may be adversely affected.</w:t>
      </w:r>
    </w:p>
    <w:p>
      <w:pPr>
        <w:spacing w:after="0" w:line="138"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We must also provide reliable member support, which may be performed by Chime employees, our third-party service providers, or a combination thereof and may be supported by artificial intelligence (“AI”) technology. If a member is not satisfied with the quality or level of member support from us or our third-party service providers, we may incur additional costs to assess and mitigate the situation, and our members could reduce their levels of engagement with our platform or leave our platform entirely. Moreover, dissatisfied members from time to time express their views in a variety of ways, including by writing negative reviews, complaining to our regulators or the press, or otherwise taking actions that may affect us in a negative manner. Accordingly, if we do not devote sufficient resources to or are otherwise unsuccessful in maintaining member satisfaction or supporting our members effectively, our business, financial condition, and results of operations may be adversely affected.</w:t>
      </w:r>
    </w:p>
    <w:p>
      <w:pPr>
        <w:spacing w:after="0" w:line="13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on our ability to develop products to address the market for financial services, and we may not be able to develop new products or implement successful enhancements for existing products, which may adversely affect our business, financial condition, and results of operations.</w:t>
      </w:r>
    </w:p>
    <w:p>
      <w:pPr>
        <w:spacing w:after="0" w:line="10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compete in an industry dominated by traditional financial institutions such as banks, but that involves many new entrants in the financial services industry seeking to innovate traditional financial services offerings, which can involve rapid technological change, frequent introductions of new products, and evolving industry standards and regulatory requirements, including developments in mobile financial applications, digital banking, ecommerce, cryptocurrency, including stablecoins, and other emerging or alternative payment methods and systems. In order to maintain our competitive positioning, we will need to continue to invest in and innovate our platform and technology stack. Similarly, there is rapid innovation in the provision of other banking products to consumers, including in financial and wealth management services. We intend to continue to broaden the scope of products offered through our platform, including exploring expansion into additional liquidity products. The introduction of new products involves a number of risks. For example, new products may have a different revenue and margin profile than existing products and could entail additional expenses, such as headcount or compliance costs, and could involve different and new risks and liabilities or additional regulatory scrutiny. Our continued success will depend in part on our ability to keep pace with these rapid changes and innovations, including with respect to developments in AI and machine learning (“ML”), and our ability to timely develop new products, implement successful enhancements for existing products, and improve our technological infrastructure.</w:t>
      </w:r>
    </w:p>
    <w:p>
      <w:pPr>
        <w:spacing w:after="0" w:line="13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These developments and our adoption of them may require substantial expenditures and take considerable time, and we may not be successful in realizing a return on these efforts in a timely manner or at all. We must maintain adequate research and development resources, such as the appropriate personnel and development technology. If we are unable to adequately forecast and invest in the necessary research and development resources, we may be unable to develop new products or enhancements to existing products in a timely manner. There can be no assurance that any new products, or enhancements to existing products, we develop and offer to our members will achieve significant commercial acceptance or generate revenue sufficient to offset our investments.</w:t>
      </w:r>
    </w:p>
    <w:p>
      <w:pPr>
        <w:spacing w:after="0" w:line="133"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Further, our ability to develop new products, implement successful enhancements for existing products, and improve our technological infrastructure may be inhibited by industry-wide standards, laws, and regulations, resistance to change from members or our bank partners, or third parties’ intellectual property rights. Because our products are designed to operate with a variety of systems, infrastructures, and devices, including, for example, mobile operating systems such as Android and iOS operating systems and their respective application stores, such as the Google Play Store and Apple App Store, we need to continuously modify and enhance our products to keep pace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80"/>
          </w:cols>
          <w:pgMar w:left="320" w:top="124" w:right="399" w:bottom="1440" w:gutter="0" w:footer="0" w:header="0"/>
        </w:sectPr>
      </w:pPr>
    </w:p>
    <w:bookmarkStart w:id="38" w:name="page39"/>
    <w:bookmarkEnd w:id="38"/>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with changes in mobile, software, communication, and database technologies. We may not be successful in either developing these modifications and enhancements, or in bringing them to market in a timely and cost-effective manner.</w:t>
      </w:r>
    </w:p>
    <w:p>
      <w:pPr>
        <w:spacing w:after="0" w:line="108"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Any failure to accurately anticipate, predict, or respond effectively to trends and developments in our industry, or to keep pace with rapid technological change, innovation, and industry or regulatory standards may harm our ability to develop new products or enhancements to existing products, which may adversely affect our business, financial condition, and results of operations.</w:t>
      </w:r>
    </w:p>
    <w:p>
      <w:pPr>
        <w:spacing w:after="0" w:line="11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addition to our bank partners, we rely on third parties and their systems for a variety of services, and we face risks associated with any failure by these third parties to adequately perform these services, which may adversely affect our business, financial condition, and results of operations.</w:t>
      </w:r>
    </w:p>
    <w:p>
      <w:pPr>
        <w:spacing w:after="0" w:line="105" w:lineRule="exact"/>
        <w:rPr>
          <w:sz w:val="20"/>
          <w:szCs w:val="20"/>
          <w:color w:val="auto"/>
        </w:rPr>
      </w:pPr>
    </w:p>
    <w:p>
      <w:pPr>
        <w:ind w:right="80" w:firstLine="324"/>
        <w:spacing w:after="0" w:line="252" w:lineRule="auto"/>
        <w:rPr>
          <w:sz w:val="20"/>
          <w:szCs w:val="20"/>
          <w:color w:val="auto"/>
        </w:rPr>
      </w:pPr>
      <w:r>
        <w:rPr>
          <w:rFonts w:ascii="Times New Roman" w:cs="Times New Roman" w:eastAsia="Times New Roman" w:hAnsi="Times New Roman"/>
          <w:sz w:val="18"/>
          <w:szCs w:val="18"/>
          <w:color w:val="auto"/>
        </w:rPr>
        <w:t>In addition to our bank partners, we rely on third parties in connection with our products, including, but not limited to: card networks, payment gateways, and other third parties who provide key functions, including payment processing, transaction processing, member support, data center facilities, and cloud computing. We rely on these third parties for a variety of services, including to transmit transaction data and settle funds to our members, and to support our ability to maintain the confidentiality, integrity, and availability of our systems and infrastructure, including websites, information, and related systems. For example, cash deposits are processed primarily by Interactive Communications International, Inc., a third-party cash deposit processor; ATM access for our members is provided by Allpoint, MoneyPass, and Visa Plus Alliance, each a third-party provider of ATM services; and we currently host our platform and support our operations using Amazon Web Services, a third-party provider of cloud infrastructure services. In addition, transactions have historically been processed by Galileo Financial Technologies, LLC (“Galileo”), a third-party payment processor, though we are in the process of transitioning our members’ transactions to being processed by ChimeCore; as of the end of 2024, we had transitioned all credit card transactions to being processed by ChimeCore, while all debit card transactions were still processed by Galileo. See the risk factor titled “Currently, a portion of member transactions are processed through Galileo, a third-party payment processor, and a portion of member transactions are processed through ChimeCore. Any problems or delays with the transition to ChimeCore may adversely affect our business, financial condition, and results of operations.” We also rely on our relationships with Walgreens and other retailers to provide members with the ability to make cash deposits at in-person locations. Failure by any of these third parties to perform the relevant services would adversely affect our business.</w:t>
      </w:r>
    </w:p>
    <w:p>
      <w:pPr>
        <w:spacing w:after="0" w:line="143"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The card networks, payment processor, and other third parties we work with may fail to process transactions, breach their agreements with us or refuse to renew or renegotiate our agreements with them on terms that are favorable, commercially reasonable or at all. They may also take actions that degrade the functionality of our products or platform, impose additional costs or requirements on us, or give preferential treatment to competitive services, including their own services or those of their affiliates. For example, we are required to comply with card network operating rules, which are set solely by the card networks and interpreted or changed at their discretion. While changes in the network rules often relate to pricing, other types of changes may require us to take steps to comply or adapt, which may be costly or otherwise harm our business. If we fail to comply with such changes or otherwise resolve issues with the card networks, the card networks may fine us or prohibit us from processing payment cards on their network. In addition, violations of the network rules or any failure to maintain good relationships with the card networks may affect our ability to receive incentives from them, increase our costs, or otherwise adversely affect our business, financial condition, and results of operations. If we for any reason opted or were forced to transition members to a different card network, the transition may not be seamless, and we may not retain all of our members. All of these outcomes may adversely affect our business, financial condition, and results of operations.</w:t>
      </w:r>
    </w:p>
    <w:p>
      <w:pPr>
        <w:spacing w:after="0" w:line="138"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We do not have control over the operations of the facilities of our third-party service providers and their facilities are vulnerable to product or technological defects, damage, or interruption from infrastructure changes or failures, introductions of new functionality, human or software errors, capacity constraints, loss of assets, natural disasters, data breaches, malware, and other security or hacking incidents, terrorist attacks, power outages, and similar events or acts of misconduct. In addition, any changes in their service levels may adversely affect our ability to meet the requirements of our bank partners or provide contractual services to our members in a timely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20"/>
          </w:cols>
          <w:pgMar w:left="320" w:top="124" w:right="359"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Since our platform’s continuing and uninterrupted performance is critical to our success, sustained or repeated system failures stemming from our third-party service providers may harm our brand and reduce the attractiveness of our products. Additionally, if a third-party service provider, in particular where such provider is a sole source or one of a limited number of sources of its services, is unable to provide all or any portion of services, we may incur significant costs to either internalize such services or to find a suitable alternative and may not be able to do so in a timely manner.</w:t>
      </w:r>
    </w:p>
    <w:p>
      <w:pPr>
        <w:spacing w:after="0" w:line="12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Our reliance on third parties also creates additional risks that include legal, regulatory, information security, reputational, operational, or any other risks inherent in engaging and relying upon a third party. If we are unable to effectively manage our third-party relationships, these third parties are unable to meet their obligations to us, or we experience substantial disruptions in these relationships, our business, financial condition, and results of operations may be adversely affected. In addition, while we have policies and procedures for managing these relationships, we inherently have a lesser degree of control over business operations, governance, and compliance, thereby potentially increasing our financial, legal, reputational, and operational risk as a result of our reliance on third parties.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net losses and we may not be able to achieve or maintain profitability in the future.</w:t>
      </w:r>
    </w:p>
    <w:p>
      <w:pPr>
        <w:spacing w:after="0" w:line="175"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have incurred net losses since inception. For 2022, 2023, and 2024, we incurred net losses of $470.3 million, $203.2 million, and $25.3 million, respectively. We intend to continue making investments in our business, including with respect to our employee base, sales and marketing, technology infrastructure, development of new products and features, acquisitions and other strategic transactions, infrastructure, expansion of operations, and general administration, including legal, regulatory, compliance, security, and accounting expenses related to our business. These investments may not result in increased revenue or growth in our business and may contribute to future losses. We have incurred, and expect to incur in the future, losses for a number of reasons, including further investments in our business, vesting and settlement of equity awards, unexpected expenditures or costs, and the other risks described in this “Risk Factors” section. If we are unable to successfully address these risks as we encounter them, our business, financial condition, and results of operations may be adversely affected.</w:t>
      </w:r>
    </w:p>
    <w:p>
      <w:pPr>
        <w:spacing w:after="0" w:line="138"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In addition, we have granted RSUs under our 2012 Plan that vest upon the satisfaction of both a service-based vesting condition and a liquidity-based vesting condition. The service-based vesting condition was satisfied with respect to 21,347,198 of these RSUs as of December 31, 2024. We have also granted PSUs in connection with our acquisition of Salt Labs, Inc. (“Salt Labs”) that vest upon the satisfaction of each of a service-based vesting condition, a liquidity-based vesting condition, and a performance-based vesting condition related to designated operational metrics. The liquidity-based vesting condition of these RSUs and PSUs will be satisfied upon the effectiveness of the registration statement of which this prospectus forms a part. As of December 31, 2024, no stock-based compensation expense had been recognized for such RSUs or PSUs because achievement of the liquidity-based vesting condition was not probable. In the quarter in which this offering is completed, we will begin recording stock-based compensation expense based on the grant-date fair value of the RSUs and PSUs using the accelerated attribution method. If this offering had been completed on December 31, 2024, we would have recorded $749.0 million of cumulative stock-based compensation expense related to the RSUs and $1.5 million of cumulative stock-based compensation expense related to the PSUs on that date. An additional $202.1 million of unrecognized stock-based compensation expense related to the RSUs would be recognized over a weighted-average period of approximately 1.8 years. An additional $8.1 million of unrecognized stock-based compensation expense related to the PSUs would be recognized over a weighted-average period of approximately 2.7 years. In addition to stock-based compensation expense associated with the RSUs and PSUs, as of December 31, 2024, we had unrecognized stock-based compensation expense of approximately $81.4 million related to other outstanding equity awards, which we expect to recognize over a weighted-average period of approximately 2.8 years. Following the completion of this offering, we expect to continue to grant RSUs and other equity awards, and the stock-based compensation expense related to existing RSUs and other outstanding equity awards, and those to be awarded in the future will result in increases in our expenses in future periods, in addition to the quarter in which this offering is completed.</w:t>
      </w:r>
    </w:p>
    <w:p>
      <w:pPr>
        <w:spacing w:after="0" w:line="13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If we are unable to maintain adequate revenue growth to exceed our expenditures, we may continue to incur losses in the future and may not be able to achieve or maintain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24"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may fluctuate from period-to-period, which may cause the market price of our common stock to decline.</w:t>
      </w:r>
    </w:p>
    <w:p>
      <w:pPr>
        <w:spacing w:after="0" w:line="17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Our annual and quarterly revenue, results of operations, and other key metrics have fluctuated significantly in the past and may vary significantly in the future due to a variety of factors, many of which are outside of our control. In addition to other risks described in this “Risk Factors” section, factors that may cause our results of operations to fluctuate include:</w:t>
      </w:r>
    </w:p>
    <w:p>
      <w:pPr>
        <w:spacing w:after="0" w:line="122"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Active Members’ use of our products, including their use of Chime-branded debit or credit cards to pay for goods and services;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Active Members;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increase use and adoption of existing and new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relationships with our bank partners and third-party service providers;</w:t>
      </w:r>
    </w:p>
    <w:p>
      <w:pPr>
        <w:spacing w:after="0" w:line="17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card networks to set interchange fees and the amount of such interchange fees that is remitted to Chime and our bank partners under our agreements;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or respond to changes in the competitive landscape;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to address the market for financial services and payments;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investments in growth, including in our technology platform and sales and marketing activities;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including our operating expenses;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detect and mitigate fraudulent activity on our platform and mitigate the risk of credit decisions that result in losses;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of liquidity products offered through our platform;</w:t>
      </w:r>
    </w:p>
    <w:p>
      <w:pPr>
        <w:spacing w:after="0" w:line="17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vesting and settlement of equity awards, including any cash used to remit taxes on behalf of employees in connection with net share settlement of RSUs and PSUs, and the recognition of stock-based compensation expense;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efficiently complete or integrate any acquisitions or other strategic transactions that we may undertake;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brand;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service providers for critical infrastructure and services;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failures, interruptions, delays in service, catastrophic events, and resulting interruptions in the availability of our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or perceived data breaches, malware, and other security or hacking incidents, or human error in administering our software and systems;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or perceived improper or unauthorized use of, disclosure of, or access to confidential, proprietary, personal, or sensitive data;</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risk management efforts;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legislative or regulatory environment, including regulatory scrutiny and restrictions;</w:t>
      </w:r>
    </w:p>
    <w:p>
      <w:pPr>
        <w:spacing w:after="0" w:line="171"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including consumer class action lawsuits, intellectual property claims, government investigations or inquiries, and regulatory fines, penalties, or disputes;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24"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effective tax rate;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macroeconomic, industry, and market conditions.</w:t>
      </w:r>
    </w:p>
    <w:p>
      <w:pPr>
        <w:spacing w:after="0" w:line="171"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Any one or more of the factors above may result in significant fluctuations in our annual and quarterly results of operations or other key metrics. You should not rely on our past results as an indicator of our future performance. In addition, we typically experience seasonality in the demand for and usage of our products, most prominently in the first quarter of each year due to increased spending following receipt of tax refunds.</w:t>
      </w:r>
    </w:p>
    <w:p>
      <w:pPr>
        <w:spacing w:after="0" w:line="122" w:lineRule="exact"/>
        <w:rPr>
          <w:sz w:val="20"/>
          <w:szCs w:val="20"/>
          <w:color w:val="auto"/>
        </w:rPr>
      </w:pPr>
    </w:p>
    <w:p>
      <w:pPr>
        <w:jc w:val="both"/>
        <w:ind w:right="500" w:firstLine="324"/>
        <w:spacing w:after="0" w:line="261" w:lineRule="auto"/>
        <w:rPr>
          <w:sz w:val="20"/>
          <w:szCs w:val="20"/>
          <w:color w:val="auto"/>
        </w:rPr>
      </w:pPr>
      <w:r>
        <w:rPr>
          <w:rFonts w:ascii="Times New Roman" w:cs="Times New Roman" w:eastAsia="Times New Roman" w:hAnsi="Times New Roman"/>
          <w:sz w:val="18"/>
          <w:szCs w:val="18"/>
          <w:color w:val="auto"/>
        </w:rPr>
        <w:t>The variability and unpredictability of our annual and quarterly results of operations or other key metrics may result in our failure to meet our or investors’ expectations, or those of analysts that cover us, for a particular period. If we fail to meet or exceed such expectations for these or any other reasons, the market price of our common stock may decline, and we may face costly lawsuits, including securities class action litigation, which may adversely affect our business, financial condition, and results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substantial and intense competition in our industry which may adversely affect our business, financial condition, and results of operations.</w:t>
      </w:r>
    </w:p>
    <w:p>
      <w:pPr>
        <w:spacing w:after="0" w:line="175"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We face substantial and intense competition in our industry, and we expect competition to intensify in the future as existing and new competitors introduce new products or enhance existing products and services. For example, companies not traditionally associated with the financial services and financial technology industries have introduced products that compete with our business. We principally compete against traditional financial institutions, such as Bank of America, Capital One, Citibank, J.P. Morgan Chase, PNC Bank, and Wells Fargo, and online-only financial institutions, such as Ally, Discover, and SoFi, as well as financial technology companies that offer or facilitate bank accounts, payments, and liquidity services, including Affirm and PayPal and offerings such as Cash App, to attract and retain Active Members. Many of these competitors have greater financial resources and substantially larger bases of existing users than our Active Member base, which may provide them with significant competitive advantages. These competitors may devote greater resources to the development, promotion, and distribution of products and services, and may achieve economies of scale due to the sizes of their user bases, and they may effectively introduce their own innovative products and services that adversely affect our growth. Our competitors may also be more willing than us to take financial risk or incur losses on new products and services to attract members. Mergers and acquisitions by, and collaborations between, these competitors may lead to even larger competitors with more resources. Competition among credit card issuers for consumers is particularly intense, and our members may decide to use cards issued by competitors for many reasons, including because of greater incentives or credit card rewards offered by our competitors. Additionally, the potential acquisition of one of our key service providers or partners by a competitor may make it difficult or cost-prohibitive for us to continue conducting business with them or lead us to search elsewhere for support and infrastructure. We also expect new entrants to offer competitive products and services. More broadly, we face competition with respect to consumer spending habits and changes to the current financial system. For example, consumer behavior has evolved over time and may continue to change with respect to the use of payment card transactions compared to cash, cryptocurrencies, including stablecoins, and other emerging or alternative payment methods and systems. Our future growth depends in part on our ability to anticipate and respond to any such changes in consumer behavior or the overall financial system. If we are unable to differentiate ourselves from and successfully compete with our current or future competitors, our business, financial condition, and results of operations may be adversely affected.</w:t>
      </w:r>
    </w:p>
    <w:p>
      <w:pPr>
        <w:spacing w:after="0" w:line="135"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In addition, potential competitors may receive favorable pricing terms with their banking partners, card networks, and third-party service providers compared to what we receive with ours, which may allow them to provide additional incentives to their users and may result in the need for us to alter our business model. If the fee arrangements we have with our bank partners, card networks, and third-party service providers change to become less favorable to us as the result of competitive pressure or otherwise, our business, financial condition, and results of operations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24"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may not function as intended due to errors in our software, systems, or processes, or human error in administering these systems or processes, which may adversely affect our business, results of operations, and financial condition.</w:t>
      </w:r>
    </w:p>
    <w:p>
      <w:pPr>
        <w:spacing w:after="0" w:line="10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Our software, systems, and processes, and those of the third parties on which we rely, may contain errors or vulnerabilities that may adversely affect our business, financial condition, and results of operations, particularly to the extent such errors and vulnerabilities are not detected or remedied quickly. Our products, and the infrastructure on which they depend, are highly technical and complex and are often used (directly or indirectly) to store information critical to our members’ daily financial needs. Our products or the products of our bank partners or other third parties on which we rely may not function as intended due to undetected errors, defects, security vulnerabilities, or human errors that may result in data unavailability, loss, or permanent or temporary corruption, lack of funds or account access by members, inability to enable or disable accounts, or other harm to our members. Some errors in our products, or those of third parties on which we rely, may only be discovered after they have been installed and/or used by members. Any errors, defects, or security vulnerabilities discovered in our products after commercial release or those of third parties on which we rely, or any perception of the same in the marketplace, may harm our brand, cause a loss of Active Members or increased service costs, any of which may adversely affect our business, financial condition, and results of operations. In addition, we may face negative publicity, disclosure obligations, litigation, regulatory scrutiny, government investigations, and/or other actions in connection with such errors, defects, or security vulnerabilities. Our insurance coverage may also prove inadequate or may be subject to coverage exclusions or deductibles with respect to claims resulting from such errors, defects, or security vulnerabilities, and future coverage may be unavailable to us on economically reasonable terms, or at all. We have experienced these risks in the past and expect that as we continue to grow and scale our platform and product offerings we will continue to experience these risks from time to time, any of which may harm our brand, impair our ability to retain Active Members, and adversely affect our business, financial condition, and results of operations.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System failures and interruptions in the availability of our platform may adversely affect our business, results of operations, and financial condition.</w:t>
      </w:r>
    </w:p>
    <w:p>
      <w:pPr>
        <w:spacing w:after="0" w:line="175"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Our success depends, in part, on our ability to maintain the confidentiality, integrity, and availability of our systems and infrastructure, and in particular, our technology platform. Our continued growth depends on the efficient operation of our platform, including our proprietary payment processor and ledger, without interruption or degradation of performance. Our business involves processing large numbers of transactions and the management of large amounts of data, and as a result a system outage, service interruption, data loss, data breach, malware, or other security or hacking incident, or performance problem may adversely affect our business, results of operations, and financial condition.</w:t>
      </w:r>
    </w:p>
    <w:p>
      <w:pPr>
        <w:spacing w:after="0" w:line="1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have in the past, and may in the future, experience system outages, service interruptions, data loss, data breaches, malware, or other security or hacking incidents, or performance problems due to a variety of factors, including from infrastructure changes or failures, introductions of new functionality, human or software errors, service failures, operational and technological outages, capacity constraints, loss or theft of assets, natural disasters, terrorist attacks, power outages data breaches, malware, and other security or hacking incidents, and similar events or acts of misconduct. In some instances, we may not be able to identify the cause or causes of these performance problems immediately or in short order, and we may face difficulties detecting, mitigating, remediating, and otherwise responding to any such issues.</w:t>
      </w:r>
    </w:p>
    <w:p>
      <w:pPr>
        <w:spacing w:after="0" w:line="133"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We may not be able to maintain the level of service uptime and performance needed by our members, especially as member engagement with our platform increases and we continue to expand the number of products we offer to our members. We have experienced rapid growth in our Active Members over the past several years and expect such growth to continue; however, if we are unable to maintain sufficient processing capacity, particularly as we transition to processing a greater volume of transactions directly through our own systems, members may face longer processing times or even downtime. Furthermore, any efforts to further scale our platform or increase its complexity to handle a larger number or more complicated transactions may result in performance issues, including longer processing times and downtime. Members have in the past experienced, and may in the future experience, interruptions or delays in the use of our platform due to a failure by our third-party service providers, such as our payment processor and card networks. If our platform is unavailable or if members are unable to access the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24" w:right="339"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within a reasonable amount of time, or at all, our business would be adversely affected. Our members rely on the full-time availability of our platform to access their funds, and a system outage, service interruption, data loss, data breach, malware, or other security or hacking incident, or performance problem on our platform may impair the ability of our members to make purchases or access funds. Therefore, any such performance problem on our platform may harm our brand, decrease member satisfaction, and subject us to financial penalties and liabilities.</w:t>
      </w:r>
    </w:p>
    <w:p>
      <w:pPr>
        <w:spacing w:after="0" w:line="12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Further, several of our bank partner contracts provide for service level commitments, which require us or our third-party service providers to maintain uptime minimums with regard to card authorization requests, reporting delivery, and other platform functionality. If we suffer extended periods of downtime for our platform or our processing services functionality, or are otherwise unable to meet these commitments, then we may be subject to contractual penalties. Moreover, we depend, in part, on services from various third-party service providers to maintain our infrastructure, including data center facilities and cloud storage platforms. For additional risks related to our dependence on third-party service providers, see the risk factor titled “In addition to our bank partners, we rely on third parties and their systems for a variety of services, and we face risks associated with any failure by these third parties to adequately perform these services, which may adversely affect our business, financial condition, and results of operations.”</w:t>
      </w:r>
    </w:p>
    <w:p>
      <w:pPr>
        <w:spacing w:after="0" w:line="135"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We may be forced to expend significant financial and operational resources in response to any of the above circumstances or events. While we maintain insurance, our insurance may be insufficient in scope or amount to cover all liabilities incurred and we may not be able to maintain insurance coverage cost-effectively or at all. The foregoing circumstances or events may also harm our brand, cause Active Members to stop using our platform, impair our ability to grow our Active Member base, subject us to financial penalties and liabilities, and otherwise adversely affect our business, financial condition, and results of operations.</w:t>
      </w:r>
    </w:p>
    <w:p>
      <w:pPr>
        <w:spacing w:after="0" w:line="12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real or perceived improper or unauthorized use of, disclosure of, or access to confidential, proprietary, personal, and sensitive data maintained or otherwise controlled by us, our bank partners or our other third-party service providers may harm our reputation as a trusted brand, and may adversely affect our business, financial condition, and results of operations.</w:t>
      </w:r>
    </w:p>
    <w:p>
      <w:pPr>
        <w:spacing w:after="0" w:line="12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our bank partners, third-party developers, and third-party service providers and data centers that we use, obtain, store, transmit, and otherwise process large amounts of confidential, proprietary, personal, and sensitive data, including data related to our members and their transactions, as well as proprietary data belonging to our business, such as trade secrets. We face risks, including to our reputation as a trusted brand, in the handling and protection of this data. These risks may increase as our business continues to expand to include new products, subsidiaries, and technologies, such as AI, and as we and others rely on increasingly distributed workforces. Our operations involve the use, collection, storage, transmission, and other processing of confidential, proprietary, personal, and sensitive data of individuals using our products, including their names, addresses, social security numbers, government IDs, payment card numbers, and expiration dates, and bank account information. The growing use of AI and ML in our systems presents additional risks. AI and ML algorithms and automated processing of data may be flawed, and data may be insufficient or may use third-party AI or ML with unclear intellectual property rights or interests. Inappropriate or controversial data practices by us or others may subject us to lawsuits, regulatory investigations, legal and financial liability, or reputational harm.</w:t>
      </w:r>
    </w:p>
    <w:p>
      <w:pPr>
        <w:spacing w:after="0" w:line="14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products operate in conjunction with, and are dependent upon, third-party products, components, and operating systems across a broad ecosystem. There have been and may continue to be significant cyberattacks on our third-party service providers, and we cannot guarantee that that the systems and networks operated by us, our bank partners, or other third-party service providers have not been breached or that they do not contain exploitable security vulnerabilities, errors, defects, or bugs that may result in a breach of or disruption to our systems and networks, or the systems and networks of third parties that support us, our bank partners, and our other third-party service providers. If there is a security vulnerability, error, defect, or other bug in one of these third-party products, components, or operating systems and if there is a security exploit targeting them, we may face increased costs, claims, and liability, proceedings and litigation, reduced revenue, or harm to our brand or competitive position. The natural sunsetting of third-party products, components, and operating systems that we use requires our personnel to reallocate time and attention to migration and updates, during which period potential security vulnerabilities may be exploited.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20"/>
          </w:cols>
          <w:pgMar w:left="320" w:top="124" w:right="359" w:bottom="1440" w:gutter="0" w:footer="0" w:header="0"/>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More generally, if our privacy, data protection, or data security measures or those of our bank partners, third-party developers, or third-party service providers are inadequate or are breached, or otherwise compromised, and, as a result, there is improper use, disclosure or other processing of, or someone obtains unauthorized access to, or infiltrates, funds or other confidential, proprietary, personal, or sensitive data on our systems or our bank partners’, third-party developers’ or third-party service providers’ systems, or if we, our bank partners, third-party developers, or third-party service providers suffer a ransomware or other advanced persistent threat attack, or if any of the foregoing is reported or perceived to have occurred, our brand and business may be harmed. If the confidential, proprietary, personal, or sensitive data is lost or improperly accessed, misused, disclosed, destroyed, altered, or otherwise processed or threatened to be improperly accessed, misused, disclosed, destroyed, altered, or otherwise processed, we may incur significant financial losses and costs and liability associated with remediation and the implementation of additional security measures and be subject to negative publicity, litigation, regulatory scrutiny, governmental investigations, and/or other actions. In addition, our bank partnership agreements contain contractual commitments for us to provide certain minimum security standards, and if we fail to meet these obligations, we are potentially directly liable to our bank partners for incremental costs and expenses they may incur as a result of such failures, and our bank partners could terminate their agreements with us.</w:t>
      </w:r>
    </w:p>
    <w:p>
      <w:pPr>
        <w:spacing w:after="0" w:line="13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Under payment card rules and our contracts with our card processors and other counterparties, if there is a breach of payment card information that we store or that is stored by other third parties with which we do business, we may be liable to the payment card issuing banks for their costs and expenses. Additionally, if our own confidential, proprietary, personal, or sensitive data were improperly accessed, misused, disclosed, destroyed, altered, or otherwise processed, our business, financial condition, and results of operations may be adversely affected. A core aspect of our business is the reliability and security of our products. Any perceived or actual breach of security, or similar type of security incident, including any type of fraud perpetrated by bad actors such as account takeovers or fake account scams, regardless of how it occurs or the extent or nature of the breach or similar incident, may harm our brand, cause us to lose Active Members, prevent us from attracting new Active Members, require us to expend significant funds to remedy problems caused by breaches or similar incidents and to implement measures in an effort to prevent further breaches and similar incidents, and expose us to legal risk and potential liability including those resulting from governmental or regulatory investigations, class action litigation, and costs associated with remediation, such as fraud monitoring and forensics. Any actual or perceived data breach, malware, or other security or hacking incident at a company providing services to us or our members may have similar effects.</w:t>
      </w:r>
    </w:p>
    <w:p>
      <w:pPr>
        <w:spacing w:after="0" w:line="138"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Many jurisdictions have enacted laws requiring companies to notify individuals, regulatory authorities, and others of improper access, use, disclosure, destruction, alteration, or other processing of certain information or systems. Likewise, agreements with our bank partners and other third parties may require us to notify them in the event of certain data breaches, malware, or other security or hacking incidents. Such mandatory disclosures may be costly, lead to negative publicity, cause our members to lose confidence in the effectiveness of our security measures, and require us to expend significant capital and other resources to respond to and alleviate problems caused by the actual or perceived data breach, malware, or other security or hacking incident. Further, a data breach, malware, or other security or hacking incident impacting us, our bank partners, third-party developers, or third-party service providers may give rise to our contractual counterparties’ right to terminate their contract with us. In these circumstances, it may be difficult or impossible to cure such breach or similar incident in order to prevent such counterparty from potentially terminating their contracts with us. Furthermore, there can be no guarantee that any limitations on our potential liability in our contracts with such counterparties, if any at all, would be adequate or enforceable.</w:t>
      </w:r>
    </w:p>
    <w:p>
      <w:pPr>
        <w:spacing w:after="0" w:line="134"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While we maintain insurance, our insurance may be insufficient to cover all liabilities incurred by such attacks. We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premiums, or deductibles may adversely affect our brand,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20"/>
          </w:cols>
          <w:pgMar w:left="320" w:top="124" w:right="359" w:bottom="1440"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Data breaches, malware, and other security or hacking incidents may adversely affect our brand, business, financial condition, and results of operations.</w:t>
      </w:r>
    </w:p>
    <w:p>
      <w:pPr>
        <w:spacing w:after="0" w:line="10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Data breaches, malware, and other security or hacking incidents have become more prevalent across industries and may occur on our systems or the systems of our bank partners, our third-party developers, and our third-party service providers. Additionally, due to the proliferation and increased use of generative AI, many existing threats have become more sophisticated, difficult to catch, and more likely to cause harm. Any data breach, malware, or other security or hacking incident, including denial-of-service attacks, ransomware attacks, viruses, malware or other malicious code, social engineering, phishing attacks, credential stuffing, insider malfeasance, theft of assets, and account takeovers, any of which may involve unauthorized access, use, disclosure, destruction, alteration, or other processing of our information or systems, or cause intentional malfunction or loss or corruption of data, software, hardware, or other computer equipment, and the inadvertent transmission of computer viruses may adversely affect our business, financial condition, and results of operations.</w:t>
      </w:r>
    </w:p>
    <w:p>
      <w:pPr>
        <w:spacing w:after="0" w:line="13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addition, in the conduct of our business, we may store and transmit members’ confidential, proprietary, personal, or sensitive data in our facilities and on our equipment, networks, and corporate systems. Data breaches may harm our brand and expose us to litigation, disclosure requirements, remediation costs, increased costs for security measures, loss of revenue, regulatory scrutiny, governmental investigation and/or other actions, and other potential liability. Our equipment, networks, and corporate systems, and security measures thereof, may be breached due to the actions of outside parties, employee or contractor error, malfeasance, a combination of these, or otherwise and, as a result, an unauthorized party may obtain access to our or our members’ confidential, proprietary, personal, or sensitive data. Additionally, outside parties may attempt to fraudulently induce employees or contractors to disclose sensitive data in order to gain access to our or our members’ confidential, proprietary, personal, or sensitive data. We examine and modify our security controls and business policies to address the use of new devices and technologies, and the increasing focus by our members and regulators on controlling and protecting confidential, proprietary, personal, and sensitive data.</w:t>
      </w:r>
    </w:p>
    <w:p>
      <w:pPr>
        <w:spacing w:after="0" w:line="134"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Because the techniques used to obtain unauthorized access, disable or degrade service, or sabotage systems change frequently or may be designed to remain dormant until a predetermined event and often are not recognized until launched against a target, we may be unable to anticipate or detect these techniques or implement adequate preventative or remedial measures. Though it is difficult to determine what harm may directly result from any specific interruption or data breach, any failure to maintain performance, reliability, security, and availability of our network infrastructure may harm our brand, our ability to retain existing Active Members and attract new Active Members, and our ability to operate.</w:t>
      </w:r>
    </w:p>
    <w:p>
      <w:pPr>
        <w:spacing w:after="0" w:line="12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If an actual or perceived data breach, malware, or other security or hacking incident occurs, the market perception of the effectiveness of our security measures may be harmed, we may lose existing Active Members and fail to attract new Active Members, we may damage our relationships with our bank partners, we may be forced to cease operating our business, and our financial condition and results of operations may suffer due to such events or in connection with remediation efforts, investigation costs, legal expenses, potential litigation costs, negative publicity, regulatory scrutiny, governmental investigations, and/or other actions, including changed security and system protection measures associated therewith.</w:t>
      </w:r>
    </w:p>
    <w:p>
      <w:pPr>
        <w:spacing w:after="0" w:line="12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Issues in the development and use of AI and ML, combined with an uncertain legal and regulatory environment, may harm our brand, cause us to incur liabilities, and may adversely affect our business, financial condition, and results of operations.</w:t>
      </w:r>
    </w:p>
    <w:p>
      <w:pPr>
        <w:spacing w:after="0" w:line="10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use AI and ML technologies in our operations, including in our risk management framework and our member support function, and we continue to make investments in expanding AI and ML capabilities for our products, as well as developing new products or product features using AI technologies, including generative AI. The introduction or continued use of AI and ML technologies into our new or existing products may require significant investment and result in new or enhanced governmental or regulatory scrutiny, litigation, confidentiality or security risks, ethical concerns, or other complications. We cannot assure you the benefits of these investments will outweigh the risks associated with these developing technologies.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20"/>
          </w:cols>
          <w:pgMar w:left="320" w:top="124" w:right="359" w:bottom="1440" w:gutter="0" w:footer="0" w:header="0"/>
        </w:sectPr>
      </w:pPr>
    </w:p>
    <w:bookmarkStart w:id="46" w:name="page47"/>
    <w:bookmarkEnd w:id="46"/>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80" w:firstLine="324"/>
        <w:spacing w:after="0" w:line="255" w:lineRule="auto"/>
        <w:rPr>
          <w:sz w:val="20"/>
          <w:szCs w:val="20"/>
          <w:color w:val="auto"/>
        </w:rPr>
      </w:pPr>
      <w:r>
        <w:rPr>
          <w:rFonts w:ascii="Times New Roman" w:cs="Times New Roman" w:eastAsia="Times New Roman" w:hAnsi="Times New Roman"/>
          <w:sz w:val="18"/>
          <w:szCs w:val="18"/>
          <w:color w:val="auto"/>
        </w:rPr>
        <w:t>AI and ML technologies may create content or otherwise assist in producing analyses or recommendations that appear correct but are factually inaccurate, incomplete, misleading, biased, or otherwise flawed, or produce other discriminatory or unexpected results, errors, or inadequacies, any of which may not be easily detectable. Our members, bank partners, or others may rely on or use this flawed content, analyses, or recommendations to their detriment. While we have processes and controls in place designed to mitigate the risks associated with using AI and ML technologies, if the content, analyses, or recommendations that AI and ML technologies create or otherwise assist in producing or our products are, or are perceived to be, deficient, inaccurate, biased, unethical, or otherwise flawed, our brand, competitive position, and business may be adversely affected and we may incur additional costs, including in the form of damages or fines.</w:t>
      </w:r>
    </w:p>
    <w:p>
      <w:pPr>
        <w:spacing w:after="0" w:line="135" w:lineRule="exact"/>
        <w:rPr>
          <w:sz w:val="20"/>
          <w:szCs w:val="20"/>
          <w:color w:val="auto"/>
        </w:rPr>
      </w:pPr>
    </w:p>
    <w:p>
      <w:pPr>
        <w:ind w:right="40" w:firstLine="324"/>
        <w:spacing w:after="0" w:line="270" w:lineRule="auto"/>
        <w:rPr>
          <w:sz w:val="20"/>
          <w:szCs w:val="20"/>
          <w:color w:val="auto"/>
        </w:rPr>
      </w:pPr>
      <w:r>
        <w:rPr>
          <w:rFonts w:ascii="Times New Roman" w:cs="Times New Roman" w:eastAsia="Times New Roman" w:hAnsi="Times New Roman"/>
          <w:sz w:val="17"/>
          <w:szCs w:val="17"/>
          <w:color w:val="auto"/>
        </w:rPr>
        <w:t>AI and ML technologies and the use thereof are subject to evolving laws, regulations, guidance, and industry standards and the use or adoption of third-party AI and ML technologies into our products may result in exposure to legal liability or regulatory risk, including with respect to third-party intellectual property, privacy, publicity, contractual, or other rights. There is a risk that our current or future AI and ML uses may obligate us to comply with the applicable requirements of such laws, regulations, guidance, and industry standards, which may impose additional costs on us, require us to modify our products, increase our risk of liability and fines, or otherwise adversely affect our business, financial condition, and results of operations. If we are deemed to not have sufficient rights to the data we use to train our technologies, we may be subject to litigation by the owners of, or other relevant rights holders with respect to, the content or other materials that comprise such data, including claims of copyright infringement or other intellectual property misappropriation. Further, any content or other output created by us using AI-powered tools may not be subject to copyright protection, which may adversely affect our ability to enforce our intellectual property rights. In addition, the use of AI and ML technologies by other companies has resulted in, and may in the future result in, data breaches and cybersecurity incidents that implicate the personal information of users of AI- and ML-powered tools.</w:t>
      </w:r>
    </w:p>
    <w:p>
      <w:pPr>
        <w:spacing w:after="0" w:line="12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use of AI and ML technologies also presents emerging ethical and social issues and may draw public scrutiny or controversy due to their perceived or actual impact on members or society as a whole. For example, regulatory agencies and consumer advocacy groups have focused on potential discrimination resulting from the use of AI, ML, and “black-box” algorithms in loan decisioning models. Anti-discrimination statutes such as the Equal Credit Opportunity Act (“ECOA”) prohibit creditors from discriminating against loan applicants and consumers on the basis of race, color, religion, national origin, sex, marital status, or age, or because an applicant receives income from a public assistance program or has in good faith exercised any right under the Consumer Credit Protection Act. See the risk factor titled “Our business is subject to a wide range of complex and evolving laws and regulations, which are subject to change and to uncertain interpretation, and failure by us or by our bank partners or third-party service providers to comply with such laws and regulations may adversely affect our business, financial condition, and results of operations.” Any “disparate impact” on protected groups, whether due to our use of AI and ML in our risk management and other models or otherwise, would require us to revise the models in a manner that may limit product eligibility criteria or result in higher risk losses. Issues relating to our use of AI and ML technologies and the evolving legal and regulatory landscape applicable to such technologies may adversely affect our brand, business, financial condition, and results of operations.</w:t>
      </w:r>
    </w:p>
    <w:p>
      <w:pPr>
        <w:spacing w:after="0" w:line="13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liquidity products offered through our platform expose us to financial losses and if a substantial number of our members fail to repay the lines of credit or loans that they receive through our platform, our business, financial condition, and results of operations may be adversely affected.</w:t>
      </w:r>
    </w:p>
    <w:p>
      <w:pPr>
        <w:spacing w:after="0" w:line="10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liquidity products offered through our platform expose us to financial losses which may adversely affect our business, financial condition, and results of operations. For example, SpotMe, which allows eligible members to overdraft up to $200 fee-free, and MyPay, which allows eligible members to access up to $500 of their pay on demand prior to payday, subject us to risk of loss if a member withdraws such funds but does not repay such amounts. Pursuant to the terms of the contractual arrangements we have with our bank partners, Chime bears certain risk of loss from the liquidity products offered through our platform as we are financially liable to our bank partners for any defaults by our members on the unpaid balances in their accounts and we may incur losses on the receivables from members we purchase from our bank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00"/>
          </w:cols>
          <w:pgMar w:left="320" w:top="124" w:right="379"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risk management framework, and in particular the underwriting standards with respect to determining the availability and scale of liquidity products facilitated through our platform, may not offer adequate protection against the risk of nonpayment, especially in periods of economic uncertainty. Traditional lenders rely on credit bureau scores and require large amounts of information to approve a loan. An important part of our business model is our ability to provide access to liquidity products through our platform to members who may not otherwise have access to such liquidity from traditional banks. The risk models used for the liquidity products offered through our platform leverage AI and ML models along with comprehensive member data, including information regarding a member’s historical transaction and engagement activity through Chime, as well as traditional and alternative credit bureau data (but not credit score data) and other external data sources. Our models use this data in an effort to optimize member experiences and approve members for appropriate liquidity products, while managing fraud risk, credit risk, and financial crimes risk. This risk model may be ineffective, contain errors, or fail to consider rapid macroeconomic changes affecting our members’ creditworthiness, any of which may adversely affect our business, financial condition, and results of operations.</w:t>
      </w:r>
    </w:p>
    <w:p>
      <w:pPr>
        <w:spacing w:after="0" w:line="140"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In addition, as we scale the liquidity products offered through our platform, we expect our transaction and risk losses will increase. For example, our transaction and risk losses increased in the second half of 2024 following the full product launch of MyPay in July 2024, which negatively impacted our transaction margin. As MyPay continues to scale and as we expand the liquidity products offered through our platform, we expect that transaction margin will remain impacted or decrease further in the near term. Moreover, if we are unable to accurately forecast the performance of the liquidity products offered through our platform and determine appropriate credit loss allowances or the fair value of our product obligation, our business, financial condition, and results of operations may be adversely affected. When we introduce new or expand existing products, we may be less able to forecast and carry appropriate reserves for those losses. For additional information, see the section titled “Management’s Discussion and Analysis of Financial Condition and Results of Operations—Critical Accounting Policies and Estimates.”</w:t>
      </w:r>
    </w:p>
    <w:p>
      <w:pPr>
        <w:spacing w:after="0" w:line="13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risks associated with transaction disputes in connection with our members’ payment card transactions, which may adversely affect our business, financial condition, and results of operations.</w:t>
      </w:r>
    </w:p>
    <w:p>
      <w:pPr>
        <w:spacing w:after="0" w:line="10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Our Active Members use Chime-branded debit or credit cards in a variety of transactions. We are exposed to risks associated with chargebacks and refunds, including in connection with payment card fraud. If a member successfully disputes a transaction pursuant to which they are entitled to a refund or credit, card network rules often allow our bank partners to “charge back” the disputed transaction to the merchant. However, neither we nor our bank partners fully control the outcome of chargebacks, and our bank partners’ obligation to credit a member’s account in connection with a disputed transaction will not be contingent on the bank partner successfully charging the transaction back to the merchant. In the event a chargeback dispute is decided in favor of a merchant, we may be liable to our bank partners for any disputed amounts pursuant to our contractual arrangements with our bank partners if they are not recoverable from the member. If we are unable to collect chargebacks or refunds from merchants where they are held liable, or if merchants refuse to or are unable to make payment for chargebacks or refunds due to closure, bankruptcy, or other reasons, we may similarly bear the loss for the credits or refunds made to our members in connection with the disputed transactions. Moreover, the number of disputes filed by our members has increased and is expected to increase as more members adopt our platform, and we have seen an increase in chargebacks, which we expect to continue to remain high particularly in an uncertain macroeconomic environment. This increase in transaction disputes and increase in chargebacks, and corresponding increase in operating expenses, has adversely affected and may continue to adversely affect our business, financial condition, and results of operations.</w:t>
      </w:r>
    </w:p>
    <w:p>
      <w:pPr>
        <w:spacing w:after="0" w:line="132"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Fraudulent activity associated with our products may cause the use and acceptance of our products to decrease and adversely affect our business, financial condition, and results of operations.</w:t>
      </w:r>
    </w:p>
    <w:p>
      <w:pPr>
        <w:spacing w:after="0" w:line="105"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Criminals use sophisticated methods to engage in financial fraud, including malicious social engineering schemes, fraudulent payment or disputes fraud/refund schemes, incentive and/or referral fraud, government stimulus and benefits fraud, and identity theft. In order to protect members’ access to funds, we have taken measures to detect and reduce the risk of fraud. However, we must continually improve and adapt our fraud prevention measures to keep up with evolving forms of fraud and in connection with new products. Our fraud prevention measures may not be effective against elevated levels of fraud activity, and we may not be able to deploy fraud detection measures 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20"/>
          </w:cols>
          <w:pgMar w:left="320" w:top="124" w:right="359"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cost-effective or timely manner. As a result, we have suffered and expect to continue to suffer losses from fraudulent activities.</w:t>
      </w:r>
    </w:p>
    <w:p>
      <w:pPr>
        <w:spacing w:after="0" w:line="171"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addition, when our products are used to process illegitimate transactions, we often need to settle those fraudulently used funds to third parties even if we are unable to recover them, and we may suffer financial losses and liability as a result. Illegitimate transactions may also expose us to governmental and regulatory actions, including investigations, censures, disruption of business activities, or penalties, and potentially prevent us from satisfying our contractual obligations to our bank partners.</w:t>
      </w:r>
    </w:p>
    <w:p>
      <w:pPr>
        <w:spacing w:after="0" w:line="12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Further, there are a number of third parties involved in processing transactions, including card networks and, with respect to a portion of payment card transactions, a third-party payment processor, which subjects us and our members to risks related to the vulnerabilities of those third parties. Our brand may be harmed by a single significant incident of fraud or increases in the overall level of fraud involving our products, bank partners, and service providers, or those of others in our industry. Such damage may reduce the use and acceptance of our products or lead to greater regulatory scrutiny that would increase our compliance costs. Fraudulent activity may also result in business interruption, litigation, governmental investigations, financial losses, and the imposition of regulatory penalties and significant monetary fines, which may adversely affect our business, financial condition, and results of operations.</w:t>
      </w:r>
    </w:p>
    <w:p>
      <w:pPr>
        <w:spacing w:after="0" w:line="133"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In addition, to address the challenges we face with respect to fraudulent activity, we have implemented risk control mechanisms that may make it more difficult for members to obtain and use our products, which may adversely affect our business as a result. Such measures may lead to increased regulatory scrutiny, including inquiries and investigations, and the potential for fines and penalties, and may also result in business interruption or changes to our business practices. We may also be subject to lawsuits, consumer class actions, and regulatory or other proceedings, which may result in judgments, penalties, fees, and expenses. All of these outcomes may adversely affect our business, financial condition, and results of operations.</w:t>
      </w:r>
    </w:p>
    <w:p>
      <w:pPr>
        <w:spacing w:after="0" w:line="12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financial condition, and results of operations may be adversely affected if our risk management framework does not effectively identify, assess, and mitigate risk.</w:t>
      </w:r>
    </w:p>
    <w:p>
      <w:pPr>
        <w:spacing w:after="0" w:line="10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offer access to financial services to a large number of members through a suite of spending, liquidity, and other products. We are required by our bank partners and regulators to vet and monitor these members and the transactions in their Chime accounts as part of our risk management efforts, but our risk management processes may not be continuously effective in detecting and mitigating risks such as fraud and illegitimate transactions. Further, the highly automated nature of, and liquidity offered by, the products to which we provide access make us a target for illegal or improper uses, including scams and fraud directed at our members, government benefits fraud, fraudulent or illegal sales of goods or services, money laundering, and terrorist financing, all of which may be difficult for our risk models to accurately identify, assess, and mitigate.</w:t>
      </w:r>
    </w:p>
    <w:p>
      <w:pPr>
        <w:spacing w:after="0" w:line="133"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Our risk management policies, procedures, models, and processes, including with respect to underwriting standards, may not be sufficient to identify all of the risks to which we are exposed, may not enable us to prevent or mitigate the risks we have identified, including by adequately identifying, freezing, or closing fraudulent member accounts, and may not identify additional risks to which we may become subject in the future. Our current business, the changing and uncertain macroeconomic, geopolitical, and regulatory environment, and our anticipated growth, including expansion into new product areas, will continue to place significant demands on our risk management efforts. We will need to continue developing, improving, and making investments in our risk management infrastructure, models, and processes which will increase our costs of operations. If our risk management framework does not successfully identify, assess, and mitigate our risks, our business, financial condition, and results of operations may be adversely affected.</w:t>
      </w:r>
    </w:p>
    <w:p>
      <w:pPr>
        <w:spacing w:after="0" w:line="131"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Currently, a portion of member transactions are processed through Galileo, a third-party payment processor, and a portion of member transactions are processed through ChimeCore. Any problems or delays with the transition to ChimeCore may adversely affect our business, financial condition, and results of operations.</w:t>
      </w:r>
    </w:p>
    <w:p>
      <w:pPr>
        <w:spacing w:after="0" w:line="121"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We have made and will continue to make substantial investments in ChimeCore, our proprietary payment processor and ledger, which launched in 2024. ChimeCore currently processes a portion of the payments, transfers,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24" w:right="339"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deposits, withdrawals, and other financial transactions that are conducted through our platform. ChimeCore also serves as the system of record for a portion of member accounts, keeping track of transaction, balance, and other data. We have begun the migration of accounts and existing products to ChimeCore, but we cannot provide assurances regarding the timing or success of a full transition to ChimeCore. As of the end of 2024, we had transitioned all credit card transactions to being processed by ChimeCore, while all debit card transactions were still processed by Galileo. We have incurred costs in connection with the transition to ChimeCore and expect to continue to do so, and any future problems with or delays in the timing of such transition may cause us to incur additional costs or otherwise adversely affect our business, financial condition, and results of operations. In February 2025, we entered into an amendment with Galileo that modifies the terms of our existing agreement to remove certain minimum monthly payments and provides for the payment of an $18 million termination fee by us in March 2026. While our agreement with Galileo only permits Galileo to terminate the agreement for cause prior to June 30, 2026, and provides that Galileo will provide assistance migrating services to Chime or a new processor if requested by us, if our agreement with Galileo terminated earlier than we expect, we would need to transition the portion of member transactions currently processed through Galileo to ChimeCore or an alternate processor, which may result in additional costs, require additional management attention, and otherwise adversely affect our business, financial condition and results of operations. For additional risks related to our dependence on third-party service providers, see the risk factor titled “In addition to our bank partners, we rely on third parties and their systems for a variety of services, and we face risks associated with any failure by these third parties to adequately perform these services, which may adversely affect our business, financial condition, and results of operations.”</w:t>
      </w:r>
    </w:p>
    <w:p>
      <w:pPr>
        <w:spacing w:after="0" w:line="139"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in part on the experience and expertise of our founders, senior management team, and key technical employees, and the loss of any such key employee may adversely affect our business, financial condition, and results of operations.</w:t>
      </w:r>
    </w:p>
    <w:p>
      <w:pPr>
        <w:spacing w:after="0" w:line="105"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Our success depends in part on the continued service of our Chief Executive Officer, Chairman, and co-founder Chris Britt, co-founder Ryan King, senior management team, and other key employees. From time to time, there may be changes in our executive management team resulting from the hiring or departure of executives, potentially disrupting our business. Any employment agreements we have with our executive officers or other key personnel do not require them to continue to work for us for any specified period and, therefore, they may terminate their employment with us at any time. In addition, we do not maintain any key person life insurance policies. The loss of either of our co-founders or any other member of our senior management team, or key personnel may delay or prevent the achievement of our business objectives, and because of the nature of our business, the loss of any significant number of our existing engineering and project management personnel may also adversely affect our business, financial condition, and results of operations.</w:t>
      </w:r>
    </w:p>
    <w:p>
      <w:pPr>
        <w:spacing w:after="0" w:line="13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retain or motivate key personnel, hire qualified personnel, or maintain our corporate culture, our business, financial condition, and results of operations may be adversely affected.</w:t>
      </w:r>
    </w:p>
    <w:p>
      <w:pPr>
        <w:spacing w:after="0" w:line="105"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Our performance and ability to grow our business largely depends on the talents and efforts of highly skilled individuals and our future success depends on our continuing ability to identify, hire, develop, motivate, and retain highly skilled personnel for all areas of our organization. Competition in our industry relating to hiring and retaining employees with appropriate qualifications and at an appropriate cost is intense, especially in the San Francisco Bay Area, where our headquarters is located and where we have a substantial presence and need for highly skilled personnel, such as software engineers, computer scientists, and other technical personnel. Any changes to U.S. immigration policies that restrain the flow of technical and professional talent may inhibit our ability to recruit and retain highly qualified employees. Many of the companies we compete with for experienced personnel have greater resources than we have. If we hire employees from competitors or other companies, their former employers may attempt to assert that these employees or we have breached legal obligations, resulting in a diversion of time and resources, and potential liability for us or our employees.</w:t>
      </w:r>
    </w:p>
    <w:p>
      <w:pPr>
        <w:spacing w:after="0" w:line="138"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We may need to invest significant amounts of cash and equity to attract new and retain employees, and we may never realize returns on these investments. Many of our current employees hold RSUs that vest upon the satisfaction of both a service-based vesting condition and a liquidity-based vesting condition. The liquidity-based vesting condition of such RSUs will be satisfied upon the effectiveness of the registration statement of which this prospectus forms a part and as a result, such employees may vest with respect to a significant portion of these RSUs at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20"/>
          </w:cols>
          <w:pgMar w:left="320" w:top="124" w:right="359" w:bottom="1440" w:gutter="0" w:footer="0" w:header="0"/>
        </w:sectPr>
      </w:pPr>
    </w:p>
    <w:bookmarkStart w:id="50" w:name="page51"/>
    <w:bookmarkEnd w:id="50"/>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time. It may be difficult for us to continue to retain and motivate these employees and the value of their holdings could affect their decisions about whether they continue to work for us. In addition, our compensation arrangements, such as our equity award programs, may not always be successful in attracting new employees and retaining and motivating our existing employees. If the actual or perceived value of our equity compensation declines, it may adversely affect our ability to hire or retain highly skilled employees, or we may need to incur additional stock-based compensation expense to do so. Further, our recent hires and planned hires may not become productive as quickly as we expect, and we may not be able to hire or retain qualified personnel in a timely manner. Our continued ability to compete effectively depends on our ability to attract new employees and to retain and motivate our existing employees. If we are unable to hire, train, and retain a sufficient number of qualified and successful personnel, our business, financial condition, and results of operations may be adversely affected.</w:t>
      </w:r>
    </w:p>
    <w:p>
      <w:pPr>
        <w:spacing w:after="0" w:line="138"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In addition, we believe in the importance of our corporate culture, which fosters high performance by prioritizing our core values. As our organization grows and expands, and as employees’ workplace expectations evolve, we may find it increasingly difficult to maintain the beneficial aspects of our corporate culture. Our inability to maintain our corporate culture may negatively affect our ability to attract and retain employees, harm our brand, or adversely affect our future growth.</w:t>
      </w:r>
    </w:p>
    <w:p>
      <w:pPr>
        <w:spacing w:after="0" w:line="12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at our current scale, which makes it difficult to evaluate our future prospects and may increase the risk that we will not be successful.</w:t>
      </w:r>
    </w:p>
    <w:p>
      <w:pPr>
        <w:spacing w:after="0" w:line="105"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We were founded in 2012 and have since continued to add new Active Members and introduce new products to our platform. Our business has grown rapidly both in terms of Active Members served, revenue, and complexity, in particular as we have scaled the liquidity products offered through our platform. Accordingly, we have a relatively limited history operating at our current scale and this makes it difficult to effectively evaluate our future prospects and the risks and challenges we may encounter, including our ability to forecast our revenue and other key metrics and to budget for and manage our expenses. You should consider our future prospects in light of this limited operating history at our current scale and the other challenges and uncertainties that we face, including that it may not be possible to discern fully the trends that we are subject to and that elements of our business strategy are new and subject to ongoing development and regulation. In addition, most of our operating history has coincided with an extended period of general macroeconomic growth in the United States, as well as growth in the financial services and technology industries in which we operate. While our Active Members use their Chime-branded debit and credit cards for everyday expenses such as food and groceries, gas, and utilities, we may not be able to respond effectively to the impact of a prolonged economic downturn or slow industry growth on our business or on our members. Because we have limited historical financial data when operating at our current scale and operate in an evolving market, any predictions about our future revenue, expenses, and other key metrics may not be as accurate as they would be if we had a longer operating history at our current scale or operated in a more predictable market. We have encountered in the past, and will encounter in the future, risks and uncertainties frequently experienced by growing companies with limited operating histories in rapidly changing industries, including those described in this “Risk Factors” section. If our assumptions regarding these risks and uncertainties, which we use to plan and operate our business, are incorrect or change, or if we do not address these risks successfully, our results of operations may differ materially from expectations and our business, financial condition, and results of operations may be adversely affected.</w:t>
      </w:r>
    </w:p>
    <w:p>
      <w:pPr>
        <w:spacing w:after="0" w:line="13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recent rapid growth may not be indicative of future growth, and we may not be able to manage our growth effectively, which may adversely affect our business, financial condition, and results of operations.</w:t>
      </w:r>
    </w:p>
    <w:p>
      <w:pPr>
        <w:spacing w:after="0" w:line="10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Our business has grown rapidly, and this growth has placed, and may continue to place, significant demands on our management and our operational, compliance, and financial infrastructure. Our ability to manage our growth effectively and to integrate new employees, technologies, products, and acquisitions into our existing business will require us to continue to expand our operational, compliance, and financial infrastructure and to continue to retain, attract, train, motivate, and manage employees. Continued growth may strain our ability to develop and improve our operational, compliance, financial, and management controls, enhance our reporting systems and procedures, recruit, train, and retain highly skilled personnel, maintain member satisfaction, and maintain our corporate culture. If we do not effectively manage the growth of our business and operations, the quality of our products may suffer or we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20"/>
          </w:cols>
          <w:pgMar w:left="320" w:top="124" w:right="359" w:bottom="1440" w:gutter="0" w:footer="0" w:header="0"/>
        </w:sectPr>
      </w:pPr>
    </w:p>
    <w:bookmarkStart w:id="51" w:name="page52"/>
    <w:bookmarkEnd w:id="51"/>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be subject to regulatory scrutiny or enforcement, which may harm our brand and our ability to attract and retain Active Members. These factors may adversely affect our business, financial condition, and 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a number of risks related to our strategic transactions which may adversely affect our business, financial condition, and results of operations.</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part of our business strategy, we will continue to consider a wide array of potential strategic transactions, including acquisitions of businesses, new technologies, services, and other assets and strategic investments that complement our business. We have previously acquired and continue to evaluate targets that operate in relatively nascent markets, such as our acquisition of Salt Labs in June 2024, and there is no assurance that such acquired businesses will be successfully integrated into our business or generate substantial revenue. We may be unable to identify or complete prospective strategic transactions for many reasons, including competition from other potential acquirers, the effects of consolidation in our industries, and potentially high valuations of acquisition candidates. Even if we do identify strategic transactions or enter into agreements with respect to such transactions, applicable antitrust laws and other regulations may limit our ability to acquire targets or force us to divest all or a portion of our business or an acquired business. If we are unable to identify suitable targets or complete acquisitions, our growth prospects may suffer, and we may not be able to realize sufficient scale and technological advantages to compete effectively in all markets.</w:t>
      </w:r>
    </w:p>
    <w:p>
      <w:pPr>
        <w:spacing w:after="0" w:line="134"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Acquisitions involve numerous risks, any of which may harm our business and negatively affect our financial condition and results of operations, including:</w:t>
      </w:r>
    </w:p>
    <w:p>
      <w:pPr>
        <w:spacing w:after="0" w:line="108" w:lineRule="exact"/>
        <w:rPr>
          <w:sz w:val="20"/>
          <w:szCs w:val="20"/>
          <w:color w:val="auto"/>
        </w:rPr>
      </w:pPr>
    </w:p>
    <w:p>
      <w:pPr>
        <w:ind w:left="660" w:right="8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intense competition for suitable acquisition targets, which may increase prices and adversely affect our ability to consummate deals on favorable or acceptable terms;</w:t>
      </w:r>
    </w:p>
    <w:p>
      <w:pPr>
        <w:spacing w:after="0" w:line="107"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expenses, delays, or conditions imposed upon the acquisition or transaction, including due to required regulatory approvals or consents, or fees that may be triggered upon a failure to consummate an acquisition or transaction for certain reasons;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and obtain required regulatory approvals, licenses, and permits;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transaction-related lawsuits or claims;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integrating the technologies, operations, existing contracts, and personnel of an acquired company;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retaining key employees or business partners of an acquired company;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financial and management resources from existing operations or alternative acquisition opportunities;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realize the anticipated benefits or synergies of a transaction;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debt or dilution related to equity issuances in connection with a transaction;</w:t>
      </w:r>
    </w:p>
    <w:p>
      <w:pPr>
        <w:spacing w:after="0" w:line="171"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identify the problems, liabilities, or other shortcomings or challenges of an acquired company or technology, including issues related to intellectual property, regulatory compliance practices, litigation, revenue recognition or other accounting practices, security vulnerabilities, or employee issues;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regulatory bodies may enact new laws or promulgate new regulations that are adverse to an acquired company or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theft of our trade secrets or confidential information that we share with potential acquisition candidates;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an acquired company or investment in new offerings cannibalizes a portion of our existing business;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market reaction to an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40"/>
          </w:cols>
          <w:pgMar w:left="320" w:top="124" w:right="439"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If we fail to address the foregoing risks or other problems encountered in connection with past or future acquisitions of businesses, new technologies, services, and other assets, strategic investments, and other strategic transactions, or if we fail to successfully integrate such acquisitions or investments, our business, financial condition, and results of operations may be adversely affected.</w:t>
      </w:r>
    </w:p>
    <w:p>
      <w:pPr>
        <w:spacing w:after="0" w:line="17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increased costs and demands upon management as a result of complying with the laws and regulations affecting public companies, which may adversely affect our business, financial condition, and results of operations.</w:t>
      </w:r>
    </w:p>
    <w:p>
      <w:pPr>
        <w:spacing w:after="0" w:line="10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As a public company, we will incur greater legal, accounting, and other expenses than we incurred as a private company. For example, we will be subject to the reporting requirements of the Securities Exchange Act of 1934, as amended (“Exchange Act”), the Sarbanes-Oxley Act of 2002 (“Sarbanes-Oxley Act”), the Dodd-Frank Act, the rules and regulations of the SEC, and the Nasdaq listing standards. The Exchange Act requires, among other things, that we file annual, quarterly, and current reports with respect to our business and results of operations. Preparing for compliance with these requirements has increased, and we anticipate that ongoing compliance with these requirements will continue to increase, our legal, accounting, and financial compliance costs, and increase demand on our systems, making some activities more time-consuming and costly. We expect these rules and regulations to make it more expensive for us to obtain director and officer liability insurance, and we may be required to accept reduced policy limits and coverage, or incur substantially higher costs to maintain the same or similar coverage. As a result, it may be more difficult for us to attract and retain qualified individuals to serve on our board of directors or as our executive officers.</w:t>
      </w:r>
    </w:p>
    <w:p>
      <w:pPr>
        <w:spacing w:after="0" w:line="134" w:lineRule="exact"/>
        <w:rPr>
          <w:sz w:val="20"/>
          <w:szCs w:val="20"/>
          <w:color w:val="auto"/>
        </w:rPr>
      </w:pPr>
    </w:p>
    <w:p>
      <w:pPr>
        <w:ind w:right="100" w:firstLine="324"/>
        <w:spacing w:after="0" w:line="281" w:lineRule="auto"/>
        <w:rPr>
          <w:sz w:val="20"/>
          <w:szCs w:val="20"/>
          <w:color w:val="auto"/>
        </w:rPr>
      </w:pPr>
      <w:r>
        <w:rPr>
          <w:rFonts w:ascii="Times New Roman" w:cs="Times New Roman" w:eastAsia="Times New Roman" w:hAnsi="Times New Roman"/>
          <w:sz w:val="17"/>
          <w:szCs w:val="17"/>
          <w:color w:val="auto"/>
        </w:rPr>
        <w:t>As a public company, we expect to incur significant expenses and devote substantial management effort toward ensuring compliance with the auditor attestation requirements of Section 404 of the Sarbanes-Oxley Act. In that regard, we will need to hire additional accounting and financial staff with appropriate public company experience and technical accounting knowledge. In addition, as a public company, we may be subject to shareholder activism, which can lead to substantial costs, distract management, and impact the manner in which we operate our business in ways we cannot currently anticipate.</w:t>
      </w:r>
    </w:p>
    <w:p>
      <w:pPr>
        <w:spacing w:after="0" w:line="110"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As a result of disclosure of information in our public filings with the SEC as required of a public company, our business and financial condition will become more visible, which we believe may result in threatened or actual litigation, including by competitors and other third parties. If such claims are successful, our business, financial condition, and results of operations may be adversely affected, and even if the claims do not result in litigation or are resolved in our favor, these claims, and the time and resources necessary to resolve them, may divert the resources of our management and our board of directors, and adversely affect our business, financial condition, and results of operations.</w:t>
      </w:r>
    </w:p>
    <w:p>
      <w:pPr>
        <w:spacing w:after="0" w:line="12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Further, many members of our management team have limited experience managing a publicly traded company, interacting with public company investors, and complying with the increasingly complex laws and regulations pertaining to public companies. Our management team may not successfully or efficiently manage our transition to being a public company subject to significant regulatory oversight and reporting obligations under the federal securities laws and the continuous scrutiny of securities analysts and investors. These new obligations and constituents will require significant attention from our management and may divert their attention away from the day-to-day management of our business, which may adversely affect our business, financial condition, and results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and Legal Matters</w:t>
      </w:r>
    </w:p>
    <w:p>
      <w:pPr>
        <w:spacing w:after="0" w:line="171"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a wide range of complex and evolving laws and regulations, which are subject to change and to uncertain interpretation, and failure by us or by our bank partners or third-party service providers to comply with such laws and regulations may adversely affect our business, financial condition, and results of operations.</w:t>
      </w:r>
    </w:p>
    <w:p>
      <w:pPr>
        <w:spacing w:after="0" w:line="121"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Our business is subject to a wide variety of local, state, and federal laws, regulations, licensing regimes, and industry standards, either directly or indirectly through our relationships with our bank partners and third-party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124"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service providers. These laws, regulations, licensing regimes, and industry standards govern numerous areas that are important to our business, and include, or may in the future include, those relating to banking, consumer protection, interchange fees, lending, debt collection, money transmission, payments services (such as payment processing and settlement services), anti-money laundering, international sanctions, privacy, data protection, and data security. For more information about the laws and regulations that we are subject to, see the section titled “Business—Regulatory Environment.”</w:t>
      </w:r>
    </w:p>
    <w:p>
      <w:pPr>
        <w:spacing w:after="0" w:line="126"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These laws and regulations, all of which are subject to change and many of which are subject to uncertain interpretation and application, are enforced by multiple authorities and governing bodies in the United States, including federal agencies, such as the Consumer Financial Protection Bureau (“CFPB”), Office of the Comptroller of the Currency (“OCC”), and FDIC, self-regulatory organizations, and numerous state and local agencies. In addition, new laws or regulations may be adopted that further regulate our business and/or our bank partners. We may not always be able to accurately predict the scope or applicability of regulations to our business, particularly as we launch new products or expand into new areas of operations.</w:t>
      </w:r>
    </w:p>
    <w:p>
      <w:pPr>
        <w:spacing w:after="0" w:line="1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addition to laws and regulations that apply directly to us, we are contractually obligated to comply with (or facilitate our bank partners’ compliance with) laws, regulations, guidance, and industry standards through our relationships with our bank partners. Under our contracts with our bank partners, we make representations and warranties and covenants concerning our compliance with specific policies of the bank partner, and our compliance with certain procedures and guidelines related to laws and regulations applicable to our bank partners, as well as the services provided by us. If those representations and warranties were not accurate when made or if we fail to perform a covenant, we may be liable for any resulting damages, and our brand and ability to continue to attract new bank partners may be adversely affected. Any such inaccuracy or failure to perform may be material and may result in a bank partner’s termination of our agreement with them. See the risk factor titled “Our relationships with our bank partners are crucial to our business, and we may be unable to maintain our relationship with either of our bank partners, which may adversely affect our business, financial condition, and results of operations.” Further, the cost of compliance with the various laws and regulations we or our bank partners are subject to is significant, particularly when the application, interpretation, and enforcement of these laws and regulations are uncertain in the rapidly evolving industry in which we operate. The uncertainty of these existing and proposed laws and regulations has impacted our development of new products, required a significant amount of management’s attention and resources, and increased legal and other advisory service fees, and we will continue to navigate an uncertain legal and regulatory environment.</w:t>
      </w:r>
    </w:p>
    <w:p>
      <w:pPr>
        <w:spacing w:after="0" w:line="133"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Failure to comply with applicable laws or regulations by us, our bank partners, or other third parties may subject us to a wide array of consequences, including investigations, sanctions, enforcement actions, disgorgement of profits, fines, damages, civil and criminal penalties, or injunctions. See the risk factor titled “The CFPB has significant authority to regulate consumer financial services, and there is uncertainty as to how the agency’s actions or the actions of any other agency may impact our business.” In addition, responding to any action will likely result in a significant diversion of management’s attention and resources and an increase in legal and other advisory services fees. Any adverse outcome or settlement of enforcement actions, investigations, sanctions, and other potential adverse consequences, or any actual or threatened civil or criminal litigation may adversely affect our business, financial condition, and results of operations.</w:t>
      </w:r>
    </w:p>
    <w:p>
      <w:pPr>
        <w:spacing w:after="0" w:line="131"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framework for our business is evolving and uncertain as federal and state governments consider new laws and regulations to regulate financial services companies and their partners that, independently or together, provide digital banking services. Additional laws and regulations, or new interpretations thereof, may adversely affect our business, financial condition, and results of operations.</w:t>
      </w:r>
    </w:p>
    <w:p>
      <w:pPr>
        <w:spacing w:after="0" w:line="121"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The regulatory framework for financial services companies that provide services like ours, including partnering with a bank to offer digital banking, is evolving and uncertain. It is possible that new federal or state laws and regulations will be adopted or that existing laws and regulations may be interpreted in new ways that affect the operation of our business and the way in which we interact with our members or bank partners.</w:t>
      </w:r>
    </w:p>
    <w:p>
      <w:pPr>
        <w:spacing w:after="0" w:line="122"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Various lawmakers, regulators, and other public officials have made statements about financial technology companies, banking services, consumer financial services, paycheck advances, loans, and payment processing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124" w:right="339" w:bottom="1440" w:gutter="0" w:footer="0" w:header="0"/>
        </w:sectPr>
      </w:pPr>
    </w:p>
    <w:bookmarkStart w:id="54" w:name="page55"/>
    <w:bookmarkEnd w:id="54"/>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signaled a focus on new or additional laws or regulations and related interpretations thereof, that, if acted upon, may adversely affect our business. Some of the issues raised by various regulators include interchange fee regulation, program monetization (including interest and fee structures, particularly “junk fees,” and voluntary tipping by consumers), bank partnership supervision and regulation, earned wage access, and the risks posed to consumers by digital-only financial services companies, including with respect to access to accounts, account closures, accuracy of account records, service interruptions, privacy concerns, fraud, and data breaches. Regulators have noted that there may be confusion among consumers, regulators, and market participants regarding strategic partnerships between banks and financial technology companies, including regarding the roles and responsibilities of each party. To the extent that regulatory authorities or legislative bodies adopt additional regulations or legislation relating to our business, we may need to make changes to our business and operations. If we fail to comply with laws and regulations applicable to our business in a timely and appropriate manner, we may be subject to litigation or regulatory proceedings, we may have to pay fines and penalties, and our relationship with our members and brand may be harmed, any of which may adversely affect our business, financial condition, and results of operations.</w:t>
      </w:r>
    </w:p>
    <w:p>
      <w:pPr>
        <w:spacing w:after="0" w:line="140"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Additionally, new laws or regulations related to interchange fees may be enacted. For example, Illinois recently enacted the Interchange Fee Prohibition Act (“IFPA”), which, among other things, prohibits card issuers, card networks, and other entities from receiving interchange fees from or charging a merchant on the portion of a card transaction that is attributable to taxes or gratuities. The IFPA is being challenged in litigation, but if it or legislation regulating interchange fees in other jurisdictions goes into effect, then revenue from interchange-based fees that we derive from transactions subject to such legislation may be harmed. Further, complying with a patchwork of state laws governing interchange fees may create compliance burdens for our bank partners and us, which may adversely affect our business, financial condition, and results of operations.</w:t>
      </w:r>
    </w:p>
    <w:p>
      <w:pPr>
        <w:spacing w:after="0" w:line="12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the banking ecosystem, including through our bank partnerships, FDIC regulations and policies, and other regulatory obligations, which may adversely affect our business, financial condition, and results of operations.</w:t>
      </w:r>
    </w:p>
    <w:p>
      <w:pPr>
        <w:spacing w:after="0" w:line="10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Volatility in the banking and financial services sectors, including bank failures, may impact our bank partnerships and negatively impact our business. For example, we offer access to FDIC-insured deposit products through our partnerships with banks that are members of the FDIC. Through our platform, our members access checking accounts, in which funds are held by each of our bank partners in an omnibus account (a deposit account established for the benefit of multiple beneficial owners) on their books for the benefit of our members, as well as savings accounts that are part of a deposit sweep program (the “community deposit sweep program”), in which funds are swept into interest-bearing deposit accounts at other FDIC-insured banks that participate in the sweep program. To ensure these deposits are insured by the FDIC on a pass-through basis, we, our bank partners, and community deposit sweep program banks must meet certain conditions established by the FDIC, such as having policies and procedures to appropriately maintain records of members’ ownership of funds and to ensure that deposit account records and titling of the accounts reflect that funds are held for the benefit of our members. Deposit insurance coverage on a “pass-through” basis means that deposits made by our members at our bank partners through our platform and at community deposit sweep program banks through the community deposit sweep program are insured as if each member directly opened their own separate deposit accounts at the bank partner or community deposit sweep program bank. Pass-through insurance allows each individual member’s deposits made through our platform, together with any other accounts that the member may have at the bank partner or community deposit sweep program bank of the same ownership category, to be insured up to the applicable maximum deposit insurance amount. We believe these offerings through our platform currently comply and will continue to comply with all applicable requirements for each eligible member’s deposits made through our platform to be covered by FDIC insurance on a pass-through basis. However, the FDIC does not make determinations in advance of a bank’s failure as to whether the conditions have been satisfied for pass-through deposit insurance coverage to apply. Therefore, if the FDIC were to disagree with our determination, the FDIC might not recognize members’ claims as covered by deposit insurance in the event a bank partner or sweep program bank fails and enters receivership proceedings under the Federal Deposit Insurance Act (“FDIA”). Furthermore, if we or a non-bank third party that we work with (such as card networks and payment processors) were to fail or file for bankruptcy, FDIC deposit insurance would not cover any losses associated with that failure and receivership proceedings would not be entered into under the FDIA, because we are not a bank, nor are the non-bank third parties with which we work. If a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20"/>
          </w:cols>
          <w:pgMar w:left="320" w:top="124" w:right="35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partner or community deposit sweep program bank were to actually fail and enter receivership proceedings under the FDIA (regardless of whether we or any of the non-bank third parties with which we work also fail or file for bankruptcy) and if members’ deposits were not covered by FDIC insurance, including because pass-through insurance coverage was not provided by the FDIC, members may seek to hold us liable for the full amount of their uninsured deposit losses, and any such claims or litigation could be costly to address. Additionally, if we, a non-bank third party we work with, a bank partner or community deposit sweep program bank were to actually fail (regardless of whether the deposits are covered by FDIC insurance), or if there were concerns of any of the foregoing, our members may seek to withdraw their funds, or may not be able to withdraw all their funds in a timely manner, which may adversely affect our business, financial condition, and results of operations, including by leading to claims or litigation that may be costly to address.</w:t>
      </w:r>
    </w:p>
    <w:p>
      <w:pPr>
        <w:spacing w:after="0" w:line="138"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Additionally, through contractual obligations to our bank partners in connection with these programs, we are subject to risk management standards for third-party relationships in accordance with federal bank regulatory guidance and examinations by the federal banking regulators. Should we or our bank partners be unable to satisfy these standards, we may have to discontinue certain products or third-party relationships, and our business, financial condition, and results of operations may be adversely affected.</w:t>
      </w:r>
    </w:p>
    <w:p>
      <w:pPr>
        <w:spacing w:after="0" w:line="12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CFPB has significant authority to regulate consumer financial services, and there is uncertainty as to how the agency’s actions or the actions of any other agency may impact our business.</w:t>
      </w:r>
    </w:p>
    <w:p>
      <w:pPr>
        <w:spacing w:after="0" w:line="105"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The CFPB has significant authority to regulate consumer financial products and services in the United States, including consumer credit, deposits, payments, and similar products and services. In addition, the CFPB recently issued a final rule, to which Chime is subject, establishing supervisory authority over nonbank covered persons that are larger participants in a market for “general-use digital consumer payment applications.” A nonbank qualifies as a larger participant under this rule if it facilitates an annual covered consumer payment transaction volume of at least 50 million transactions, and the transaction volume of our members through our platform exceeds this threshold. Nonbanks subject to the CFPB’s supervisory authority under this rule also may be subject to other CFPB supervisory authorities. We are subject to supervision by the CFPB, and comprehensive and rigorous examinations to assess our compliance with consumer financial protection laws are possible should the CFPB exercise its authorities; any examinations may result in matters requiring management’s attention, as well as potentially a referral for investigation and enforcement action, which may result in civil monetary penalties and limits on our activities or functions, among other relief. We have been, and may continue to be, subject to enforcement action from the CFPB, which may be public and may harm our brand, cause Active Members to stop using our platform, impair our ability to grow our Active Member base, subject us to financial penalties and liabilities, and otherwise adversely affect our business, financial condition, and results of operations. For example, in May 2024, we entered into a Consent Order with the CFPB (the “CFPB Consent Order”) agreeing, among other things, to pay a $3.25 million penalty to the CFPB and a total of $1.3 million in redress to a subset of former members who, after closure of their accounts, were sent an allegedly delayed check for the account balance, and to implement compliance enhancements to prevent recurrences of such delays in the future. The CFPB Consent Order imposes certain compliance, regulatory reporting, and enhanced recordkeeping requirements on us for a period of five years, and any noncompliance with the order may result in further exposure to CFPB action.</w:t>
      </w:r>
    </w:p>
    <w:p>
      <w:pPr>
        <w:spacing w:after="0" w:line="141"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CFPB is also authorized to prevent “unfair, deceptive, or abusive acts or practices” through its rulemaking, supervisory, and enforcement authority. To assist in its enforcement, the CFPB maintains an online complaint system that allows consumers to log complaints with respect to various consumer finance products, including the types of products we offer to members on our platform. The CFPB may request reports concerning our organization, business conduct, markets, and activities.</w:t>
      </w:r>
    </w:p>
    <w:p>
      <w:pPr>
        <w:spacing w:after="0" w:line="126"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If the CFPB changes or modifies federal consumer financial protection regulations under its rulemaking authority, modifies, through supervision or enforcement, past regulatory guidance, or interprets existing regulations in a different or stricter manner than prior interpretations by us, the industry, or other regulators, our compliance costs and litigation exposure may increase materially. For example, regulatory guidance is currently uncertain and still evolving and there are not well-established regulatory norms for establishing compliance with respect to the application of the ECOA and Regulation B to credit risk models that rely upon alternative variables and ML. Evolving views regarding the use of AI and ML in providing financial services functions, such as assessing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124" w:right="339"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risk or providing member support, may result in the CFPB taking actions that result in requirements to alter impacted financial products, making them less attractive and restricting our ability to offer them, or to cease offering access to such financial products entirely.</w:t>
      </w:r>
    </w:p>
    <w:p>
      <w:pPr>
        <w:spacing w:after="0" w:line="108"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Although we have committed resources to enhancing our compliance programs, future enforcement actions by the CFPB against us or our bank partners may discourage the use of our products or platform, which may harm our brand, result in the loss of bank partners, cause Active Members to stop using our platform, impair our ability to grow our Active Member base, and otherwise adversely affect our business, results of operations, and financial condition.</w:t>
      </w:r>
    </w:p>
    <w:p>
      <w:pPr>
        <w:spacing w:after="0" w:line="12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been subject to litigation and regulatory investigations, actions, and settlements, and we expect to continue to be subject to such proceedings in the future, which may cause us to incur substantial costs or require us to change our business practices in a manner adverse to our business.</w:t>
      </w:r>
    </w:p>
    <w:p>
      <w:pPr>
        <w:spacing w:after="0" w:line="10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From time to time we have been, and we expect to continue to be, subject to legal and regulatory proceedings arising out of our business practices and operations, including individual and class action lawsuits, lawsuits alleging regulatory violations such as Unfair or Deceptive Acts or Practices (“UDAP”) or Unfair, Deceptive, or Abusive Acts or Practices (“UDAAP”) violations, arbitration claims, government subpoenas, and regulatory and governmental inquiries, examinations, investigations, requests, and enforcement proceedings, and other claims and proceedings, including those involving consumer protection, labor and employment, intellectual property, privacy, data protection, data security, tax, commercial disputes, record retention, and other matters. The number and significance of these claims, lawsuits, exams, investigations, inquiries, and requests have increased as our business has expanded in scope and geographic reach, and our products have increased in complexity. For example, in March 2021, we entered into settlement agreements with the California Department of Financial Protection and Innovation (“DFPI”) and the Illinois Department of Financial and Professional Regulation – Division of Banking, agreeing to make changes to our marketing and other practices that allegedly implied we were a bank. The Illinois settlement also required us to pay a $200,000 civil money penalty to the state. In a separate matter, in February 2024, we entered into a Consent Order with the DFPI (the “DFPI Consent Order”) agreeing to continue or to undertake actions to enhance our customer service procedures and processes. The DFPI Consent Order required us to pay a $2.5 million penalty to the DFPI. Further, in May 2024, we entered into the CFPB Consent Order as discussed above. Also, we have been and continue to be subject to investigations from other state legal or regulatory authorities which have resulted in and may continue to result in additional settlements or public consent orders. Each such settlement also imposed ongoing compliance obligations related to the underlying subject matter of the regulatory allegation, and any future settlement of compliance allegations would be anticipated to do the same.</w:t>
      </w:r>
    </w:p>
    <w:p>
      <w:pPr>
        <w:spacing w:after="0" w:line="142" w:lineRule="exact"/>
        <w:rPr>
          <w:sz w:val="20"/>
          <w:szCs w:val="20"/>
          <w:color w:val="auto"/>
        </w:rPr>
      </w:pPr>
    </w:p>
    <w:p>
      <w:pPr>
        <w:ind w:right="120" w:firstLine="324"/>
        <w:spacing w:after="0" w:line="268" w:lineRule="auto"/>
        <w:rPr>
          <w:sz w:val="20"/>
          <w:szCs w:val="20"/>
          <w:color w:val="auto"/>
        </w:rPr>
      </w:pPr>
      <w:r>
        <w:rPr>
          <w:rFonts w:ascii="Times New Roman" w:cs="Times New Roman" w:eastAsia="Times New Roman" w:hAnsi="Times New Roman"/>
          <w:sz w:val="17"/>
          <w:szCs w:val="17"/>
          <w:color w:val="auto"/>
        </w:rPr>
        <w:t>The scope, timing, outcome, consequences, and impact of claims, lawsuits, proceedings, investigations, inquiries, and requests that we are subject to cannot be predicted with certainty. Determining reserves for our pending litigation is a complex, fact-intensive process that requires significant judgment. Furthermore, resolution or settlement of such claims, lawsuits, proceedings, investigations, inquiries, and requests may result in substantial fines and penalties, which may adversely affect our business, financial condition, and results of operations. These claims, lawsuits, proceedings, exams, investigations, inquiries, and requests may also: (i) result in reputational harm, criminal sanctions, consent decrees, orders preventing us from offering specific products, functionalities, or causing us to change our marketing practices, making it more difficult or more expensive to grow our Active Member base, (ii) require us to modify or suspend our business practices, (iii) require us to develop non-infringing or otherwise altered products or technologies,</w:t>
      </w:r>
    </w:p>
    <w:p>
      <w:pPr>
        <w:spacing w:after="0" w:line="2" w:lineRule="exact"/>
        <w:rPr>
          <w:sz w:val="20"/>
          <w:szCs w:val="20"/>
          <w:color w:val="auto"/>
        </w:rPr>
      </w:pPr>
    </w:p>
    <w:p>
      <w:pPr>
        <w:ind w:firstLine="8"/>
        <w:spacing w:after="0" w:line="253" w:lineRule="auto"/>
        <w:tabs>
          <w:tab w:leader="none" w:pos="30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 ancillary claims, lawsuits, proceedings, investigations, inquiries, and requests, (v) consume financial and other resources which may otherwise be utilized for other purposes such as advancing our existing or developing new products, or (vi) cause a breach or cancellation of our bank partner or third-party service provider contracts. Further, our general business liability insurance may not cover all potential claims made against us or be sufficient to indemnify us for all liability that may be imposed by such claims. Any of these consequences may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124" w:right="339" w:bottom="1440" w:gutter="0" w:footer="0" w:header="0"/>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any of the loans or advances that support the liquidity products offered through our platform are found to violate any applicable state usury laws or other lending laws, we may be subject to penalties, and we may be forced to modify our business practices, each of which may adversely affect our business, financial condition, and results of operations.</w:t>
      </w:r>
    </w:p>
    <w:p>
      <w:pPr>
        <w:spacing w:after="0" w:line="121"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Under principles of federal preemption, the terms and conditions of the loans originated by banks such as our bank partners are subject only to the usury limitation in the state from which the bank originates the loan. Additionally, through either federal preemption or express statutory exemptions, bank-originated loans typically are not subject to state consumer finance laws, including, with respect to national banks such as our current bank partners, state licensing requirements. The liquidity products available through our platform are offered in a manner that relies on our bank partners being treated as the “true lender” for such loans and lines of credit with respect to licensing, interest rate, fee, product term, disclosure, and similar regulatory considerations. Based on the structure of our bank partnership programs, including factors such as that our bank partners substantially control lending activities and own line of credit accounts, we anticipate that our bank partners will be treated as the “true lender.” However, recent litigation and regulatory enforcement has challenged, or is currently challenging, the characterization of bank partners as the “true lender” in connection with programs involving origination and/or servicing relationships between a bank partner and non-bank lending platform or program manager. Federal and state courts evaluating true lender claims have adopted inconsistent standards for determining when relationships should be recharacterized that make the outcome of any particular challenge uncertain. States have also been more active in the past several years in amending licensing and usury laws to include anti-evasion provisions that seek to treat non-bank entities that partner with banks to offer credit products as the lender for various state regulatory purposes. Such anti-evasion provisions remain subject to substantial uncertainty as to their scope, given the relative lack of guidance and enforcement history to date. In addition, for national banks such as our current bank partners, the question of preemption of a particular state law by federal banking law often requires a practical assessment on a case-by-case basis, and state laws that regulate activities in which national banks may engage are not categorically preempted. If a court, or a state or federal enforcement agency, were to deem us, rather than our bank partners, the “true lender” for loans facilitated by our platform, or if for any reason the loans were deemed subject to and in violation of state consumer finance laws that are not preempted by federal law, we may be subject to fines, damages, injunctive relief, including requiring us to modify or suspend our business practices, and other penalties or consequences, and the loans may be rendered void or unenforceable in whole or in part, any of which may adversely affect our business, financial condition, and results of operations.</w:t>
      </w:r>
    </w:p>
    <w:p>
      <w:pPr>
        <w:spacing w:after="0" w:line="137"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Further, in some instances, we purchase the receivables, or an economic interest in the receivables, generated by the liquidity and other products offered through our platform, with our bank partner retaining ownership of the accounts and remaining the party to whom payment is owed. Certain litigation has challenged the ability of loan assignees to rely on the preemption that applied to the original lender and, therefore, the assignee’s right to collect interest in accordance with the assigned contract that was valid when made. For example, several state attorneys general have brought litigation challenging rules issued by the OCC and the FDIC codifying the doctrine that, if an interest rate was legal when the loan was made by a bank, that rate remains legal after any sale, assignment, or other transfer of the loan to a non-bank entity. Although these challenges were unsuccessful, it is uncertain whether these or other state attorneys general will file similar suits with respect to any other rule regarding the permissibility of interest rates by the FDIC, OCC, or other regulators. We also cannot be certain whether these rules will be given effect by courts and regulators in a manner that mitigates risks relating to state interest rate limits and related risks to us, our bank partners, or the loans facilitated by our platform.</w:t>
      </w:r>
    </w:p>
    <w:p>
      <w:pPr>
        <w:spacing w:after="0" w:line="134" w:lineRule="exact"/>
        <w:rPr>
          <w:sz w:val="20"/>
          <w:szCs w:val="20"/>
          <w:color w:val="auto"/>
        </w:rPr>
      </w:pPr>
    </w:p>
    <w:p>
      <w:pPr>
        <w:jc w:val="both"/>
        <w:ind w:right="140" w:firstLine="324"/>
        <w:spacing w:after="0" w:line="258" w:lineRule="auto"/>
        <w:rPr>
          <w:sz w:val="20"/>
          <w:szCs w:val="20"/>
          <w:color w:val="auto"/>
        </w:rPr>
      </w:pPr>
      <w:r>
        <w:rPr>
          <w:rFonts w:ascii="Times New Roman" w:cs="Times New Roman" w:eastAsia="Times New Roman" w:hAnsi="Times New Roman"/>
          <w:sz w:val="18"/>
          <w:szCs w:val="18"/>
          <w:color w:val="auto"/>
        </w:rPr>
        <w:t>More generally, if a court, or a state or federal enforcement agency, were to successfully challenge our arrangement and recharacterize us as the “true lender” or as a loan assignee for which interest rate preemption under the federal banking laws does not apply, and if for this reason (or any other reason) the loans were deemed subject to and in violation of consumer finance laws, we may be subject to fines, damages, injunctive relief, and other penalties or consequences, and the loans may be rendered void or unenforceable in whole or in part, which may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20"/>
          </w:cols>
          <w:pgMar w:left="320" w:top="124" w:right="359" w:bottom="1440" w:gutter="0" w:footer="0" w:header="0"/>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additional laws and regulations as we introduce new products or update our platform, which may adversely affect our business, financial condition, and results of operations.</w:t>
      </w:r>
    </w:p>
    <w:p>
      <w:pPr>
        <w:spacing w:after="0" w:line="105" w:lineRule="exact"/>
        <w:rPr>
          <w:sz w:val="20"/>
          <w:szCs w:val="20"/>
          <w:color w:val="auto"/>
        </w:rPr>
      </w:pPr>
    </w:p>
    <w:p>
      <w:pPr>
        <w:ind w:right="240" w:firstLine="324"/>
        <w:spacing w:after="0" w:line="256" w:lineRule="auto"/>
        <w:rPr>
          <w:sz w:val="20"/>
          <w:szCs w:val="20"/>
          <w:color w:val="auto"/>
        </w:rPr>
      </w:pPr>
      <w:r>
        <w:rPr>
          <w:rFonts w:ascii="Times New Roman" w:cs="Times New Roman" w:eastAsia="Times New Roman" w:hAnsi="Times New Roman"/>
          <w:sz w:val="18"/>
          <w:szCs w:val="18"/>
          <w:color w:val="auto"/>
        </w:rPr>
        <w:t>We intend to continue to explore new products, and new models and structures for existing products, including with bank partners. Our current products subject us to reporting requirements, bonding requirements, and inspection by applicable regulatory agencies, and our future products may potentially require, or be deemed to require, additional data, procedures, partnerships, licenses, regulatory approvals, or capabilities that we have not yet obtained or developed. If proposed new product offerings result in the application of regulatory requirements that we cannot satisfy, or if any of our new products, or new models or structures for our products, impose requirements on us that are costly or burdensome to comply with, our business, financial condition, and results of operations may be adversely affected.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highly regulated environment in which our bank partners operate may adversely affect our business, financial condition, and results of operations.</w:t>
      </w:r>
    </w:p>
    <w:p>
      <w:pPr>
        <w:spacing w:after="0" w:line="175"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Our bank partners are subject to federal and state supervision and regulation. Federal regulation of the banking industry, along with tax and accounting laws, regulations, rules, and standards, may limit their operations significantly and control the methods by which they conduct business. In addition, compliance with laws and regulations can be difficult and costly, and changes to laws and regulations can impose additional compliance requirements. Regulatory requirements affect our bank partners’ lending practices and investment practices, among other aspects of their businesses, and restrict transactions between us and our bank partners. These requirements may constrain the operations of our bank partners and harm our ability to continue to attract new bank partners, and the adoption of new laws and changes to, or repeal of, existing laws may have a further impact on our business.</w:t>
      </w:r>
    </w:p>
    <w:p>
      <w:pPr>
        <w:spacing w:after="0" w:line="133"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Banks and other financial institutions are extensively regulated and currently face an uncertain regulatory environment. Applicable state and federal laws and regulations, including interpretations thereof, have been subject to significant changes in recent years, and may be subject to significant future changes. We cannot predict with any degree of certainty the substance or effect of pending or future legislation or regulation or the application of laws and regulations to our current or any prospective bank partners or our relationships with such bank partners. Furthermore, the regulatory agencies have extremely broad discretion in their interpretation of the laws and regulations. Future changes to law and regulations may harm our current or any prospective bank partners or our relationships therewith and, therefore, adversely affect our business, financial condition, and results of operations.</w:t>
      </w:r>
    </w:p>
    <w:p>
      <w:pPr>
        <w:spacing w:after="0" w:line="129"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found to be operating without having obtained necessary state or local licenses, our business, financial condition, and results of operations may be adversely affected.</w:t>
      </w:r>
    </w:p>
    <w:p>
      <w:pPr>
        <w:spacing w:after="0" w:line="10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Some states have adopted laws regulating and requiring licensing by parties that engage in certain activities regarding consumer finance transactions, including facilitating and assisting such transactions in certain circumstances. Furthermore, some states and localities have also adopted laws requiring licensing for consumer debt collection or servicing, the acquisition of receivables or other economic interests related to consumer credit transactions, or other consumer financial activities. While we believe we have obtained, or are in the process of obtaining, all necessary licenses, the application of some consumer finance licensing laws to our platform and our products, as well as to our bank partners, is unclear. In addition, state and local licensing requirements may evolve over time, including around loan solicitation (and related origination facilitation activities), servicing, and debt collection. If we are found to be in violation of applicable state or local licensing requirements by a court or a state, federal, or local enforcement agency, we may be subject to fines, criminal or civil penalties, damages, or injunctive relief, including requiring us to modify or suspend our business practices, and other penalties or consequences, and the loans that support the liquidity products offered through our platform may be rendered void or unenforceable in whole or in part, any of which may adversely affect our business, financial condition, and results of operations.</w:t>
      </w:r>
    </w:p>
    <w:p>
      <w:pPr>
        <w:spacing w:after="0" w:line="13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Stringent and changing laws and other requirements relating to privacy, data protection, and data security may adversely affect our brand, business, financial condition, and results of operations.</w:t>
      </w:r>
    </w:p>
    <w:p>
      <w:pPr>
        <w:spacing w:after="0" w:line="105"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We are subject to numerous laws, regulations, guidance, and industry standards relating to the collection, storage, use, disclosure, transfer, and other processing of a wide variety of information, including non-public personal information and other personal information of our members. We are also subject to stringent contractual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20"/>
          </w:cols>
          <w:pgMar w:left="320" w:top="124" w:right="359" w:bottom="1440" w:gutter="0" w:footer="0" w:header="0"/>
        </w:sectPr>
      </w:pPr>
    </w:p>
    <w:bookmarkStart w:id="59" w:name="page60"/>
    <w:bookmarkEnd w:id="59"/>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and other requirements relating to privacy, data protection, and data security, including requirements from our bank partners to safeguard non-public personal information. The legal and regulatory environment, and our contractual and other requirements, relating to privacy, data protection, and data security is rapidly evolving and may develop and evolve in ways we cannot predict. Further, these requirements may apply generally to the handling of personal information or may be specific to industries, sectors, contexts, or locations. The continued proliferation of laws and regulations relating to privacy, data protection, and data security in the jurisdictions in which we operate is likely to result in a disparate array of laws, regulations, guidance, industry standards, and other actual and asserted obligations with unaligned or conflicting provisions, accountability requirements, individual rights, and national or local enforcement powers, which may subject us to increased regulatory scrutiny and business costs and may lead to unintended consumer confusion. In addition, we may become subject to additional laws and regulations relating to privacy, data protection, and data security in jurisdictions in which we may operate in the future (including any non-U.S. jurisdictions), which may require us to change our business practices and result in increased compliance costs.</w:t>
      </w:r>
    </w:p>
    <w:p>
      <w:pPr>
        <w:spacing w:after="0" w:line="134"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Many jurisdictions in which we operate have enacted, or are in the process of enacting, laws or regulations addressing privacy, data protection, and data security. For example, in the United States there are numerous federal and state privacy, data protection, and data security laws and regulations governing the collection, storage, use, disclosure, transfer, and other processing of personal information. We are also contractually subject to applicable requirements under the Gramm Leach Bliley Act (which regulates the confidentiality and security of non-public personal information obtained by financial institutions, including non-banking financial institutions significantly engaged in providing financial products or services) (the “GLBA”). In addition, we are subject to the laws and regulations promulgated under the authority of the Federal Trade Commission (which regulates unfair or deceptive acts or practices, including with respect to privacy, data protection and data security). At the state level, California and numerous other U.S. states have enacted, are in the process of enacting or are proposing to enact comprehensive state-level privacy laws governing the collection, storage, use, disclosure, transfer, and other processing of their residents’ personal information. For example, the California Consumer Privacy Act (as amended by the California Privacy Rights Act, the “CCPA”) gives California residents rights in their personal information including to access and delete their personal information, opt out of sales of personal information or other personal information sharing, and receive detailed information about how their personal information is used. The CCPA also prohibits covered companies from discriminating against California residents for exercising any of their CCPA rights and provides for severe civil penalties for violations as well as a private right of action for data breaches.</w:t>
      </w:r>
    </w:p>
    <w:p>
      <w:pPr>
        <w:spacing w:after="0" w:line="133"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Additionally, companies that store, transmit, or otherwise process credit card information are subject to the Payment Card Industry Data Security Standard (“PCI-DSS”), issued by the Payment Card Industry Security Standards Council. PCI-DSS contains compliance guidelines with regard to security surrounding the physical and electronic storage, transmission and processing of cardholder data. Costs and potential problems and interruptions associated with the implementation of new or upgraded systems and technology, such as those necessary to achieve compliance with PCI-DSS or with maintenance or adequate support of existing systems and technology may also disrupt or reduce the efficiency of our operations. If we, our bank partners, or our third-party service providers are unable to comply with the security standards established by banks and the payment card industry, we may be subject to fines, restrictions, and expulsion from card networks, which may materially and adversely affect our business.</w:t>
      </w:r>
    </w:p>
    <w:p>
      <w:pPr>
        <w:spacing w:after="0" w:line="135"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Moreover, while we strive to publish and prominently display privacy notices that are accurate, comprehensive, and compliant with applicable laws, regulations, guidance, and industry standards, we cannot ensure that such privacy notices and other statements (including the privacy notices and statements that we display on behalf of our bank partners) or those of our third-party service providers will be sufficient to protect us from claims, proceedings, liability, or adverse publicity relating to privacy, data protection, and data security. Although we endeavor to comply with such privacy notices, we, our bank partners, or our third-party service providers may at times fail to do so or be alleged to have failed to do so. If such public statements about the use, collection, disclosure collection, storage, use, disclosure, transfer, and other processing of personal information (including non-public personal information), whether made through the privacy notices or statements provided on our, or our third-party service providers’, websites press releases, or otherwise, are alleged to be deceptive, unfair, or misrepresentative of our, our bank partners’, or our third-party service providers’ actual practices, we may be subject to potential government or legal investigation or action, including by the Federal Trade Commission or applicable state attorneys general.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40"/>
          </w:cols>
          <w:pgMar w:left="320" w:top="124" w:right="339" w:bottom="1440" w:gutter="0" w:footer="0" w:header="0"/>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Any failure or alleged or perceived failure by us, our bank partners or our third-party service providers to comply with new or existing laws, regulations, guidance, industry standards, and any amendments thereto or changes in interpretation thereof, our contractual obligations, or other actual or asserted obligations relating to privacy, data protection, or data security, including relating to our collection, storage, use, disclosure, transfer, and other processing of non-public personal information, or other personal information of our members may result in proceedings or actions against us by government agencies or others, subject us to significant fines, penalties, judgments, and negative publicity, require us to change our business practices, and increase the costs and complexity of compliance, any of which may adversely affect our brand, business, financial condition, and results of operations.</w:t>
      </w:r>
    </w:p>
    <w:p>
      <w:pPr>
        <w:spacing w:after="0" w:line="129" w:lineRule="exact"/>
        <w:rPr>
          <w:sz w:val="20"/>
          <w:szCs w:val="20"/>
          <w:color w:val="auto"/>
        </w:rPr>
      </w:pPr>
    </w:p>
    <w:p>
      <w:pPr>
        <w:ind w:right="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laws and regulations covering anti-corruption, anti-bribery, trade sanctions, anti-money laundering, and similar laws, and non-compliance with such laws and regulations can subject us to criminal penalties or significant fines and adversely affect our business, financial condition, and results of operations.</w:t>
      </w:r>
    </w:p>
    <w:p>
      <w:pPr>
        <w:spacing w:after="0" w:line="121"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are subject to anti-corruption and anti-bribery and similar laws, including the U.S. Foreign Corrupt Practices Act of 1977 and the U.S. domestic bribery statute contained in 18 U.S.C. § 201. These laws generally prohibit companies, their employees, agents, representatives, business partners, and third-party intermediaries from authorizing, offering, or providing, directly or indirectly, improper payments or benefits to recipients in the public or private sector. We may be held liable for the corrupt or other illegal activities of these employees, agents, representatives, business partners, or third-party intermediaries even if we do not explicitly authorize such activities. These laws also require that we keep accurate books and records and maintain internal controls and compliance procedures designed to prevent any such actions. While we have policies and procedures in place to address compliance with such laws, we cannot assure you that actions will not be taken in violation of our policies and applicable law, for which we may be ultimately held responsible.</w:t>
      </w:r>
    </w:p>
    <w:p>
      <w:pPr>
        <w:spacing w:after="0" w:line="13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Although Chime Financial, Inc. does not currently engage as a business in the transfer of funds and is not a “money services business” or otherwise subject to anti-money laundering registration requirements under U.S. federal or state law, we may in the future become subject to such requirements as a result of changes to federal and state laws, including changing interpretations by relevant authorities, regarding money services businesses and money transmitters. In addition, one of our wholly-owned subsidiaries holds licenses to operate as a money transmitter (or its equivalent) in various U.S. states, and is a money services business and subject to anti-money laundering registration requirements. Chime does not currently receive funds from or transmit funds on behalf of members. Instead, our platform serves as an interface between members who submit payment instructions and our bank partners who hold the members’ accounts. For example, Pay Anyone currently involves payments sent from a Chime member’s checking account at one of our bank partners, with the bank partner moving funds to the intended recipient’s account. Additionally, due to our relationships with our bank partners that are directly subject to anti-money laundering and anti-terrorism financing laws and regulations, and which are required by regulation to require us to comply with these laws and regulations, we have implemented an anti-money laundering program designed to prevent the offerings on our platform from being used to facilitate money laundering, terrorist financing, and other illicit activity. In addition, export controls and trade and economic sanctions prohibit the export, re-export, or transfer of specific products and services to sanctioned persons and sanctioned countries and territories and their governments. Our program is also designed to prevent offerings on our platform from being used to facilitate activity in violation of applicable sanctions laws and regulations, including conducting business in specified countries or with designated persons or entities, including those on lists promulgated by the Office of Foreign Assets Control (“OFAC”) and equivalent foreign authorities. Our anti-money laundering compliance program includes policies, procedures, reporting protocols, and internal controls, and is designed to comply with the requirements of our bank partners and assist in managing risk associated with money laundering and terrorist financing. Even though we take precautions to prevent our platform from being provided to sanctioned countries and territories and persons, our platform may be used by such persons despite such precautions.</w:t>
      </w:r>
    </w:p>
    <w:p>
      <w:pPr>
        <w:spacing w:after="0" w:line="138"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These laws and regulations have been interpreted broadly and enforced aggressively in recent years. Any failure to comply with these laws and regulations may subject us to significant sanctions, fines, penalties, contractual liability to our partners, and reputational harm, all of which may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20"/>
          </w:cols>
          <w:pgMar w:left="320" w:top="124" w:right="359" w:bottom="1440" w:gutter="0" w:footer="0" w:header="0"/>
        </w:sectPr>
      </w:pPr>
    </w:p>
    <w:bookmarkStart w:id="61" w:name="page62"/>
    <w:bookmarkEnd w:id="61"/>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 Matters</w:t>
      </w:r>
    </w:p>
    <w:p>
      <w:pPr>
        <w:spacing w:after="0" w:line="171"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adequately protect our intellectual property rights, our competitive position may be impaired, and we may lose valuable assets, generate reduced revenue, and incur costly litigation to protect our rights, which may adversely affect our business, financial condition, and results of operations.</w:t>
      </w:r>
    </w:p>
    <w:p>
      <w:pPr>
        <w:spacing w:after="0" w:line="121"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Our success depends in part on protecting our intellectual property rights. We rely on a combination of patents, copyrights, trademarks, service marks, trade secrets, and contractual restrictions to establish and protect our intellectual property rights in our products. However, the steps we take to protect our intellectual property rights may be inadequate. We will not be able to protect our intellectual property rights if we are unable to obtain, maintain, or enforce our intellectual property rights or if we do not detect infringement, misappropriation, or other unauthorized use of our intellectual property rights. Despite our precautions, it may be possible for unauthorized third parties to copy our technology and products and use information that we regard as proprietary to create products that compete with ours. Some license or other contractual provisions protecting against unauthorized use, copying, transfer, and disclosure of our technology, products, and proprietary information may be unenforceable under the laws of certain jurisdictions and foreign countries. Further, the laws of some countries do not protect intellectual property and other proprietary rights to the same extent as the laws of the United States. To the extent we expand our international activities, our exposure to unauthorized use, copying, transfer, and disclosure of our technology, products, and proprietary information may increase. In addition, the growing use of generative AI by us, our bank partners and our third-party developers presents an increased risk of unintentional and/or unauthorized use, copying, transfer, and disclosure of our intellectual property rights.</w:t>
      </w:r>
    </w:p>
    <w:p>
      <w:pPr>
        <w:spacing w:after="0" w:line="13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Any patents issued in the future may not provide us with any competitive advantages, and our patent applications may never be granted. For example, third parties, including our competitors, may assert patents relating to technologies that overlap or compete with our technology and seek to charge us a licensing fee or otherwise preclude the use of our technology. Additionally, the process of obtaining patent protection is expensive and time consuming, and we may not be able to file and prosecute all necessary or desirable patent applications, or we may not be able to do so at a reasonable cost or in a timely manner. Even if issued, these patents may not adequately protect our intellectual property rights, as the legal standards relating to the infringement, validity, enforceability, and scope of protection of patent and other intellectual property rights are complex and often uncertain.</w:t>
      </w:r>
    </w:p>
    <w:p>
      <w:pPr>
        <w:spacing w:after="0" w:line="133"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Despite our efforts, unauthorized parties, including our competitors, may duplicate, mimic, reverse engineer, access, obtain, or use aspects of our technology, products, and proprietary information without our permission. Moreover, there can be no guarantee that our efforts will prevent unauthorized parties, including our competitors, from designing around our intellectual property rights or independently developing technologies that are substantially equivalent or superior to our technology or products.</w:t>
      </w:r>
    </w:p>
    <w:p>
      <w:pPr>
        <w:spacing w:after="0" w:line="126"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We rely on both registrations and common law protections for trademarks and service marks. However, we may be unable to prevent competitors or other third parties from acquiring or using trademarks or service marks that are similar to, infringe upon, misappropriate, or otherwise violate or diminish the value of our trademarks and service marks. The value of our trademarks and service marks may diminish if others assert rights in or ownership of our trademarks or service marks that are similar to ours, which may harm our corporate or brand identity and lead to customer confusion. There is a risk that our trademarks and service marks may not be adequate to protect our brand or may conflict with the registered trademarks or other intellectual property rights of other companies, which may require us to rebrand our products (which may result in loss of goodwill and brand recognition and require additional advertising and marketing expenditures) or defend against third-party claims.</w:t>
      </w:r>
    </w:p>
    <w:p>
      <w:pPr>
        <w:spacing w:after="0" w:line="135"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While our software and other proprietary works of authorship may be protected under copyright laws, we have not registered any copyrights in these works. While registration is not necessary to benefit from copyright protection, registration provides additional benefits in certain jurisdictions, and is required to bring a copyright infringement lawsuit in the United States. Accordingly, the remedies and damages available to us for unauthorized use of our software may be limited in the United States.</w:t>
      </w:r>
    </w:p>
    <w:p>
      <w:pPr>
        <w:spacing w:after="0" w:line="126"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We rely in part on trade secrets to maintain our competitive position. We enter into confidentiality and invention assignment agreements with our employees and consultants who are involved in the development of intellectual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124"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property for us and may enter into confidentiality agreements with the parties with whom we engage in business discussions and in conjunction with definitive agreements. We may not always be effective in controlling access to, use of and distribution of our intellectual property rights, products, or proprietary information, including our trade secrets.</w:t>
      </w:r>
    </w:p>
    <w:p>
      <w:pPr>
        <w:spacing w:after="0" w:line="122"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Further, in order to protect our intellectual property rights, we may be required to spend significant resources to monitor and protect these rights. Litigation may be necessary in the future to enforce our intellectual property rights and to protect our trade secrets. Litigation brought to protect and enforce our intellectual property rights may be costly, time consuming, and distracting to management and may result in the impairment or loss of portions of our intellectual property rights. Our efforts to enforce our intellectual property rights may be met with defenses, counterclaims, and countersuits attacking the validity, enforceability, and scope of our intellectual property rights. Due to the significant amount of discovery required in connection with intellectual property litigation, our confidential information may be compromised by disclosure during litigation. Our inability to protect our technology, products, or proprietary information against unauthorized use, copying, transfer, or disclosure, as well as any costly litigation or diversion of our management’s attention and resources, may delay further the implementation of our products, impair the functionality of our products, delay introductions of new products, result in our substituting inferior or more costly technologies into our products, or harm our brand, all of which may adversely affect our business, financial condition, and results of operations. In addition, we may be required to license additional technology from third parties to develop and market new products, and we may not be able to license that technology on commercially reasonable terms or at all, which may adversely affect our ability to compete.</w:t>
      </w:r>
    </w:p>
    <w:p>
      <w:pPr>
        <w:spacing w:after="0" w:line="132"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been, and may in the future be, subject to intellectual property rights claims by third parties, which are extremely costly to defend, may require us to pay significant damages and may limit our ability to use certain technologies, which may adversely affect our business, financial condition, and results of operations.</w:t>
      </w:r>
    </w:p>
    <w:p>
      <w:pPr>
        <w:spacing w:after="0" w:line="121"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Companies in the software and technology industries, including some of our current and potential competitors, own large numbers of patents, copyrights, trademarks, and trade secrets and frequently enter into litigation based on allegations of misappropriation, misuse, infringement, or other violations of intellectual property rights. In addition, many of these companies have the capability to dedicate substantially greater resources to enforce their intellectual property rights and to defend claims that may be brought against them than we do. The litigation may involve patent holding companies or other adverse patent owners that have no relevant product revenues and against which our patents may therefore provide little or no deterrence. It has become common in recent years for third parties in the United States to purchase patents or other intellectual property rights for the sole purpose of making claims of misappropriation, misuse, infringement, or other violations in an attempt to extract settlements from companies such as ours. From time to time, third parties may assert patent, copyright, trademark, or other intellectual property rights against us, our bank partners, our members, or other parties with which we have a relationship, including parties indemnified by us. We have in the past and may, in the future receive, notices that claim we have misappropriated, misused, infringed, or otherwise violated other parties’ intellectual property rights. To the extent we gain greater market visibility and/or as new technologies such as generative AI impact the industries in which we operate, we face a higher risk of being the subject of such claims.</w:t>
      </w:r>
    </w:p>
    <w:p>
      <w:pPr>
        <w:spacing w:after="0" w:line="138"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Claims of misappropriation, misuse, infringement, or other violations of intellectual property rights may be extremely broad, and it may not be possible for us to conduct our business in such a way as to avoid all such claims. We also may be unaware of third-party intellectual property rights that cover or otherwise relate to some or all of our products.</w:t>
      </w:r>
    </w:p>
    <w:p>
      <w:pPr>
        <w:spacing w:after="0" w:line="122"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Pending and future intellectual property claims, with or without merit, and even if we ultimately prevail, may be very time consuming, may be expensive to settle or litigate and may divert our management’s attention and other resources. These claims may also subject us to significant liability for damages, potentially including treble damages if we are found to have willfully infringed patents or copyrights. These claims may also result in our having to stop using technology or other intellectual property found to be in violation of a third party’s rights. We may be required to seek a license for the technology or other intellectual property, which may not be available on commercially reasonable terms or at all. Even if a license were available, we may be required to pay significant royalties, which would increase our operating expenses. As a result, we may be required to develop alternative non-infringing technology or other intellectual property, which may require significant effort, time, and expense and may 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40"/>
          </w:cols>
          <w:pgMar w:left="320" w:top="124"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successful. If we cannot license or develop technology or other intellectual property for any aspect of our business found to be in violation of a third party’s rights, we may be forced to limit or stop offering our products and may be unable to compete effectively. In addition, there can be no guarantee that a third party who may have agreed to indemnify us for costs associated with intellectual property-related litigation, if any at all, will not refuse or be unable to uphold its contractual obligations. Any of these results may adversely affect our business, financial condition, and results of operations.</w:t>
      </w:r>
    </w:p>
    <w:p>
      <w:pPr>
        <w:spacing w:after="0" w:line="122"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open source software in our products, which may subject us to litigation or other actions, which may adversely affect our business, financial condition, and results of operations.</w:t>
      </w:r>
    </w:p>
    <w:p>
      <w:pPr>
        <w:spacing w:after="0" w:line="10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use open source software in our products, including certain elements within our AI systems, and may use more open source software in the future. From time to time, there have been claims challenging the manner of use or ownership of open source software against companies that incorporate open source software into their products and technologies. As a result, we may be subject to lawsuits by parties claiming misappropriation, misuse, infringement, ownership, misattribution, or other violations of what we believe to be open source software. Litigation may be costly for us to defend, adversely affect our business, results of operations, and financial condition or require us to devote additional research and development resources to change our products. In addition, if we were to combine our products with open source software in a certain manner, we may, under certain open source licenses, be required to release or license the source code of our products at no cost or otherwise impair our intellectual property. Such release may allow our competitors or other third parties to create similar products with lower development effort, time, and costs. Further, the terms of various open source licenses have not been interpreted by U.S. courts and as such there is a risk that such licenses may be construed in a manner that imposes unanticipated conditions or restrictions on our business. Due to the nascency of AI and uncertainty and evolving legal and regulatory regimes, these risks may be heightened with respect to the use of open source software within our AI systems and such use may pose additional risks relating to intellectual property ownership and license rights or the risk that open source licenses could be construed in a manner that imposes unanticipated conditions or restrictions on our ability to provide our products. We have adopted an open source usage policy designed to mitigate risks associated with the use of open source software, including components integrated into to our AI systems, and we utilize specialized tools to assist in detecting vulnerabilities and enforcing security measures, but we cannot ensure that we have not incorporated open source software in our software in a manner that is inconsistent with the terms of the applicable license or our current policies. If we inappropriately use open source software, we may be required to re-engineer our products, discontinue all or a portion of our products or take other remedial actions, any of which may adversely affect our business, financial condition, and results of operations.</w:t>
      </w:r>
    </w:p>
    <w:p>
      <w:pPr>
        <w:spacing w:after="0" w:line="13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In addition to risks related to license requirements, use of open source software can lead to greater risks than use of third-party commercial software because open source licensors generally do not provide warranties or other contractual protections regarding misappropriation, misuse, infringement, ownership, misattribution, or other violations, the quality of the code or the origin of the open source software. Many of the risks associated with the use of open source software cannot be eliminated and may adversely affect our business, results of operations, financial condition, and future prospects. For instance, open source software is developed by programmers beyond our control and often may have security vulnerabilities, defects, or errors of which we may not be aware. Even if we become aware of any such vulnerabilities, defects, or errors, it may take a significant amount of time for either us or the relevant programmers to address such vulnerabilities, defects, or errors. Such a delay may negatively impact our products, including by adversely affecting the market’s perception of our products, impairing the functionality of our products, or delaying the launch of new products any of which may adversely affect our business, financial condition, and results of operations.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Financial and Tax Matters</w:t>
      </w:r>
    </w:p>
    <w:p>
      <w:pPr>
        <w:spacing w:after="0" w:line="17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substantial indebtedness and any failure to meet our debt obligations may adversely affect our business, financial condition, and results of operations.</w:t>
      </w:r>
    </w:p>
    <w:p>
      <w:pPr>
        <w:spacing w:after="0" w:line="105"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We have and may continue to enter into arrangements pursuant to which we can incur significant indebtedness, including our revolving credit facility with Silicon Valley Bank, a division of First-Citizens Bank &amp; Trust Company (the “credit facility”). If we incur indebtedness under the credit facility, our ability to make payments on such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124"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to repay such indebtedness when due, and to fund our business, operations, and capital expenditures will depend on our ability to pay with available cash or generate cash in the future. If we cannot service our indebtedness, we may have to take actions such as utilizing available capital, selling assets, selling equity, or reducing or delaying capital expenditures, strategic transactions, investments, and partnerships, any of which may impede the implementation of our business strategy, prevent us from entering into transactions that would otherwise benefit our business, and may adversely affect our business, financial condition, and results of operations. We also may not be able to refinance indebtedness, if necessary, on commercially reasonable terms, or at all.</w:t>
      </w:r>
    </w:p>
    <w:p>
      <w:pPr>
        <w:spacing w:after="0" w:line="12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credit facility contains restrictive covenants that may limit our operating flexibility, which may adversely affect our business, financial condition, and results of operations.</w:t>
      </w:r>
    </w:p>
    <w:p>
      <w:pPr>
        <w:spacing w:after="0" w:line="10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credit facility contains restrictive covenants that limit our ability to, among other things, transfer or dispose of assets, undergo a change in control, merge or consolidate with other companies, make acquisitions, incur additional indebtedness, incur liens, repurchase stock, pay cash dividends, incur contractual obligations and commitments, enter into affiliate transactions, and make investments, subject in each case to customary exceptions. We therefore may not be able to engage in any of the foregoing transactions unless we obtain the consent of the lender or terminate the credit facility, which may limit our operating flexibility or make it more difficult to pursue business opportunities. Our ability to comply with these covenants may be affected by events beyond our control, and breaches of these covenants may result in a default under the credit facility. In addition, our credit facility is secured by our assets and requires us to satisfy financial covenants. There is no guarantee that we will be able to generate sufficient cash flow or revenue to meet these financial covenants or pay the principal and interest on any such debt. Further, there is no guarantee that future working capital, borrowings, or equity financing will be available to repay or refinance any such debt. Any inability to make scheduled payments or meet the financial covenants on our credit facility may adversely affect our business, financial condition, and results of operation.</w:t>
      </w:r>
    </w:p>
    <w:p>
      <w:pPr>
        <w:spacing w:after="0" w:line="136"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our business, and this capital may not be available to us on acceptable terms, if at all, which may adversely affect our business, financial condition, and results of operations.</w:t>
      </w:r>
    </w:p>
    <w:p>
      <w:pPr>
        <w:spacing w:after="0" w:line="10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intend to continue to make investments to support our business and may require additional funds to do so. In particular, we may seek additional funds to develop new products, enhance our platform and existing products, expand our operations, including our sales and marketing organizations, improve our infrastructure or acquire complementary businesses, technologies, services, products, and other assets. In addition, we may use a portion of our cash to satisfy tax withholding and remittance obligations related to outstanding RSUs and PSUs. Accordingly, we may need to engage in equity, equity-linked, or debt financings to secure additional funds. If we raise additional funds through future issuances of equity or convertible debt securities, our stockholders may suffer significant dilution, and any new equity securities we issue may have rights, preferences, and privileges superior to those of holders of our common stock. Any debt financing that we may secure in the future may involve restrictive covenants relating to our capital raising activities and other financial and operational matters, potentially making it more difficult for us to obtain additional capital and to pursue business opportunities. We may not be able to obtain additional financing on terms favorable to us, if at all. If we are unable to obtain adequate financing or financing on terms satisfactory to us when we require it, our ability to continue to support our business growth, scale our infrastructure, develop new products, enhance our platform and existing products, and respond to business challenges may be impaired, and our business, financial condition, and results of operations may be adversely affected.</w:t>
      </w:r>
    </w:p>
    <w:p>
      <w:pPr>
        <w:spacing w:after="0" w:line="132"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bank partners originate and hold on their balance sheets amounts related to the liquidity products offered through our platform. If we are unable to maintain these arrangements as we grow or we cannot find suitable alternative arrangements, our business, financial condition, and results of operations may be adversely affected.</w:t>
      </w:r>
    </w:p>
    <w:p>
      <w:pPr>
        <w:spacing w:after="0" w:line="121"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Our bank partners originate loans and lines of credit related to the liquidity products offered through our platform and have historically held amounts on their balance sheets to support these liquidity products. In particular, Bancorp has committed to hold on its balance sheet an amount in connection with Credit Builder and liquidity products offered to members through our platform such as MyPay, SpotMe, and other lending products, not to exceed, on an aggregate basis, 200% of its tier 1 capital, with such amount in connection with liquidity products excluding Credit Builder not to exceed 125% of its tier 1 capital (each as measured on the last day of each calendar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124" w:right="339" w:bottom="1440" w:gutter="0" w:footer="0" w:header="0"/>
        </w:sectPr>
      </w:pPr>
    </w:p>
    <w:bookmarkStart w:id="65" w:name="page66"/>
    <w:bookmarkEnd w:id="65"/>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quarter).</w:t>
      </w:r>
      <w:r>
        <w:rPr>
          <w:rFonts w:ascii="Times New Roman" w:cs="Times New Roman" w:eastAsia="Times New Roman" w:hAnsi="Times New Roman"/>
          <w:sz w:val="23"/>
          <w:szCs w:val="23"/>
          <w:color w:val="auto"/>
          <w:vertAlign w:val="superscript"/>
        </w:rPr>
        <w:t>46</w:t>
      </w:r>
      <w:r>
        <w:rPr>
          <w:rFonts w:ascii="Times New Roman" w:cs="Times New Roman" w:eastAsia="Times New Roman" w:hAnsi="Times New Roman"/>
          <w:sz w:val="18"/>
          <w:szCs w:val="18"/>
          <w:color w:val="auto"/>
        </w:rPr>
        <w:t xml:space="preserve"> Based on Bancorp’s tier 1 capital as of December 31, 2024, the amount of this commitment would have been approximately $1.8 billion (with such amount in connection with liquidity products excluding Credit Builder not to exceed approximately $1.1 billion). Similarly, Stride currently originates liquidity products for our members and holds related amounts on its balance sheet. Under our agreement with Stride, Stride has the contractual option to sell individual MyPay receivables to us once such receivables have aged two days beyond their origination date. In addition, pursuant to the terms of our agreements with our bank partners, we may elect to or are contractually obligated to maintain collateral and reserve account balances related to our liquidity products. For example, we have historically elected to fund a cash collateral account at Bancorp and pledge receivables due from Bancorp to be used as collateral against all negative account balances through SpotMe or other transaction activity with respect to Bancorp. Similarly, we have historically fully secured all negative account balances through SpotMe or other transaction activity with respect to Stride by funding a reserve account and pledging certain accounts receivable due from Stride in a combined amount that collateralizes the total of such negative account balances. Pursuant to the Stride Agreements, we are required to ensure that negative account balances are fully secured and to at all times keep a minimum of $5 million in such reserve account as cash collateral. We cannot be certain that these balance sheet arrangements will be sufficient as we scale the existing liquidity products offered through our platform and in the event we introduce new liquidity products through our platform. If either of our bank partners chooses to reduce the volume of loans and lines of credit facilitated through our platform, or is unwilling or unable to originate loans and lines of credit or to hold amounts related to these products on its balance sheet, and cannot find suitable alternative arrangements, the originations of liquidity products offered through our platform may need to be reduced or we may need to seek alternative arrangements, which may not be available on favorable terms to us, or at all, and which may require lengthy transition periods. Further, if our collateral or reserve obligations increase, we may need to reduce spending in other areas. Any of the foregoing may adversely affect our business, financial condition, and results of operations. For additional risks associated with our bank partnerships, see the risk factor titled “Our relationships with our bank partners are crucial to our business, and we may be unable to maintain our relationship with either of our bank partners, which may adversely affect our business, financial condition, and results of operations.” For additional discussion of the liquidity products offered through our platform and the applicable contractual terms regarding collateral and reserve account balances, see the section titled “Management’s Discussion and Analysis of Financial Condition and Results of Operations—Liquidity Products.”</w:t>
      </w:r>
    </w:p>
    <w:p>
      <w:pPr>
        <w:spacing w:after="0" w:line="150"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may also change our strategy with respect to how current and future liquidity products offered through our platform are originated and held over time depending on our needs and the attractiveness and availability of alternative structures. However, our future ability to provide access to liquidity products through our platform could be restricted due to a variety of factors, including our or our bank partners’ actual or perceived financial condition, risk loss history, risk management capabilities, including with respect to underwriting, overall business or industry prospects, adverse regulatory changes, or general disruptions to or volatility in the capital markets. If adequate alternative structures are not available, or are not available on acceptable terms, we may be unable to deliver the existing liquidity products or new products through our platform at our desired scale, which may adversely affect our business, financial condition, and results of operations.</w:t>
      </w:r>
    </w:p>
    <w:p>
      <w:pPr>
        <w:spacing w:after="0" w:line="131"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may be impaired, which may adversely affect our business, financial condition, and results of operations.</w:t>
      </w:r>
    </w:p>
    <w:p>
      <w:pPr>
        <w:spacing w:after="0" w:line="121"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As a public company, we will be subject to the reporting requirements of the Exchange Act, the Sarbanes-Oxley Act, and the Nasdaq listing standards. The Sarbanes-Oxley Act and related Exchange Act rules require, among other things, that we maintain effective disclosure controls and procedures and internal control over financial reporting. We are continuing to develop and refine our disclosure controls and other procedures that are designed to assure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management, including our principal executive and financial officers, to allow timely decisions regarding disclosure. We are also continuing to improve our internal control over financial reporting. We have expended, and anticipate that we will continue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7145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72" w:lineRule="exact"/>
        <w:rPr>
          <w:sz w:val="20"/>
          <w:szCs w:val="20"/>
          <w:color w:val="auto"/>
        </w:rPr>
      </w:pPr>
    </w:p>
    <w:p>
      <w:pPr>
        <w:ind w:left="340" w:right="480" w:hanging="332"/>
        <w:spacing w:after="0" w:line="302" w:lineRule="auto"/>
        <w:tabs>
          <w:tab w:leader="none" w:pos="334" w:val="left"/>
        </w:tabs>
        <w:numPr>
          <w:ilvl w:val="0"/>
          <w:numId w:val="3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Bancorp's tier 1 capital includes common shareholders’ equity, certain qualifying perpetual preferred stock and minority interests in equity accounts of consolidated subsidiaries, less intangibles.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40"/>
          </w:cols>
          <w:pgMar w:left="320" w:top="124" w:right="339" w:bottom="1440" w:gutter="0" w:footer="0" w:header="0"/>
        </w:sectPr>
      </w:pPr>
    </w:p>
    <w:bookmarkStart w:id="66" w:name="page67"/>
    <w:bookmarkEnd w:id="66"/>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expend, significant resources to maintain and improve the effectiveness of our disclosure controls and procedures and internal control over financial reporting.</w:t>
      </w:r>
    </w:p>
    <w:p>
      <w:pPr>
        <w:spacing w:after="0" w:line="108" w:lineRule="exact"/>
        <w:rPr>
          <w:sz w:val="20"/>
          <w:szCs w:val="20"/>
          <w:color w:val="auto"/>
        </w:rPr>
      </w:pPr>
    </w:p>
    <w:p>
      <w:pPr>
        <w:ind w:firstLine="324"/>
        <w:spacing w:after="0" w:line="269" w:lineRule="auto"/>
        <w:rPr>
          <w:sz w:val="20"/>
          <w:szCs w:val="20"/>
          <w:color w:val="auto"/>
        </w:rPr>
      </w:pPr>
      <w:r>
        <w:rPr>
          <w:rFonts w:ascii="Times New Roman" w:cs="Times New Roman" w:eastAsia="Times New Roman" w:hAnsi="Times New Roman"/>
          <w:sz w:val="17"/>
          <w:szCs w:val="17"/>
          <w:color w:val="auto"/>
        </w:rPr>
        <w:t>Our current controls and any new controls that we develop may become inadequate because of changes in the conditions in our business. Further, weaknesses in our disclosure controls or our internal control over financial reporting may be discovered in the future. Any failure to develop or maintain effective controls, or any difficulties encountered in their implementation or improvement, may harm our results of operations or cause us to fail to meet our reporting obligations and may result in a restatement of our financial statements for prior periods. Any failure to implement and maintain effective internal control over financial reporting may also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may also cause investors to lose confidence in our reported financial and other information, which would likely adversely affect the market price of our common stock. In addition, if we are unable to continue to meet these requirements, we may not be able to remain listed on the Nasdaq Global Select Market.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will be required to provide an annual management report on the effectiveness of our internal control over financial reporting commencing with our second annual report on Form 10-K.</w:t>
      </w:r>
    </w:p>
    <w:p>
      <w:pPr>
        <w:spacing w:after="0" w:line="125"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expect our independent registered public accounting firm will be required to formally attest to the effectiveness of our internal control over financial reporting commencing with our second annual report on Form 10-K.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may adversely affect our business, financial condition, and results of operations and may cause a decline in the market price of our common stock.</w:t>
      </w:r>
    </w:p>
    <w:p>
      <w:pPr>
        <w:spacing w:after="0" w:line="12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assumptions and estimates to calculate certain of our metrics and other figures presented herein, and real or perceived inaccuracies in such metrics may adversely affect our brand and our business, financial condition, and results of operations.</w:t>
      </w:r>
    </w:p>
    <w:p>
      <w:pPr>
        <w:spacing w:after="0" w:line="105"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Certain of the metrics and figures that we disclose, such as Active Members, ARPAM (with respect to the Active Members portion of the metric), Purchase Volume, attach rates, and cohort level data, are calculated using internal company data that has not been independently verified. While these metrics and figures are based on what we believe to be reasonable calculations for the applicable periods of measurement, there are inherent challenges in measuring these metrics and figures across our Active Member base. We regularly review and may adjust our processes for calculating our metrics and other figures to improve their accuracy, but these efforts may not prove successful, and we may discover material inaccuracies. In addition, our methodologies for calculating these metrics may be updated from time to time and may differ from the methodologies used by other companies to calculate similar metrics and figures. We may also discover unexpected errors in the data that we are using that resulted from technical or other errors. Additionally, the figures in this prospectus relating to the size and expected growth of our addressable market, or the estimates and assumptions that are used to derive such figures, may prove to be inaccurate. There is no guarantee that any particular number of the individuals included in these addressable market estimates will become Active Members or generate any particular level of revenue or that we will be able to successfully develop products in all additional areas covered by future addressable market opportunities. Even if the market in which we compete meets our size estimates and growth forecasts, our business could fail to grow at the levels we expect or at all for a variety of reasons outside our control, including competition in our industry. If securities analysts or investors do not consider our metrics to be accurate representations of our business, or if we discover material inaccuracies in our estimates, then the market price of our common stock may decline, our brand may be harmed and our business, financial condition, and results of operations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40"/>
          </w:cols>
          <w:pgMar w:left="320" w:top="124" w:right="339" w:bottom="1440" w:gutter="0" w:footer="0" w:header="0"/>
        </w:sectPr>
      </w:pPr>
    </w:p>
    <w:bookmarkStart w:id="67" w:name="page68"/>
    <w:bookmarkEnd w:id="67"/>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our results of operations may be adversely affected.</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(“GAAP”) requires management to make estimates and assumptions that affect the amounts reported on our consolidated financial statements and accompanying notes. We base our estimates in part on historical experience, market observable inputs, if available, and various other assumptions that we believe to be reasonable under the circumstances, as provided in the section titled “Management’s Discussion and Analysis of Financial Condition and Results of Operations—Critical Accounting Policies and Estimates.” Significant estimates and assumptions include, but are not limited to, product obligation, accrued transaction dispute losses, stock-based compensation, and the fair value of common stock. Our results of operations may be adversely affected if our assumptions change or if actual circumstances differ from those in our assumptions, which may cause our results of operations to fall below the expectations of securities analysts and investors and a decline in the market price of our common stock.</w:t>
      </w:r>
    </w:p>
    <w:p>
      <w:pPr>
        <w:spacing w:after="0" w:line="134"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have exposure to greater-than-anticipated tax liabilities, which may adversely affect our business, financial condition, and results of operations.</w:t>
      </w:r>
    </w:p>
    <w:p>
      <w:pPr>
        <w:spacing w:after="0" w:line="10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may be subject to taxation in several jurisdictions with increasingly complex tax laws, the application of which can be uncertain. The amount of our tax liabilities may increase due to changes in applicable tax principles, including increased tax rates, new tax laws, or revised interpretations of existing tax laws and precedents. Various levels of government, such as U.S. federal and state legislatures, are increasingly focused on tax reform and other legislative or regulatory action to increase tax revenue. Any such tax reform or other legislative or regulatory actions may increase our effective tax rate or cash tax payments, which may adversely affect our business, financial condition, and results of operations. For example, in 2022, the Inflation Reduction Act was enacted in the United States, which introduced, among its provisions, a new minimum corporate income tax on certain large corporations, an excise tax of 1% on certain share repurchases by publicly-traded corporations, and increased funding for the Internal Revenue Service. The Organisation for Economic Cooperation and Development has proposed implementing a global minimum corporate tax of 15% that has been agreed to by over 130 countries, which many countries have implemented through domestic legislation. Although we do not anticipate the new corporate minimum income tax will currently apply to us, changes in our business and any future regulations or other guidance on the interpretation and application of the new corporate minimum tax may result in additional taxes payable by us, which may adversely affect our business, financial condition, and results of operations. The amount of our tax liabilities may also increase due to changes in our business, including changes in our mix of income and expenses or changes in our geographic footprint.</w:t>
      </w:r>
    </w:p>
    <w:p>
      <w:pPr>
        <w:spacing w:after="0" w:line="133"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Further, our implementation of new practices and processes designed to comply with changing tax laws and regulations may require us to make changes to our business practices, allocate additional resources, and increase our costs of operations, which may adversely affect our business, financial condition, and results of operations. In addition, we intend to utilize net share settlement for the vesting and settlement of RSUs and PSUs issued to our employees under our equity incentive plans. Upon vesting, we will withhold RSUs or PSUs based on estimated tax withholding amounts and use cash to remit taxes on behalf of our employees, which may result in significant cash payments on quarterly vesting dates.</w:t>
      </w:r>
    </w:p>
    <w:p>
      <w:pPr>
        <w:spacing w:after="0" w:line="129"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In addition, the determination of our provision for income taxes and other tax liabilities requires estimation and significant judgment, and there are many transactions and calculations where the ultimate tax determination is uncertain. While we have established reserves based on assumptions and estimates that we believe are reasonable to cover such eventualities, these reserves may prove to be insufficient. Our determination of our tax liabilities is subject to audit and review by applicable tax authorities and such tax authorities may disagree with tax positions we take. If any such authority were to successfully challenge any tax position, our business, financial condition, and results of operations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20"/>
          </w:cols>
          <w:pgMar w:left="320" w:top="124" w:right="359" w:bottom="1440" w:gutter="0" w:footer="0" w:header="0"/>
        </w:sectPr>
      </w:pPr>
    </w:p>
    <w:bookmarkStart w:id="68" w:name="page69"/>
    <w:bookmarkEnd w:id="68"/>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 the past recorded, and may in the future record, significant valuation allowances on our deferred tax assets, which may have a material impact on our results of operations.</w:t>
      </w:r>
    </w:p>
    <w:p>
      <w:pPr>
        <w:spacing w:after="0" w:line="105" w:lineRule="exact"/>
        <w:rPr>
          <w:sz w:val="20"/>
          <w:szCs w:val="20"/>
          <w:color w:val="auto"/>
        </w:rPr>
      </w:pPr>
    </w:p>
    <w:p>
      <w:pPr>
        <w:ind w:right="80" w:firstLine="324"/>
        <w:spacing w:after="0" w:line="277" w:lineRule="auto"/>
        <w:rPr>
          <w:sz w:val="20"/>
          <w:szCs w:val="20"/>
          <w:color w:val="auto"/>
        </w:rPr>
      </w:pPr>
      <w:r>
        <w:rPr>
          <w:rFonts w:ascii="Times New Roman" w:cs="Times New Roman" w:eastAsia="Times New Roman" w:hAnsi="Times New Roman"/>
          <w:sz w:val="17"/>
          <w:szCs w:val="17"/>
          <w:color w:val="auto"/>
        </w:rPr>
        <w:t>As of December 31, 2024, we recorded a full valuation allowance on our U.S. deferred tax assets. A valuation allowance may be established to reduce a deferred tax asset to the level at which it is more likely than not that the tax asset or benefits will be realized. The establishment of a valuation allowance requires an assessment of both positive and negative evidence when determining whether deferred tax assets are more likely than not to be realized. We continue to monitor the likelihood that we will be able to realize our deferred tax assets in the future and we may in the future make adjustments to our valuation allowance. Any future recording or release to our valuation allowance may have an adverse effect on our results of operations.</w:t>
      </w:r>
    </w:p>
    <w:p>
      <w:pPr>
        <w:spacing w:after="0" w:line="11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or other tax attributes to offset future taxable income or tax liabilities may be subject to certain limitations, which may adversely affect our business, financial condition, and results of operations.</w:t>
      </w:r>
    </w:p>
    <w:p>
      <w:pPr>
        <w:spacing w:after="0" w:line="10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As of December 31, 2024, we had approximately $900.7 million and $786.0 million of federal and state (post-apportioned) net operating losses (“NOLs”), some of which will begin to expire in 2030, and other tax attributes in various jurisdictions, some which will begin to expire in 2032. In general, under Sections 382 and 383 of the Internal Revenue Code of 1986, as amended (“Code”), a corporation that undergoes an “ownership change” (generally defined as a greater than 50-percentage-point cumulative change (by value) in the equity ownership of certain stockholders over a rolling three-year period) is subject to limitations on its ability to utilize its pre-change NOLs and certain other pre-change tax attributes to offset post-change taxable income. We believe such ownership changes occurred in 2014 and 2018, so our federal NOLs and certain other federal tax attributes generated before such changes are limited under Sections 382 and 383 of the Code (and our other tax attributes may be limited by the tax law of the jurisdictions in which they have arisen), though none of the limitations imposed by those provisions as a result of those changes are presently expected to prevent any of those tax attributes from becoming usable prior to their expiration. If we undergo an ownership change in connection with this offering or in the future, our ability to utilize NOLs and certain other tax attributes generated before such ownership change may be further limited by Sections 382 and 383 of the Code and/or other applicable tax laws. Future changes in our stock ownership, some of which may be outside of our control, may result in additional ownership changes under these rules.</w:t>
      </w:r>
    </w:p>
    <w:p>
      <w:pPr>
        <w:spacing w:after="0" w:line="13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addition, the amount of federal NOLs arising in taxable years beginning after December 31, 2017 that we are permitted to deduct in a taxable year is limited to 80% of our federal taxable income in each such year to which the NOLs are applied, where such taxable income for such year is determined without regard to the NOL deduction itself, and such NOLs may be carried forward indefinitely. Federal NOLs generated in taxable years beginning on or prior to December 31, 2017, however, may be carried forward for only 20 years, but are not subject to the 80% limitation. Our state NOLs may also be subject to limitations under state law. For example, California recently enacted legislation suspending the use of NOLs for taxable years 2024, 2025, and 2026 for taxpayers with net business income or modified adjusted gross income of $1 million or more. There is a risk that due to legislative or regulatory changes, or other unforeseen reasons, our existing NOLs or other tax attributes may expire or otherwise be unavailable to reduce or offset future income tax liabilities. For these reasons, we may not be able to realize a tax benefit from the use of our NOLs or other tax attributes, whether or not we attain profitability.</w:t>
      </w:r>
    </w:p>
    <w:p>
      <w:pPr>
        <w:spacing w:after="0" w:line="134"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Further, our ability to utilize our NOLs or other tax attributes is conditioned upon our becoming profitable in the future and generating taxable income. Since we do not know whether or when we will generate the taxable income necessary to utilize our remaining NOLs, the portion of our NOLs or other tax attributes that cannot be carried forward indefinitely may expire unused.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Macroeconomic Risks</w:t>
      </w:r>
    </w:p>
    <w:p>
      <w:pPr>
        <w:spacing w:after="0" w:line="17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deterioration of macroeconomic conditions may adversely affect our members, which may adversely affect our business, financial condition, and results of operations.</w:t>
      </w:r>
    </w:p>
    <w:p>
      <w:pPr>
        <w:spacing w:after="0" w:line="105" w:lineRule="exact"/>
        <w:rPr>
          <w:sz w:val="20"/>
          <w:szCs w:val="20"/>
          <w:color w:val="auto"/>
        </w:rPr>
      </w:pPr>
    </w:p>
    <w:p>
      <w:pPr>
        <w:ind w:right="520" w:firstLine="324"/>
        <w:spacing w:after="0" w:line="266" w:lineRule="auto"/>
        <w:rPr>
          <w:sz w:val="20"/>
          <w:szCs w:val="20"/>
          <w:color w:val="auto"/>
        </w:rPr>
      </w:pPr>
      <w:r>
        <w:rPr>
          <w:rFonts w:ascii="Times New Roman" w:cs="Times New Roman" w:eastAsia="Times New Roman" w:hAnsi="Times New Roman"/>
          <w:sz w:val="18"/>
          <w:szCs w:val="18"/>
          <w:color w:val="auto"/>
        </w:rPr>
        <w:t>Our performance is subject to macroeconomic conditions that are beyond our control and the impact of such conditions on levels of earning and spending by our Active Members. Such macroeconomic factors include interest rates, the rate of inflation, unemployment levels, the availability of government stimulus and unemployment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20"/>
          </w:cols>
          <w:pgMar w:left="320" w:top="124" w:right="359" w:bottom="1440" w:gutter="0" w:footer="0" w:header="0"/>
        </w:sectPr>
      </w:pPr>
    </w:p>
    <w:bookmarkStart w:id="69" w:name="page70"/>
    <w:bookmarkEnd w:id="69"/>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compensation payments, the impact of a federal government shutdown, natural disasters, health epidemics, gasoline prices, adjustments in monthly payments, adjustable-rate mortgages and other debt payments, and consumer perceptions of economic conditions. While our Active Members use their Chime-branded debit and credit cards for everyday expenses such as food and groceries, gas, and utilities, macroeconomic conditions may impact member behavior and delay or reduce certain spending activity. These macroeconomic factors may also affect our ability to cost-effectively deliver the liquidity products offered through our platform. A deterioration of macroeconomic conditions may therefore cause fluctuations in our performance or adversely affect our business, financial condition, and results of operations.</w:t>
      </w:r>
    </w:p>
    <w:p>
      <w:pPr>
        <w:spacing w:after="0" w:line="129"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Environmental, social and governance (“ESG”) issues may harm our brand and adversely affect our business, financial condition, and results of operations.</w:t>
      </w:r>
    </w:p>
    <w:p>
      <w:pPr>
        <w:spacing w:after="0" w:line="105"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Regulators, members, investors and investor advocacy groups, employees, and other stakeholders have focused on ESG practices, including with respect to climate change, talent, security, privacy, data protection, and data security. If we do not adapt to and comply with new laws and regulations or changes to legal or regulatory requirements concerning ESG matters, fail to meet rapidly evolving investor, industry, or stakeholder expectations and standards, or are perceived to not have responded appropriately to growing concerns with respect to ESG issues, our brand may be harmed, members may choose to refrain from using our products, we may be subject to fines, penalties, regulatory or other enforcement action, and our business, financial condition, and results of operations may be adversely affected.</w:t>
      </w:r>
    </w:p>
    <w:p>
      <w:pPr>
        <w:spacing w:after="0" w:line="12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financial condition, and results of operations may be adversely affected by natural disasters, public health crises, political crises, or other unexpected events.</w:t>
      </w:r>
    </w:p>
    <w:p>
      <w:pPr>
        <w:spacing w:after="0" w:line="10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 significant natural disaster, such as an earthquake, fire, hurricane, tornado, flood, or significant power outage, may disrupt our operations, mobile networks, the internet, or the operations of our bank partners or third-party service providers, and the impact of climate change may increase these risks. In particular, our corporate headquarters are located in the San Francisco Bay Area, a region known for seismic activity and increasingly for the threat of fires. In addition, any public health crises, such as the COVID-19 pandemic or other epidemics, political crises, terrorist attacks, war and other political or social instability, and other geopolitical developments, or other catastrophic events, whether in the United States or abroad, may adversely affect our operations or macroeconomic conditions. The impact of any natural disaster, act of terrorism, or other disruption to us, our bank partners, or other third parties may result system interruptions, reputational harm, delays in our application development, lengthy interruptions in our products, data breaches, malware, and other security or hacking incidents, all of which may adversely affect our business, financial condition, and results of operations. All of the aforementioned risks may be further increased if our disaster recovery plans prove to be inadequate. Further, the insurance we maintain may be insufficient to cover our losses resulting from such business interruptions, and any incidents may result in loss of, or increased costs of, such insurance.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71" w:lineRule="exact"/>
        <w:rPr>
          <w:sz w:val="20"/>
          <w:szCs w:val="20"/>
          <w:color w:val="auto"/>
        </w:rPr>
      </w:pPr>
    </w:p>
    <w:p>
      <w:pPr>
        <w:jc w:val="both"/>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Upon completion of this offering, our executive officers, directors and holders of 5% or more of our common stock will collectively beneficially own approximately % of the outstanding shares of our common stock and continue to have substantial control over us, which will limit your ability to influence the outcome of important transactions, including a change in control.</w:t>
      </w:r>
    </w:p>
    <w:p>
      <w:pPr>
        <w:spacing w:after="0" w:line="121"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Upon completion of this offering, our executive officers, directors, and our stockholders who own 5% or more of our outstanding common stock and their affiliates, in the aggregate, will beneficially own approximately % of the outstanding shares of our common stock. As a result, these stockholders, if acting together, will be able to influence or control matters requiring approval by our stockholders, including the election of directors and the approval of mergers, acquisitions, or other extraordinary transactions. They may also have interests that differ from yours and may vote in a way with which you disagree, and which may be adverse to your interests. This concentration of ownership may have the effect of delaying, preventing, or deterring a change in control of our company, may deprive our stockholders of an opportunity to receive a premium for their common stock as part of a sale of our company and may ultimately affect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20"/>
          </w:cols>
          <w:pgMar w:left="320" w:top="124" w:right="359" w:bottom="1440" w:gutter="0" w:footer="0" w:header="0"/>
        </w:sectPr>
      </w:pPr>
    </w:p>
    <w:bookmarkStart w:id="70" w:name="page71"/>
    <w:bookmarkEnd w:id="70"/>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has been no prior public trading market for our common stock, and an active trading market may not develop or be sustained following this offering.</w:t>
      </w:r>
    </w:p>
    <w:p>
      <w:pPr>
        <w:spacing w:after="0" w:line="10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intend to apply to list our common stock on Nasdaq Global Select Market under the symbol “CHYM”. However, prior to this offering, there has been no public trading market for our common stock. We cannot assure you that an active trading market for our common stock will develop on such exchange or elsewhere or, if developed, that any market will be sustained. The initial public offering price of our common stock will be determined through negotiation between us and the underwriters. This price will not necessarily reflect the price at which investors in the market will be willing to buy and sell shares of our common stock following this offering.</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and you may lose all or part of your investment.</w:t>
      </w:r>
    </w:p>
    <w:p>
      <w:pPr>
        <w:spacing w:after="0" w:line="175"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following this offering may fluctuate substantially, depending on a number of factors, many of which are beyond our control and may not be related to our operating performance. These fluctuations may cause you to lose all or part of your investment in our common stock. Factors that may cause fluctuations in the market price of our common stock include the following:</w:t>
      </w:r>
    </w:p>
    <w:p>
      <w:pPr>
        <w:spacing w:after="0" w:line="122" w:lineRule="exact"/>
        <w:rPr>
          <w:sz w:val="20"/>
          <w:szCs w:val="20"/>
          <w:color w:val="auto"/>
        </w:rPr>
      </w:pPr>
    </w:p>
    <w:p>
      <w:pPr>
        <w:ind w:left="660" w:right="64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 including fluctuations due to general economic uncertainty or negative market sentiment;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market and trading volumes of technology and financial services stocks;</w:t>
      </w:r>
    </w:p>
    <w:p>
      <w:pPr>
        <w:spacing w:after="0" w:line="17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operating performance and stock market valuations of other technology or financial services companies generally, or those in our industry in particular;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our common stock by us or our stockholders, as well as the anticipation of lock-up releases;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us or other companies in our industry;</w:t>
      </w:r>
    </w:p>
    <w:p>
      <w:pPr>
        <w:spacing w:after="0" w:line="171"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maintain coverage of us, changes in financial estimates by securities analysts who follow our company, or our failure to meet these estimates or the expectations of investors;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significant data breaches involving our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or non-financial projections we may provide to the public, any changes in those projections or our failure to meet those projections;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data published about us or other companies in our industry, whether or not such data is accurate;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other public announcements, and filings with the SEC;</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trading volume of shares of our common stock or the size of our public float;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selling of our common stock or related derivative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or fluctuations in our results of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our business, our competitors’ businesses, or the competitive landscape generally;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issuance of shares of our common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regulatory action involving us, our industry or both, or investigations by regulators into our operations or those of our competitors;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or other proprietary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20"/>
          </w:cols>
          <w:pgMar w:left="320" w:top="124" w:right="359" w:bottom="1440" w:gutter="0" w:footer="0" w:header="0"/>
        </w:sectPr>
      </w:pPr>
    </w:p>
    <w:bookmarkStart w:id="71" w:name="page72"/>
    <w:bookmarkEnd w:id="71"/>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acquisitions of businesses or technologies, or similar strategic transactions, by us or our competitors;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our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catastrophic events such as war, incidents of terrorism, pandemics, or responses to such events;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change in our management;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slow or negative growth of our markets.</w:t>
      </w:r>
    </w:p>
    <w:p>
      <w:pPr>
        <w:spacing w:after="0" w:line="171"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In addition, if the market for technology stocks or the stock market in general experiences a loss of investor confidence, the market price of our common stock may decline for reasons unrelated to our business, financial condition, or results of operations. The market price of our common stock may also decline in reaction to events that affect other companies in our industry even if these events do not directly affect us. Accordingly, we cannot assure you of the liquidity of any trading market, your ability to sell your shares of our common stock when desired, or the prices that you may obtain for your shares of our common stock.</w:t>
      </w:r>
    </w:p>
    <w:p>
      <w:pPr>
        <w:spacing w:after="0" w:line="129"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In the past, stockholders have initiated securities class action lawsuits against companies following periods of stock price volatility. If the market price of our common stock is volatile, we may become the target of securities litigation. Such litigation may subject us to substantial costs, divert resources and management’s attention, and adversely affect our business, financial condition, and results of operations.</w:t>
      </w:r>
    </w:p>
    <w:p>
      <w:pPr>
        <w:spacing w:after="0" w:line="118"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substantial portion of the outstanding shares of our common stock after this offering will be restricted from immediate resale but may be sold in the near future. The large number of shares eligible for public sale or subject to rights requiring us to register them for public sale may depress the market price of our common stock.</w:t>
      </w:r>
    </w:p>
    <w:p>
      <w:pPr>
        <w:spacing w:after="0" w:line="12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market price of our common stock may decline due to sales of a large number of shares of our common stock in the market after this offering. The potential for such sales to occur may also depress the market price of our common stock. Following the completion of this offering, based on shares of our common stock outstanding as of December 31, 2024 (including the Preferred Stock Conversions and the RSU Settlement), we will have a total of shares of common stock outstanding. Our directors, executive officers, and the holders of substantially all of our capital stock and securities convertible into or exchangeable for our capital stock have entered into market standoff agreements with us or have entered or will enter into lock-up agreements with</w:t>
      </w:r>
    </w:p>
    <w:p>
      <w:pPr>
        <w:spacing w:after="0" w:line="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underwriters under which they have agreed or will agree, subject to specific exceptions, not to sell any shares of our common stock for days following the date of this prospectus. We and may release stockholders from the market standoff agreements or lock-up agreements prior to the end of the lock-up period. See the section titled “Shares Eligible for Future Sale” for additional information.</w:t>
      </w:r>
    </w:p>
    <w:p>
      <w:pPr>
        <w:spacing w:after="0" w:line="132"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As a result of these market standoff and lock-up agreements and the provisions of our amended and restated investors’ rights agreement, dated as of August 9, 2021 (our “IRA”), and subject to the provisions of Rule 144 or Rule 701, shares of our common stock will be available for sale in the public market as follows:</w:t>
      </w:r>
    </w:p>
    <w:p>
      <w:pPr>
        <w:spacing w:after="0" w:line="122" w:lineRule="exact"/>
        <w:rPr>
          <w:sz w:val="20"/>
          <w:szCs w:val="20"/>
          <w:color w:val="auto"/>
        </w:rPr>
      </w:pPr>
    </w:p>
    <w:p>
      <w:pPr>
        <w:ind w:left="660" w:right="18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on the date of this prospectus, all shares of our common stock sold in this offering will be immediately available for sale in the public market; and</w:t>
      </w:r>
    </w:p>
    <w:p>
      <w:pPr>
        <w:spacing w:after="0" w:line="108" w:lineRule="exact"/>
        <w:rPr>
          <w:sz w:val="20"/>
          <w:szCs w:val="20"/>
          <w:color w:val="auto"/>
        </w:rPr>
      </w:pPr>
    </w:p>
    <w:p>
      <w:pPr>
        <w:ind w:left="660" w:right="120" w:hanging="323"/>
        <w:spacing w:after="0" w:line="275" w:lineRule="auto"/>
        <w:tabs>
          <w:tab w:leader="none" w:pos="640" w:val="left"/>
        </w:tabs>
        <w:rPr>
          <w:sz w:val="20"/>
          <w:szCs w:val="20"/>
          <w:color w:val="auto"/>
        </w:rPr>
      </w:pPr>
      <w:r>
        <w:rPr>
          <w:rFonts w:ascii="Times New Roman" w:cs="Times New Roman" w:eastAsia="Times New Roman" w:hAnsi="Times New Roman"/>
          <w:sz w:val="18"/>
          <w:szCs w:val="18"/>
          <w:color w:val="auto"/>
        </w:rPr>
        <w:t>•</w:t>
        <w:tab/>
        <w:t>beginning days after the date of this prospectus, subject to the terms of the lock-up and market standoff agreements described above, the shares of our common stock will become eligible for sale in the public market, subject in some cases to the volume and other restrictions of Rule 144</w:t>
      </w:r>
    </w:p>
    <w:p>
      <w:pPr>
        <w:spacing w:after="0" w:line="336" w:lineRule="exact"/>
        <w:rPr>
          <w:sz w:val="20"/>
          <w:szCs w:val="20"/>
          <w:color w:val="auto"/>
        </w:rPr>
      </w:pPr>
    </w:p>
    <w:p>
      <w:pPr>
        <w:ind w:right="20" w:firstLine="324"/>
        <w:spacing w:after="0" w:line="263" w:lineRule="auto"/>
        <w:rPr>
          <w:sz w:val="20"/>
          <w:szCs w:val="20"/>
          <w:color w:val="auto"/>
        </w:rPr>
      </w:pPr>
      <w:r>
        <w:rPr>
          <w:rFonts w:ascii="Times New Roman" w:cs="Times New Roman" w:eastAsia="Times New Roman" w:hAnsi="Times New Roman"/>
          <w:sz w:val="18"/>
          <w:szCs w:val="18"/>
          <w:color w:val="auto"/>
        </w:rPr>
        <w:t>Upon completion of this offering, stockholders owning an aggregate of up to shares of our common stock will be entitled, under our IRA, to demand registration rights. In addition, we intend to file a registration statement to register shares reserved for future issuance under our equity compensation plans. Upon effectiveness of that registration statement, subject to the satisfaction of applicable exercise periods and the expiration or waiver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00"/>
          </w:cols>
          <w:pgMar w:left="320" w:top="124" w:right="379" w:bottom="1440" w:gutter="0" w:footer="0" w:header="0"/>
        </w:sectPr>
      </w:pPr>
    </w:p>
    <w:bookmarkStart w:id="72" w:name="page73"/>
    <w:bookmarkEnd w:id="72"/>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market standoff agreements and lock-up agreements referred to above, the shares issued upon exercise of outstanding stock options will be available for immediate resale in the United States in the open market.</w:t>
      </w:r>
    </w:p>
    <w:p>
      <w:pPr>
        <w:spacing w:after="0" w:line="16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Sales of our common stock as restrictions end or pursuant to registration rights may make it more difficult for us to sell equity securities in the future at a time and at a price that we deem appropriate. These sales may also cause the market price of our common stock to fall and make it more difficult for you to sell shares of our common stock.</w:t>
      </w:r>
    </w:p>
    <w:p>
      <w:pPr>
        <w:spacing w:after="0" w:line="11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issuance of additional stock in connection with financings, acquisitions, investments, our equity incentive plans, or otherwise will dilute all other stockholders.</w:t>
      </w:r>
    </w:p>
    <w:p>
      <w:pPr>
        <w:spacing w:after="0" w:line="105"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that will become effective immediately prior to the completion of this offering authorizes us to issue up to shares of common stock and up to shares of preferred stock with such rights and preferences as may be determined by our board of directors. Subject to compliance with applicable rules and regulations, we may issue shares of common stock or securities convertible into shares of our common stock from time to time in connection with a financing, acquisition, investment, our equity incentive plans, or otherwise. Any such issuances may result in substantial dilution to our existing stockholders and cause the market price of our common stock to decline.</w:t>
      </w:r>
    </w:p>
    <w:p>
      <w:pPr>
        <w:spacing w:after="0" w:line="12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10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do not anticipate paying cash dividends in the foreseeable future. We currently intend to retain future earnings, if any, to fund the development and growth of our business. In addition, our credit facility contains, and any future credit facility or financing we obtain may contain, terms limiting the amount of cash dividends that may be declared or paid on our common stock. Any future determination to pay cash dividends will be at the discretion of our board of directors and will be dependent upon our financial condition, results of operations, capital requirements, and applicable contractual restrictions. As a result, stockholders should rely on sales of their common stock after price appreciation, if any, as the only way to realize any future gains on their investment.</w:t>
      </w:r>
    </w:p>
    <w:p>
      <w:pPr>
        <w:spacing w:after="0" w:line="129"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Delaware law and provisions in our amended and restated certificate of incorporation and amended and restated bylaws may make a merger, tender offer, or proxy contest difficult, thereby depressing the market price of our common stock.</w:t>
      </w:r>
    </w:p>
    <w:p>
      <w:pPr>
        <w:spacing w:after="0" w:line="105"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date of the transaction in which the person became an interested stockholder, even if a change of control would be beneficial to our existing stockholders. In addition, our amended and restated certificate of incorporation and amended and restated bylaws will contain provisions that may make the acquisition of our company more difficult, including the following:</w:t>
      </w:r>
    </w:p>
    <w:p>
      <w:pPr>
        <w:spacing w:after="0" w:line="129"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vacancies on our board of directors will be able to be filled only by our board of directors and not by stockholders;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will be classified into three classes of directors with staggered three-year terms;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will only be able to take action at a meeting of stockholders and will not be able to take action by written consent for any matter;</w:t>
      </w:r>
    </w:p>
    <w:p>
      <w:pPr>
        <w:spacing w:after="0" w:line="171"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special meeting of our stockholders will only be able to be called by a majority of our board of directors, the chairperson of our board of directors, or our Chief Executive Officer;</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will apply for stockholders to nominate candidates for election as directors or to bring matters before an annual meeting of stockholders;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amended and restated certificate of incorporation will not provide for cumulative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20"/>
          </w:cols>
          <w:pgMar w:left="320" w:top="124" w:right="359" w:bottom="1440" w:gutter="0" w:footer="0" w:header="0"/>
        </w:sectPr>
      </w:pPr>
    </w:p>
    <w:bookmarkStart w:id="73" w:name="page74"/>
    <w:bookmarkEnd w:id="73"/>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amended and restated certificate of incorporation will allow stockholders to remove directors only for cause;</w:t>
      </w:r>
    </w:p>
    <w:p>
      <w:pPr>
        <w:spacing w:after="0" w:line="17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amendments to our amended and restated certificate of incorporation will require the approval of the holders of at least two-thirds of our then-outstanding common stock;</w:t>
      </w:r>
    </w:p>
    <w:p>
      <w:pPr>
        <w:spacing w:after="0" w:line="107"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amended and restated certificate of incorporation will authorize undesignated preferred stock, the terms of which may be established and shares of which may be issued by our board of directors, without further action by our stockholders;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litigation against us will only be able to be brought in Delaware.</w:t>
      </w:r>
    </w:p>
    <w:p>
      <w:pPr>
        <w:spacing w:after="0" w:line="171" w:lineRule="exact"/>
        <w:rPr>
          <w:sz w:val="20"/>
          <w:szCs w:val="20"/>
          <w:color w:val="auto"/>
        </w:rPr>
      </w:pPr>
    </w:p>
    <w:p>
      <w:pPr>
        <w:jc w:val="both"/>
        <w:ind w:right="140" w:firstLine="324"/>
        <w:spacing w:after="0" w:line="261" w:lineRule="auto"/>
        <w:rPr>
          <w:sz w:val="20"/>
          <w:szCs w:val="20"/>
          <w:color w:val="auto"/>
        </w:rPr>
      </w:pPr>
      <w:r>
        <w:rPr>
          <w:rFonts w:ascii="Times New Roman" w:cs="Times New Roman" w:eastAsia="Times New Roman" w:hAnsi="Times New Roman"/>
          <w:sz w:val="18"/>
          <w:szCs w:val="18"/>
          <w:color w:val="auto"/>
        </w:rPr>
        <w:t>These provisions, alone or together, may discourage, delay, or prevent a transaction involving a change in control of our company. These provisions may also discourage proxy contests and make it more difficult for stockholders to elect directors of their choosing and to cause us to take other corporate actions they desire, any of which may limit the opportunity for our stockholders to receive a premium for their shares of our common stock, and may also affect the market price of our common stock.</w:t>
      </w:r>
    </w:p>
    <w:p>
      <w:pPr>
        <w:spacing w:after="0" w:line="12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will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each of which may limit our stockholders’ ability to choose the judicial forum for disputes with us or our directors, officers, stockholders, or employees.</w:t>
      </w:r>
    </w:p>
    <w:p>
      <w:pPr>
        <w:spacing w:after="0" w:line="126"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Our amended and restated bylaws, which will become effective immediately prior to the completion of this offering, will provide that, unless we consent in writing to the selection of an alternative forum, the sole and exclusive forum for (1) any derivative action, suit, or proceeding brought on our behalf, (2) any action, suit, or proceeding asserting a claim of breach of a fiduciary duty owed by any of our current or former directors, stockholders, officers, or other employees to us or our stockholders, (3) any action, suit, or proceeding asserting a claim against us or any current or former director, stockholder, officer, or other employee of our company arising pursuant to any provision of the DGCL, our certificate of incorporation or our bylaws, (4) any other action, suit, or proceeding as to which the DGCL confers jurisdiction on the Court of Chancery, or (5) any action, suit, or proceeding asserting a claim against us or any current or former director, stockholder, officer, or other employee of our company governed by the internal affairs doctrine shall be the Court of Chancery of the State of Delaware, except for any claim as to which such court determines that there is an indispensable party not subject to the jurisdiction of such court (and the indispensable party does not consent to the personal jurisdiction of such court within ten days following such determination). This provision would not apply to any action brought to enforce a duty or liability created by the Exchange Act and the rules and regulations thereunder.</w:t>
      </w:r>
    </w:p>
    <w:p>
      <w:pPr>
        <w:spacing w:after="0" w:line="138"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Section 22 of the Securities Act establishes concurrent jurisdiction for federal and state courts over Securities Act claims. Accordingly, both state and federal courts have jurisdiction to hear such claims. To prevent having to litigate claims in multiple jurisdictions and the threat of inconsistent or contrary rulings by different courts, among other considerations, our amended and restated bylaws will also provide that, unless we consent in writing to the selection of an alternative forum, the federal district courts of the United States will be the sole and exclusive forum for resolving any complaint asserting a cause of action arising under the Securities Act.</w:t>
      </w:r>
    </w:p>
    <w:p>
      <w:pPr>
        <w:spacing w:after="0" w:line="1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our current or former directors, officers, stockholders, or other employees, which may discourage lawsuits with respect to such claims against us and our current and former directors, officers, stockholders, or other employees. Our stockholders will not be deemed to have waived our compliance with the federal securities laws and the rules and regulations thereunder as a result of our exclusive forum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20"/>
          </w:cols>
          <w:pgMar w:left="320" w:top="124" w:right="359" w:bottom="1440" w:gutter="0" w:footer="0" w:header="0"/>
        </w:sectPr>
      </w:pPr>
    </w:p>
    <w:bookmarkStart w:id="74" w:name="page75"/>
    <w:bookmarkEnd w:id="74"/>
    <w:p>
      <w:pPr>
        <w:jc w:val="center"/>
        <w:ind w:right="-5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Further, the enforceability of similar exclusive forum provisions in other companies’ organizational documents has been challenged in legal proceedings, and it is possible that a court of law may rule that these types of provisions are inapplicable or unenforceable if they are challenged in a proceeding or otherwise. If a court were to find either exclusive forum provision contained in our amended and restated bylaws to be inapplicable or unenforceable in an action, we may incur significant additional costs associated with resolving such dispute, as well as resolving such action in other jurisdictions, all of which may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720"/>
          </w:cols>
          <w:pgMar w:left="320" w:top="124" w:right="859" w:bottom="1440" w:gutter="0" w:footer="0" w:header="0"/>
        </w:sectPr>
      </w:pPr>
    </w:p>
    <w:bookmarkStart w:id="75" w:name="page76"/>
    <w:bookmarkEnd w:id="75"/>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This prospectus contains forward-looking statements within the meaning of the federal securities laws, which statements involve substantial risks and uncertainties. Forward-looking statements generally relate to future events or our future financial or operating performance. In some cases, you can identify forward-looking statements because they contain words such as “may,” “will,” “shall,” “should,” “expect,” “plan,” “anticipate,” “could,” “intend,” “target,” “project,” “contemplate,” “believe,” “estimate,” “predict,” “potential” “goal,” “objective,” “seek,” or “continue,” or the negative of any of these words or other similar terms or expressions that concern our expectations, strategy, plans or intentions. Forward-looking statements contained in this prospectus include, but are not limited to, statements about:</w:t>
      </w:r>
    </w:p>
    <w:p>
      <w:pPr>
        <w:spacing w:after="0" w:line="133" w:lineRule="exact"/>
        <w:rPr>
          <w:sz w:val="20"/>
          <w:szCs w:val="20"/>
          <w:color w:val="auto"/>
        </w:rPr>
      </w:pPr>
    </w:p>
    <w:p>
      <w:pPr>
        <w:ind w:left="660" w:right="360" w:hanging="328"/>
        <w:spacing w:after="0" w:line="28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including our expectations regarding our revenue, cost of revenue and operating expenses, and our ability to achieve and maintain future profitability;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execute our business and growth strategy;</w:t>
      </w:r>
    </w:p>
    <w:p>
      <w:pPr>
        <w:spacing w:after="0" w:line="17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Active Members and maintain and increase their engagement with our platform and their Purchase Volume, as well as our ARPAM;</w:t>
      </w:r>
    </w:p>
    <w:p>
      <w:pPr>
        <w:spacing w:after="0" w:line="107"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cash, cash equivalents, and investments and amounts available under our credit facility to meet our working capital and liquidity needs;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and bring them to market in a timely manner and make enhancements to current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existing and new competitors in existing and new markets;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compliance with and the effects of existing and developing laws and regulations, including with respect to financial services and privacy and data protection;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risk associated with our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new and evolving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protect our brand;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security and availability of our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and management of future growth;</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concerning our bank partners and other third-party service providers;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increased expenses associated with being a public company;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uses of net proceeds from this offering.</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caution you that the foregoing list may not contain all of the forward-looking statements made in this prospectus.</w:t>
      </w:r>
    </w:p>
    <w:p>
      <w:pPr>
        <w:spacing w:after="0" w:line="171"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have based the forward-looking statements contained in this prospectus primarily on our current expectations, estimates, forecasts, and projections about future events and trends that we believe may affect our business, financial condition, results of operations, and prospects. The outcome of the events described in these forward-looking statements is subject to risks, uncertainties, and other factors, including those described in the section titled “Risk Factors” and elsewhere in this prospectus. Moreover, we operate in a very competitive and rapidly changing environment. New risks and uncertainties emerge from time to time and it is not possible for us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20"/>
          </w:cols>
          <w:pgMar w:left="320" w:top="124" w:right="359" w:bottom="1440" w:gutter="0" w:footer="0" w:header="0"/>
        </w:sectPr>
      </w:pPr>
    </w:p>
    <w:bookmarkStart w:id="76" w:name="page77"/>
    <w:bookmarkEnd w:id="76"/>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predict all risks and uncertainties that could have an impact on the forward-looking statements contained in this prospectus. Although we believe that we have a reasonable basis for each forward-looking statement contained in this prospectus, we cannot assure you that the future results, events, and circumstances reflected in the forward-looking statements will be achieved or occur at all, and actual future results, events, and circumstances could differ materially from those described in the forward-looking statements. Accordingly, you should not place undue reliance upon forward-looking statements as predictions of future events.</w:t>
      </w:r>
    </w:p>
    <w:p>
      <w:pPr>
        <w:spacing w:after="0" w:line="1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Neither we nor any other person assumes responsibility for the accuracy and completeness of any of these forward-looking statements. Moreover, the forward-looking statements made in this prospectus relate only to our expectations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w:t>
      </w:r>
    </w:p>
    <w:p>
      <w:pPr>
        <w:spacing w:after="0" w:line="12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00"/>
          </w:cols>
          <w:pgMar w:left="320" w:top="124" w:right="379" w:bottom="1440" w:gutter="0" w:footer="0" w:header="0"/>
        </w:sectPr>
      </w:pPr>
    </w:p>
    <w:bookmarkStart w:id="77" w:name="page78"/>
    <w:bookmarkEnd w:id="77"/>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INDUSTRY, MARKET, AND OTHER DATA</w:t>
      </w:r>
    </w:p>
    <w:p>
      <w:pPr>
        <w:spacing w:after="0" w:line="17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Unless otherwise indicated, estimates and information contained in this prospectus concerning our industry and the market in which we operate, including our general expectations, market position, market opportunity, and market size, are based on industry publications and reports generated by third-party providers, other publicly available studies, and our internal sources and estimates. This information involves a number of assumptions and limitations, and you are cautioned not to give undue weight to such estimates. Although we are responsible for all of the disclosure contained in this prospectus and we believe the information from the industry publications and other third-party sources included in this prospectus is reliable, we have not independently verified the accuracy or completeness of the data contained in such sources. The content of, or accessibility through, the below sources, except to the extent specifically set forth in this prospectus, does not constitute a portion of this prospectus and is not incorporated herein.</w:t>
      </w:r>
    </w:p>
    <w:p>
      <w:pPr>
        <w:spacing w:after="0" w:line="135"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sources of the statistical data, estimates, and market and industry data contained in this prospectus are identified by superscript notations and are provided below:</w:t>
      </w:r>
    </w:p>
    <w:p>
      <w:pPr>
        <w:spacing w:after="0" w:line="108" w:lineRule="exact"/>
        <w:rPr>
          <w:sz w:val="20"/>
          <w:szCs w:val="20"/>
          <w:color w:val="auto"/>
        </w:rPr>
      </w:pPr>
    </w:p>
    <w:p>
      <w:pPr>
        <w:ind w:left="660" w:right="380" w:hanging="328"/>
        <w:spacing w:after="0" w:line="282"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Financial Protection Bureau, Offices of Markets and Consumer Population, Overdraft/NSF Revenue in 2023 down more than 50% versus pre-pandemic levels, saving consumers over $6 billion annually, April 2024.</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Federal Reserve Bank of St. Louis, FRED Gross Domestic Product Release Tables, Table 1.12 National Income by Type of Income: Annual, 2023.</w:t>
      </w:r>
    </w:p>
    <w:p>
      <w:pPr>
        <w:spacing w:after="0" w:line="182"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 Vector LLC, Chime vs. Traditional Retail Banking Study, January 2025, a third-party research study commissioned by Chime.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HSN Consultants, Inc. dba Nilson Report, Nilson Report, Issue 1262, April 2024.</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J.D. Power, Retail Bank Customer Satisfaction Holds Steady but Trust Declines, J.D. Power Finds, March 2024.</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NerdWallet, Survey: 4 in 5 Americans Are Trying to Improve Their Credit, November 2023.</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S&amp;P Capital IQ Pro.</w:t>
      </w:r>
    </w:p>
    <w:p>
      <w:pPr>
        <w:spacing w:after="0" w:line="17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TransUnion, More than 45 Million Americans are Either Credit Unserved or Underserved; Approximately 20% Migrate to Being Credit Active Every Two Years, April 2022.</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Bureau of Labor Statistics, Length of pay periods in the Current Employment Statistics survey, August 2023.</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Census Bureau, Current Population Survey, 2024 Annual Social and Economic Supplement (CPS ASEC), 2024.</w:t>
      </w:r>
    </w:p>
    <w:p>
      <w:pPr>
        <w:spacing w:after="0" w:line="171"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also refer to data from and the results of various surveys that we conduct or commission from time to time. The Banking and Switcher Survey is a Chime commissioned third-party survey conducted in July 2024 targeting Americans aged 18 to 54 years with a household income up to $100,000 who opened or switched to a new direct deposit account in the preceding 12-month period. The Brand Awareness Survey is a Chime commissioned third-party survey that is regularly conducted targeting Americans aged 18 to 54 years with a household income up to $100,000. The Chime Financial Progress Survey is a Chime survey conducted in July 2024 of members who direct deposit through Chime. The Chime MyPay Surveys are surveys conducted by Chime between August to September 2024 of members who received at least one MyPay advance in July 2024. The Enrollment Surveys are Chime commissioned third-party surveys of newly enrolled members three days after their enrollment regularly conducted since January 2024. The Experian Study is a Chime commissioned study conducted by Experian in January 2024 measuring FICO Score 8 improvements of Chime members who made their first purchase with the Chime Credit Builder secured credit card between June and October 2022. The Service NPS Surveys are Chime commissioned third-party surveys of members conducted on a rolling basis to measure the satisfaction of our members 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20"/>
          </w:cols>
          <w:pgMar w:left="320" w:top="124" w:right="359" w:bottom="1440" w:gutter="0" w:footer="0" w:header="0"/>
        </w:sectPr>
      </w:pPr>
    </w:p>
    <w:bookmarkStart w:id="78" w:name="page79"/>
    <w:bookmarkEnd w:id="78"/>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member support interactions. Member support satisfaction is measured by a Service Net Promoter Score (“sNPS”), which is calculated by taking the percentage of 4 or 5 star member responses on a 1 to 5 star scale and subtracting the percentage of 1 or 2 star member responses.</w:t>
      </w:r>
    </w:p>
    <w:p>
      <w:pPr>
        <w:spacing w:after="0" w:line="108"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industry in which we operate is subject to a high degree of uncertainty and risk due to a variety of factors, including those described in the section titled “Risk Factors” and elsewhere in this prospectus. These and other factors could cause results to differ materially from those expressed in the survey results and estimates made by the aforementioned third parties and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60"/>
          </w:cols>
          <w:pgMar w:left="320" w:top="124" w:right="419" w:bottom="1440" w:gutter="0" w:footer="0" w:header="0"/>
        </w:sectPr>
      </w:pPr>
    </w:p>
    <w:bookmarkStart w:id="79" w:name="page80"/>
    <w:bookmarkEnd w:id="79"/>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5" w:lineRule="exact"/>
        <w:rPr>
          <w:sz w:val="20"/>
          <w:szCs w:val="20"/>
          <w:color w:val="auto"/>
        </w:rPr>
      </w:pPr>
    </w:p>
    <w:p>
      <w:pPr>
        <w:ind w:right="300" w:firstLine="324"/>
        <w:spacing w:after="0" w:line="258" w:lineRule="auto"/>
        <w:rPr>
          <w:sz w:val="20"/>
          <w:szCs w:val="20"/>
          <w:color w:val="auto"/>
        </w:rPr>
      </w:pPr>
      <w:r>
        <w:rPr>
          <w:rFonts w:ascii="Times New Roman" w:cs="Times New Roman" w:eastAsia="Times New Roman" w:hAnsi="Times New Roman"/>
          <w:sz w:val="18"/>
          <w:szCs w:val="18"/>
          <w:color w:val="auto"/>
        </w:rPr>
        <w:t>We estimate that the net proceeds to us from the sale of shares of our common stock in this offering will be approximately $ , based upon the assumed initial public offering price of $ per share, which is the midpoint of the estimated offering price range set forth on the cover page of this prospectus, and after deducting estimated underwriting discounts and commissions and estimated offering expenses payable by us. If the underwriters’ option to purchase additional shares of our common stock from us is exercised in full, we estimate that the net proceeds to us would be approximately $ , after deducting estimated underwriting discounts and commissions and estimated offering expenses payable by us.</w:t>
      </w:r>
    </w:p>
    <w:p>
      <w:pPr>
        <w:spacing w:after="0" w:line="12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Each $1.00 increase or decrease in the assumed initial public offering price of $ per share, which is the midpoint of the estimated offering price range set forth on the cover page of this prospectus, would increase or decrease, as applicable, the net proceeds that we receive from this offering by approximately $ , assuming that the number of shares offered by us, as set forth on the cover page of this prospectus, remains the same and after deducting the estimated underwriting discounts and commissions payable by us. Similarly, each increase or decrease of 1.0 million in the number of shares of our common stock offered by us would increase or decrease, as applicable, the net proceeds that we receive from this offering by approximately $ , assuming the assumed initial public offering price remains the same and after deducting the estimated underwriting discounts and commissions payable by us.</w:t>
      </w:r>
    </w:p>
    <w:p>
      <w:pPr>
        <w:spacing w:after="0" w:line="349" w:lineRule="exact"/>
        <w:rPr>
          <w:sz w:val="20"/>
          <w:szCs w:val="20"/>
          <w:color w:val="auto"/>
        </w:rPr>
      </w:pPr>
    </w:p>
    <w:p>
      <w:pPr>
        <w:jc w:val="both"/>
        <w:ind w:right="360" w:firstLine="324"/>
        <w:spacing w:after="0" w:line="282" w:lineRule="auto"/>
        <w:rPr>
          <w:sz w:val="20"/>
          <w:szCs w:val="20"/>
          <w:color w:val="auto"/>
        </w:rPr>
      </w:pPr>
      <w:r>
        <w:rPr>
          <w:rFonts w:ascii="Times New Roman" w:cs="Times New Roman" w:eastAsia="Times New Roman" w:hAnsi="Times New Roman"/>
          <w:sz w:val="18"/>
          <w:szCs w:val="18"/>
          <w:color w:val="auto"/>
        </w:rPr>
        <w:t>The principal purposes of this offering are to increase our capitalization and financial flexibility, create a public market for our common stock, and enable access to the public equity markets for us and our stockholders.</w:t>
      </w:r>
    </w:p>
    <w:p>
      <w:pPr>
        <w:spacing w:after="0" w:line="108" w:lineRule="exact"/>
        <w:rPr>
          <w:sz w:val="20"/>
          <w:szCs w:val="20"/>
          <w:color w:val="auto"/>
        </w:rPr>
      </w:pPr>
    </w:p>
    <w:p>
      <w:pPr>
        <w:jc w:val="both"/>
        <w:ind w:right="360" w:firstLine="324"/>
        <w:spacing w:after="0" w:line="266" w:lineRule="auto"/>
        <w:rPr>
          <w:sz w:val="20"/>
          <w:szCs w:val="20"/>
          <w:color w:val="auto"/>
        </w:rPr>
      </w:pPr>
      <w:r>
        <w:rPr>
          <w:rFonts w:ascii="Times New Roman" w:cs="Times New Roman" w:eastAsia="Times New Roman" w:hAnsi="Times New Roman"/>
          <w:sz w:val="18"/>
          <w:szCs w:val="18"/>
          <w:color w:val="auto"/>
        </w:rPr>
        <w:t>We intend to use the net proceeds we receive from this offering for general corporate purposes, including working capital, operating expenses, and capital expenditures. Additionally, we may use a portion of the net proceeds we receive from this offering to acquire or invest in businesses, products, services, or technologies. However, we do not have agreements or commitments for any material acquisitions or investments at this time.</w:t>
      </w:r>
    </w:p>
    <w:p>
      <w:pPr>
        <w:spacing w:after="0" w:line="122"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We intend to use a portion of the net proceeds we receive from this offering to satisfy our anticipated tax withholding and remittance obligations of $ related to the RSU Settlement. This amount is based upon the assumed initial public offering price of per share, which is the midpoint of the estimated offering price range set forth on the cover page of this prospectus, and an assumed % tax withholding rate. Each $1.00 increase or decrease in the assumed initial public offering price of $ per share, which is the midpoint of the estimated offering price range set forth on the cover page of this</w:t>
      </w:r>
    </w:p>
    <w:p>
      <w:pPr>
        <w:spacing w:after="0" w:line="3"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prospectus, would increase or decrease, as applicable, the amount we would be required to pay to satisfy our tax withholding and remittance obligations related to the RSU Settlement by $ .</w:t>
      </w:r>
    </w:p>
    <w:p>
      <w:pPr>
        <w:spacing w:after="0" w:line="1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cannot further specify with certainty the particular uses of the net proceeds that we will receive from this offering. Accordingly, we will have broad discretion in using these proceeds. Pending the use of proceeds from this offering as described above, we may invest the net proceeds that we receive in this offering in short-term, investment grade, interest-bearing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40"/>
          </w:cols>
          <w:pgMar w:left="320" w:top="124" w:right="339" w:bottom="1440" w:gutter="0" w:footer="0" w:header="0"/>
        </w:sectPr>
      </w:pPr>
    </w:p>
    <w:bookmarkStart w:id="80" w:name="page81"/>
    <w:bookmarkEnd w:id="80"/>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currently intend to retain any future earnings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 In addition, the terms of our credit facility place certain limitations on the amount of cash dividends we can pay, even if no amounts are currently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80"/>
          </w:cols>
          <w:pgMar w:left="320" w:top="124" w:right="399" w:bottom="1440" w:gutter="0" w:footer="0" w:header="0"/>
        </w:sectPr>
      </w:pPr>
    </w:p>
    <w:bookmarkStart w:id="81" w:name="page82"/>
    <w:bookmarkEnd w:id="81"/>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our cash and cash equivalents, as well as our capitalization, as of December 31, 2024 as follows:</w:t>
      </w:r>
    </w:p>
    <w:p>
      <w:pPr>
        <w:spacing w:after="0" w:line="171"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171"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basis, giving effect to (i) the Preferred Stock Conversion, as if such conversion had occurred on December 31, 2024, (ii) the RSU Settlement, as if it had occurred on December 31, 2024, (iii) an increase to additional paid-in capital and accumulated deficit related to stock-based compensation expense of $ million associated with the RSU Settlement, and (iv) the filing and effectiveness of our amended and restated certificate of incorporation in Delaware that will become effective immediately prior to the completion of this offering; and</w:t>
      </w:r>
    </w:p>
    <w:p>
      <w:pPr>
        <w:sectPr>
          <w:pgSz w:w="11900" w:h="16838" w:orient="portrait"/>
          <w:cols w:equalWidth="0" w:num="1">
            <w:col w:w="11240"/>
          </w:cols>
          <w:pgMar w:left="320" w:top="124" w:right="339" w:bottom="1440" w:gutter="0" w:footer="0" w:header="0"/>
        </w:sectPr>
      </w:pP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ind w:right="100" w:hanging="4"/>
        <w:spacing w:after="0" w:line="261" w:lineRule="auto"/>
        <w:rPr>
          <w:sz w:val="20"/>
          <w:szCs w:val="20"/>
          <w:color w:val="auto"/>
        </w:rPr>
      </w:pPr>
      <w:r>
        <w:rPr>
          <w:rFonts w:ascii="Times New Roman" w:cs="Times New Roman" w:eastAsia="Times New Roman" w:hAnsi="Times New Roman"/>
          <w:sz w:val="18"/>
          <w:szCs w:val="18"/>
          <w:color w:val="auto"/>
        </w:rPr>
        <w:t>on a pro forma as adjusted basis, giving effect to (i) the pro forma adjustments set forth above, (ii) the sale and issuance by us of</w:t>
      </w:r>
      <w:r>
        <w:rPr>
          <w:sz w:val="20"/>
          <w:szCs w:val="20"/>
          <w:color w:val="auto"/>
        </w:rPr>
        <w:t xml:space="preserve"> </w:t>
      </w:r>
      <w:r>
        <w:rPr>
          <w:rFonts w:ascii="Times New Roman" w:cs="Times New Roman" w:eastAsia="Times New Roman" w:hAnsi="Times New Roman"/>
          <w:sz w:val="18"/>
          <w:szCs w:val="18"/>
          <w:color w:val="auto"/>
        </w:rPr>
        <w:t>shares of our common stock in this offering, based upon the assumed initial public offering price of $ per share, which is the midpoint of the estimated</w:t>
      </w:r>
    </w:p>
    <w:p>
      <w:pPr>
        <w:spacing w:after="0" w:line="1" w:lineRule="exact"/>
        <w:rPr>
          <w:sz w:val="20"/>
          <w:szCs w:val="20"/>
          <w:color w:val="auto"/>
        </w:rPr>
      </w:pPr>
    </w:p>
    <w:p>
      <w:pPr>
        <w:sectPr>
          <w:pgSz w:w="11900" w:h="16838" w:orient="portrait"/>
          <w:cols w:equalWidth="0" w:num="2">
            <w:col w:w="400" w:space="260"/>
            <w:col w:w="10580"/>
          </w:cols>
          <w:pgMar w:left="320" w:top="124" w:right="339" w:bottom="1440" w:gutter="0" w:footer="0" w:header="0"/>
          <w:type w:val="continuous"/>
        </w:sectPr>
      </w:pPr>
    </w:p>
    <w:p>
      <w:pPr>
        <w:ind w:left="660" w:right="100"/>
        <w:spacing w:after="0" w:line="255" w:lineRule="auto"/>
        <w:rPr>
          <w:sz w:val="20"/>
          <w:szCs w:val="20"/>
          <w:color w:val="auto"/>
        </w:rPr>
      </w:pPr>
      <w:r>
        <w:rPr>
          <w:rFonts w:ascii="Times New Roman" w:cs="Times New Roman" w:eastAsia="Times New Roman" w:hAnsi="Times New Roman"/>
          <w:sz w:val="18"/>
          <w:szCs w:val="18"/>
          <w:color w:val="auto"/>
        </w:rPr>
        <w:t>offering price range set forth on the cover page of this prospectus, and after deducting estimated underwriting discounts and commissions and estimated offering expenses payable by us, and (iii) the use of net proceeds from this offering, together with existing cash and cash equivalents, if necessary, to satisfy the estimated tax withholding and remittance obligations related to the RSU Settlement.</w:t>
      </w:r>
    </w:p>
    <w:p>
      <w:pPr>
        <w:spacing w:after="0" w:line="132"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pro forma as adjusted information set forth in the table below is illustrative only and will be adjusted based on the actual initial public offering price and other terms of this offering determined at pricing, the actual tax withholding rates, and the actual number of RSUs settled in connection with this offering. You should read this table together with our consolidated financial statements and related notes, and the section titled “Management’s Discussion and Analysis of Financial Condition and Results of Operations” that are included elsewhere in this prospectus.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9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9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Pro</w:t>
            </w:r>
          </w:p>
        </w:tc>
        <w:tc>
          <w:tcPr>
            <w:tcW w:w="15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Pro</w:t>
            </w:r>
          </w:p>
        </w:tc>
        <w:tc>
          <w:tcPr>
            <w:tcW w:w="0" w:type="dxa"/>
            <w:vAlign w:val="bottom"/>
          </w:tcPr>
          <w:p>
            <w:pPr>
              <w:spacing w:after="0"/>
              <w:rPr>
                <w:sz w:val="1"/>
                <w:szCs w:val="1"/>
                <w:color w:val="auto"/>
              </w:rPr>
            </w:pPr>
          </w:p>
        </w:tc>
      </w:tr>
      <w:tr>
        <w:trPr>
          <w:trHeight w:val="146"/>
        </w:trPr>
        <w:tc>
          <w:tcPr>
            <w:tcW w:w="19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vMerge w:val="restart"/>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00" w:type="dxa"/>
            <w:vAlign w:val="bottom"/>
            <w:vMerge w:val="restart"/>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5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forma as</w:t>
            </w:r>
          </w:p>
        </w:tc>
        <w:tc>
          <w:tcPr>
            <w:tcW w:w="0" w:type="dxa"/>
            <w:vAlign w:val="bottom"/>
          </w:tcPr>
          <w:p>
            <w:pPr>
              <w:spacing w:after="0"/>
              <w:rPr>
                <w:sz w:val="1"/>
                <w:szCs w:val="1"/>
                <w:color w:val="auto"/>
              </w:rPr>
            </w:pPr>
          </w:p>
        </w:tc>
      </w:tr>
      <w:tr>
        <w:trPr>
          <w:trHeight w:val="203"/>
        </w:trPr>
        <w:tc>
          <w:tcPr>
            <w:tcW w:w="19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56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4"/>
              </w:rPr>
              <w:t>forma</w:t>
            </w:r>
            <w:r>
              <w:rPr>
                <w:rFonts w:ascii="Times New Roman" w:cs="Times New Roman" w:eastAsia="Times New Roman" w:hAnsi="Times New Roman"/>
                <w:sz w:val="18"/>
                <w:szCs w:val="18"/>
                <w:b w:val="1"/>
                <w:bCs w:val="1"/>
                <w:color w:val="auto"/>
                <w:w w:val="94"/>
                <w:vertAlign w:val="superscript"/>
              </w:rPr>
              <w:t>(1)</w:t>
            </w:r>
          </w:p>
        </w:tc>
        <w:tc>
          <w:tcPr>
            <w:tcW w:w="100" w:type="dxa"/>
            <w:vAlign w:val="bottom"/>
          </w:tcPr>
          <w:p>
            <w:pPr>
              <w:spacing w:after="0"/>
              <w:rPr>
                <w:sz w:val="17"/>
                <w:szCs w:val="17"/>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adjusted</w:t>
            </w:r>
            <w:r>
              <w:rPr>
                <w:rFonts w:ascii="Times New Roman" w:cs="Times New Roman" w:eastAsia="Times New Roman" w:hAnsi="Times New Roman"/>
                <w:sz w:val="9"/>
                <w:szCs w:val="9"/>
                <w:b w:val="1"/>
                <w:bCs w:val="1"/>
                <w:color w:val="auto"/>
              </w:rPr>
              <w:t>(1)(2)</w:t>
            </w:r>
          </w:p>
        </w:tc>
        <w:tc>
          <w:tcPr>
            <w:tcW w:w="0" w:type="dxa"/>
            <w:vAlign w:val="bottom"/>
          </w:tcPr>
          <w:p>
            <w:pPr>
              <w:spacing w:after="0"/>
              <w:rPr>
                <w:sz w:val="1"/>
                <w:szCs w:val="1"/>
                <w:color w:val="auto"/>
              </w:rPr>
            </w:pPr>
          </w:p>
        </w:tc>
      </w:tr>
      <w:tr>
        <w:trPr>
          <w:trHeight w:val="213"/>
        </w:trPr>
        <w:tc>
          <w:tcPr>
            <w:tcW w:w="1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540" w:type="dxa"/>
            <w:vAlign w:val="bottom"/>
            <w:gridSpan w:val="5"/>
          </w:tcPr>
          <w:p>
            <w:pPr>
              <w:jc w:val="center"/>
              <w:ind w:right="281"/>
              <w:spacing w:after="0"/>
              <w:rPr>
                <w:sz w:val="20"/>
                <w:szCs w:val="20"/>
                <w:color w:val="auto"/>
              </w:rPr>
            </w:pPr>
            <w:r>
              <w:rPr>
                <w:rFonts w:ascii="Times New Roman" w:cs="Times New Roman" w:eastAsia="Times New Roman" w:hAnsi="Times New Roman"/>
                <w:sz w:val="14"/>
                <w:szCs w:val="14"/>
                <w:i w:val="1"/>
                <w:iCs w:val="1"/>
                <w:color w:val="auto"/>
              </w:rPr>
              <w:t>(in thousands, except for share and per share data)</w:t>
            </w:r>
          </w:p>
        </w:tc>
        <w:tc>
          <w:tcPr>
            <w:tcW w:w="0" w:type="dxa"/>
            <w:vAlign w:val="bottom"/>
          </w:tcPr>
          <w:p>
            <w:pPr>
              <w:spacing w:after="0"/>
              <w:rPr>
                <w:sz w:val="1"/>
                <w:szCs w:val="1"/>
                <w:color w:val="auto"/>
              </w:rPr>
            </w:pPr>
          </w:p>
        </w:tc>
      </w:tr>
      <w:tr>
        <w:trPr>
          <w:trHeight w:val="23"/>
        </w:trPr>
        <w:tc>
          <w:tcPr>
            <w:tcW w:w="314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337,697</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1381"/>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1381"/>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gridSpan w:val="6"/>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Redeemable convertible preferred stock, par value $0.0001 per share: 258,613,394</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6360" w:type="dxa"/>
            <w:vAlign w:val="bottom"/>
            <w:gridSpan w:val="6"/>
            <w:vMerge w:val="continue"/>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6700" w:type="dxa"/>
            <w:vAlign w:val="bottom"/>
            <w:gridSpan w:val="7"/>
          </w:tcPr>
          <w:p>
            <w:pPr>
              <w:ind w:left="180"/>
              <w:spacing w:after="0" w:line="184" w:lineRule="exact"/>
              <w:rPr>
                <w:sz w:val="20"/>
                <w:szCs w:val="20"/>
                <w:color w:val="auto"/>
              </w:rPr>
            </w:pPr>
            <w:r>
              <w:rPr>
                <w:rFonts w:ascii="Times New Roman" w:cs="Times New Roman" w:eastAsia="Times New Roman" w:hAnsi="Times New Roman"/>
                <w:sz w:val="18"/>
                <w:szCs w:val="18"/>
                <w:color w:val="auto"/>
              </w:rPr>
              <w:t>shares authorized, 258,464,156 issued and outstanding, actual; no shares authorized,</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issued and outstanding, pro forma and pro forma as adjusted</w:t>
            </w:r>
          </w:p>
        </w:tc>
        <w:tc>
          <w:tcPr>
            <w:tcW w:w="8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2,890,121</w:t>
            </w: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7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640" w:type="dxa"/>
            <w:vAlign w:val="bottom"/>
            <w:gridSpan w:val="5"/>
          </w:tcPr>
          <w:p>
            <w:pPr>
              <w:ind w:left="20"/>
              <w:spacing w:after="0" w:line="176" w:lineRule="exact"/>
              <w:rPr>
                <w:sz w:val="20"/>
                <w:szCs w:val="20"/>
                <w:color w:val="auto"/>
              </w:rPr>
            </w:pPr>
            <w:r>
              <w:rPr>
                <w:rFonts w:ascii="Times New Roman" w:cs="Times New Roman" w:eastAsia="Times New Roman" w:hAnsi="Times New Roman"/>
                <w:sz w:val="18"/>
                <w:szCs w:val="18"/>
                <w:color w:val="auto"/>
              </w:rPr>
              <w:t>Preferred stock, par value $0.0001 per share: no shares authorized, issued and</w:t>
            </w: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90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outstanding, actual;</w:t>
            </w:r>
          </w:p>
        </w:tc>
        <w:tc>
          <w:tcPr>
            <w:tcW w:w="4800" w:type="dxa"/>
            <w:vAlign w:val="bottom"/>
            <w:gridSpan w:val="6"/>
          </w:tcPr>
          <w:p>
            <w:pPr>
              <w:jc w:val="right"/>
              <w:ind w:right="670"/>
              <w:spacing w:after="0" w:line="184" w:lineRule="exact"/>
              <w:rPr>
                <w:sz w:val="20"/>
                <w:szCs w:val="20"/>
                <w:color w:val="auto"/>
              </w:rPr>
            </w:pPr>
            <w:r>
              <w:rPr>
                <w:rFonts w:ascii="Times New Roman" w:cs="Times New Roman" w:eastAsia="Times New Roman" w:hAnsi="Times New Roman"/>
                <w:sz w:val="18"/>
                <w:szCs w:val="18"/>
                <w:color w:val="auto"/>
                <w:w w:val="99"/>
              </w:rPr>
              <w:t>shares authorized, no shares issued and outstanding, pro</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forma and pro forma as adjusted</w:t>
            </w:r>
          </w:p>
        </w:tc>
        <w:tc>
          <w:tcPr>
            <w:tcW w:w="7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640" w:type="dxa"/>
            <w:vAlign w:val="bottom"/>
            <w:gridSpan w:val="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par value $0.0001 per share: 416,094,141 shares authorized,</w:t>
            </w:r>
          </w:p>
        </w:tc>
        <w:tc>
          <w:tcPr>
            <w:tcW w:w="1060" w:type="dxa"/>
            <w:vAlign w:val="bottom"/>
            <w:gridSpan w:val="2"/>
            <w:vMerge w:val="restart"/>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shares</w:t>
            </w: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900" w:type="dxa"/>
            <w:vAlign w:val="bottom"/>
            <w:gridSpan w:val="3"/>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66,950,736 shares issued and outstanding, actual;</w:t>
            </w:r>
          </w:p>
        </w:tc>
        <w:tc>
          <w:tcPr>
            <w:tcW w:w="1740" w:type="dxa"/>
            <w:vAlign w:val="bottom"/>
            <w:gridSpan w:val="2"/>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shares authorized,</w:t>
            </w:r>
          </w:p>
        </w:tc>
        <w:tc>
          <w:tcPr>
            <w:tcW w:w="1060" w:type="dxa"/>
            <w:vAlign w:val="bottom"/>
            <w:gridSpan w:val="2"/>
            <w:vMerge w:val="continue"/>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140" w:type="dxa"/>
            <w:vAlign w:val="bottom"/>
            <w:gridSpan w:val="2"/>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issued and outstanding, pro forma; and</w:t>
            </w:r>
          </w:p>
        </w:tc>
        <w:tc>
          <w:tcPr>
            <w:tcW w:w="1620" w:type="dxa"/>
            <w:vAlign w:val="bottom"/>
            <w:gridSpan w:val="2"/>
            <w:shd w:val="clear" w:color="auto" w:fill="CCEEFF"/>
          </w:tcPr>
          <w:p>
            <w:pPr>
              <w:ind w:left="160"/>
              <w:spacing w:after="0" w:line="181" w:lineRule="exact"/>
              <w:rPr>
                <w:sz w:val="20"/>
                <w:szCs w:val="20"/>
                <w:color w:val="auto"/>
              </w:rPr>
            </w:pPr>
            <w:r>
              <w:rPr>
                <w:rFonts w:ascii="Times New Roman" w:cs="Times New Roman" w:eastAsia="Times New Roman" w:hAnsi="Times New Roman"/>
                <w:sz w:val="18"/>
                <w:szCs w:val="18"/>
                <w:color w:val="auto"/>
              </w:rPr>
              <w:t>shares authorized,</w:t>
            </w:r>
          </w:p>
        </w:tc>
        <w:tc>
          <w:tcPr>
            <w:tcW w:w="1940" w:type="dxa"/>
            <w:vAlign w:val="bottom"/>
            <w:gridSpan w:val="3"/>
            <w:shd w:val="clear" w:color="auto" w:fill="CCEEFF"/>
          </w:tcPr>
          <w:p>
            <w:pPr>
              <w:jc w:val="right"/>
              <w:ind w:right="450"/>
              <w:spacing w:after="0" w:line="181" w:lineRule="exact"/>
              <w:rPr>
                <w:sz w:val="20"/>
                <w:szCs w:val="20"/>
                <w:color w:val="auto"/>
              </w:rPr>
            </w:pPr>
            <w:r>
              <w:rPr>
                <w:rFonts w:ascii="Times New Roman" w:cs="Times New Roman" w:eastAsia="Times New Roman" w:hAnsi="Times New Roman"/>
                <w:sz w:val="18"/>
                <w:szCs w:val="18"/>
                <w:color w:val="auto"/>
              </w:rPr>
              <w:t>shares issued and</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pro forma as adjusted</w:t>
            </w:r>
          </w:p>
        </w:tc>
        <w:tc>
          <w:tcPr>
            <w:tcW w:w="7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433,363</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8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1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(2,364,168)</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7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(1,930,600)</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9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capitalization</w:t>
            </w:r>
          </w:p>
        </w:tc>
        <w:tc>
          <w:tcPr>
            <w:tcW w:w="1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959,521</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ind w:right="1381"/>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ind w:right="1381"/>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40"/>
          </w:cols>
          <w:pgMar w:left="320" w:top="124" w:right="339" w:bottom="1440" w:gutter="0" w:footer="0" w:header="0"/>
          <w:type w:val="continuous"/>
        </w:sectPr>
      </w:pPr>
    </w:p>
    <w:bookmarkStart w:id="82" w:name="page83"/>
    <w:bookmarkEnd w:id="82"/>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w:t>
      </w:r>
    </w:p>
    <w:p>
      <w:pPr>
        <w:spacing w:after="0" w:line="27" w:lineRule="exact"/>
        <w:rPr>
          <w:sz w:val="20"/>
          <w:szCs w:val="20"/>
          <w:color w:val="auto"/>
        </w:rPr>
      </w:pPr>
    </w:p>
    <w:p>
      <w:pPr>
        <w:ind w:left="340" w:right="180" w:hanging="332"/>
        <w:spacing w:after="0" w:line="269" w:lineRule="auto"/>
        <w:tabs>
          <w:tab w:leader="none" w:pos="332"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$1.00 increase or decrease in the assumed initial public offering price of $ per share, which is the midpoint of the estimated offering price range set forth on the cover page of this prospectus, would increase or decrease, as applicable, the amount we would be required to pay to satisfy our tax withholding and remittance obligations related to the RSU Settlement by $ .</w:t>
      </w:r>
    </w:p>
    <w:p>
      <w:pPr>
        <w:spacing w:after="0" w:line="152" w:lineRule="exact"/>
        <w:rPr>
          <w:rFonts w:ascii="Times New Roman" w:cs="Times New Roman" w:eastAsia="Times New Roman" w:hAnsi="Times New Roman"/>
          <w:sz w:val="14"/>
          <w:szCs w:val="14"/>
          <w:color w:val="auto"/>
        </w:rPr>
      </w:pPr>
    </w:p>
    <w:p>
      <w:pPr>
        <w:ind w:left="340" w:right="40" w:hanging="332"/>
        <w:spacing w:after="0" w:line="261" w:lineRule="auto"/>
        <w:tabs>
          <w:tab w:leader="none" w:pos="332"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$1.00 increase or decrease in the assumed initial public offering price of $ per share, which is the midpoint of the estimated offering price range set forth on the cover page of this prospectus, would increase or decrease, as applicable, the amount of our pro forma as adjusted cash and cash equivalents, additional paid-in capital, total stockholders’ equity (deficit), and total capitalization by $ , assuming that the number of shares offered by us, as set forth on the cover page of this prospectus, remains the same and after deducting estimated underwriting</w:t>
      </w:r>
    </w:p>
    <w:p>
      <w:pPr>
        <w:spacing w:after="0" w:line="1" w:lineRule="exact"/>
        <w:rPr>
          <w:sz w:val="20"/>
          <w:szCs w:val="20"/>
          <w:color w:val="auto"/>
        </w:rPr>
      </w:pPr>
    </w:p>
    <w:p>
      <w:pPr>
        <w:ind w:left="340"/>
        <w:spacing w:after="0" w:line="262" w:lineRule="auto"/>
        <w:rPr>
          <w:sz w:val="20"/>
          <w:szCs w:val="20"/>
          <w:color w:val="auto"/>
        </w:rPr>
      </w:pPr>
      <w:r>
        <w:rPr>
          <w:rFonts w:ascii="Times New Roman" w:cs="Times New Roman" w:eastAsia="Times New Roman" w:hAnsi="Times New Roman"/>
          <w:sz w:val="14"/>
          <w:szCs w:val="14"/>
          <w:color w:val="auto"/>
        </w:rPr>
        <w:t>discounts and commissions payable by us. An increase or decrease of 1.0 million in the number of shares offered by us would increase or decrease, as applicable, the amount of our pro forma as adjusted cash and cash equivalents, additional paid-in capital, total stockholders’ equity (deficit), and total capitalization by $ , assuming the assumed initial public offering price remains the same, and after deducting estimated underwriting discounts and commissions payable by us.</w:t>
      </w:r>
    </w:p>
    <w:p>
      <w:pPr>
        <w:spacing w:after="0" w:line="13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If the underwriters’ option to purchase additional shares of our common stock from us were exercised in full, pro forma as adjusted cash and cash equivalents, additional paid-in capital, total stockholders’ equity (deficit), total capitalization, and shares of common stock outstanding as of December 31, 2024 would be $ , $ , $ , $ , and shares of common stock, respectively.</w:t>
      </w:r>
    </w:p>
    <w:p>
      <w:pPr>
        <w:spacing w:after="0" w:line="122"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pro forma and pro forma as adjusted columns in the table above are based on shares of our common stock (after giving effect to the Preferred Stock Conversion and RSU Settlement) outstanding as of December 31, 2024, and exclude the following:</w:t>
      </w:r>
    </w:p>
    <w:p>
      <w:pPr>
        <w:spacing w:after="0" w:line="108" w:lineRule="exact"/>
        <w:rPr>
          <w:sz w:val="20"/>
          <w:szCs w:val="20"/>
          <w:color w:val="auto"/>
        </w:rPr>
      </w:pPr>
    </w:p>
    <w:p>
      <w:pPr>
        <w:ind w:left="660" w:hanging="328"/>
        <w:spacing w:after="0" w:line="282"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32,663,015 shares of our common stock issuable upon the exercise of options to purchase shares of our common stock outstanding as of December 31, 2024, with a weighted-average exercise price of $7.25 per share;</w:t>
      </w:r>
    </w:p>
    <w:p>
      <w:pPr>
        <w:spacing w:after="0" w:line="107" w:lineRule="exact"/>
        <w:rPr>
          <w:rFonts w:ascii="Times New Roman" w:cs="Times New Roman" w:eastAsia="Times New Roman" w:hAnsi="Times New Roman"/>
          <w:sz w:val="18"/>
          <w:szCs w:val="18"/>
          <w:color w:val="auto"/>
        </w:rPr>
      </w:pPr>
    </w:p>
    <w:p>
      <w:pPr>
        <w:ind w:left="920" w:hanging="588"/>
        <w:spacing w:after="0"/>
        <w:tabs>
          <w:tab w:leader="none" w:pos="9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common stock issuable upon the exercise of options to purchase shares of our common stock granted after December 31, 2024,</w:t>
      </w:r>
    </w:p>
    <w:p>
      <w:pPr>
        <w:spacing w:after="0" w:line="27" w:lineRule="exact"/>
        <w:rPr>
          <w:sz w:val="20"/>
          <w:szCs w:val="20"/>
          <w:color w:val="auto"/>
        </w:rPr>
      </w:pPr>
    </w:p>
    <w:p>
      <w:pPr>
        <w:ind w:left="660"/>
        <w:spacing w:after="0"/>
        <w:tabs>
          <w:tab w:leader="none" w:pos="4040" w:val="left"/>
        </w:tabs>
        <w:rPr>
          <w:sz w:val="20"/>
          <w:szCs w:val="20"/>
          <w:color w:val="auto"/>
        </w:rPr>
      </w:pPr>
      <w:r>
        <w:rPr>
          <w:rFonts w:ascii="Times New Roman" w:cs="Times New Roman" w:eastAsia="Times New Roman" w:hAnsi="Times New Roman"/>
          <w:sz w:val="18"/>
          <w:szCs w:val="18"/>
          <w:color w:val="auto"/>
        </w:rPr>
        <w:t>with a weighted-average exercise price of $</w:t>
      </w:r>
      <w:r>
        <w:rPr>
          <w:sz w:val="20"/>
          <w:szCs w:val="20"/>
          <w:color w:val="auto"/>
        </w:rPr>
        <w:tab/>
      </w:r>
      <w:r>
        <w:rPr>
          <w:rFonts w:ascii="Times New Roman" w:cs="Times New Roman" w:eastAsia="Times New Roman" w:hAnsi="Times New Roman"/>
          <w:sz w:val="17"/>
          <w:szCs w:val="17"/>
          <w:color w:val="auto"/>
        </w:rPr>
        <w:t>per share;</w:t>
      </w:r>
    </w:p>
    <w:p>
      <w:pPr>
        <w:spacing w:after="0" w:line="153" w:lineRule="exact"/>
        <w:rPr>
          <w:sz w:val="20"/>
          <w:szCs w:val="20"/>
          <w:color w:val="auto"/>
        </w:rPr>
      </w:pPr>
    </w:p>
    <w:p>
      <w:pPr>
        <w:ind w:left="660" w:right="120" w:hanging="328"/>
        <w:spacing w:after="0" w:line="282"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17,981,237 shares of our common stock subject to RSUs outstanding as of December 31, 2024, but for which the service-based vesting condition was not satisfied as of December 31, 2024;</w:t>
      </w:r>
    </w:p>
    <w:p>
      <w:pPr>
        <w:spacing w:after="0" w:line="107" w:lineRule="exact"/>
        <w:rPr>
          <w:rFonts w:ascii="Times New Roman" w:cs="Times New Roman" w:eastAsia="Times New Roman" w:hAnsi="Times New Roman"/>
          <w:sz w:val="18"/>
          <w:szCs w:val="18"/>
          <w:color w:val="auto"/>
        </w:rPr>
      </w:pPr>
    </w:p>
    <w:p>
      <w:pPr>
        <w:ind w:left="920" w:hanging="588"/>
        <w:spacing w:after="0"/>
        <w:tabs>
          <w:tab w:leader="none" w:pos="9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common stock subject to RSUs granted after December 31, 2024;</w:t>
      </w:r>
    </w:p>
    <w:p>
      <w:pPr>
        <w:spacing w:after="0" w:line="171"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1,929,943 shares of our common stock subject to PSUs outstanding as of December 31, 2024 and subject to service-based, liquidity-based, and other performance-based vesting conditions, but for which the service-based and/or performance-based vesting conditions were not satisfied as of December 31, 2024;</w:t>
      </w:r>
    </w:p>
    <w:p>
      <w:pPr>
        <w:spacing w:after="0" w:line="12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787,840 shares of our common stock issuable upon the exercise of warrants to purchase common stock outstanding as of December 31, 2024, with a weighted average exercise price of $0.10 per share;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3,210,192 shares of our common stock reserved for future issuance to fund and support the operations of the Chime Scholars Foundation; and</w:t>
      </w:r>
    </w:p>
    <w:p>
      <w:pPr>
        <w:spacing w:after="0" w:line="171" w:lineRule="exact"/>
        <w:rPr>
          <w:rFonts w:ascii="Times New Roman" w:cs="Times New Roman" w:eastAsia="Times New Roman" w:hAnsi="Times New Roman"/>
          <w:sz w:val="18"/>
          <w:szCs w:val="18"/>
          <w:color w:val="auto"/>
        </w:rPr>
      </w:pPr>
    </w:p>
    <w:p>
      <w:pPr>
        <w:ind w:left="920" w:hanging="588"/>
        <w:spacing w:after="0"/>
        <w:tabs>
          <w:tab w:leader="none" w:pos="9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common stock reserved for future issuance under our equity compensation plans, consisting of:</w:t>
      </w:r>
    </w:p>
    <w:p>
      <w:pPr>
        <w:spacing w:after="0" w:line="171" w:lineRule="exact"/>
        <w:rPr>
          <w:rFonts w:ascii="Times New Roman" w:cs="Times New Roman" w:eastAsia="Times New Roman" w:hAnsi="Times New Roman"/>
          <w:sz w:val="18"/>
          <w:szCs w:val="18"/>
          <w:color w:val="auto"/>
        </w:rPr>
      </w:pPr>
    </w:p>
    <w:p>
      <w:pPr>
        <w:ind w:left="980" w:right="180" w:hanging="324"/>
        <w:spacing w:after="0" w:line="282" w:lineRule="auto"/>
        <w:tabs>
          <w:tab w:leader="none" w:pos="124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common stock to be reserved for future issuance under our 2025 Plan, which will become effective prior to the completion of this offering; and</w:t>
      </w:r>
    </w:p>
    <w:p>
      <w:pPr>
        <w:spacing w:after="0" w:line="107"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124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common stock to be reserved for future issuance under our ESPP, which will become effective prior to the completion of this offering.</w:t>
      </w:r>
    </w:p>
    <w:p>
      <w:pPr>
        <w:spacing w:after="0" w:line="108"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Our 2025 Plan and ESPP each provides for an annual automatic increase in the number of shares of our common stock reserved thereunder, and our 2025 Plan provides for increases to the number of shares that may be granted thereunder based on shares under our 2012 Plan that expire, are tendered to or withheld by us for payment of an exercise price or for satisfying tax withholding obligations, or are forfeited or otherwise repurchased by us, as more fully described in the section titled “Executive Compensation—Employee Benefit and Stock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40"/>
          </w:cols>
          <w:pgMar w:left="320" w:top="124"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7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If you invest in our common stock in this offering, your ownership interest will be diluted to the extent of the difference between the initial public offering price per share of our common stock and the pro forma as adjusted net tangible book value per share of our common stock immediately after this offering. Net tangible book value dilution per share to new investors represents the difference between the amount per share paid by purchasers of shares of our common stock in this offering and the pro forma as adjusted net tangible book value per share of our common stock immediately after completion of this offering.</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tangible book value per share is determined by dividing our total tangible assets less our total liabilities and redeemable convertible preferred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number of shares of our common stock outstanding. Our historical net tangible book value as of December 31, 2024 was $(1,967.6) million, or</w:t>
      </w:r>
    </w:p>
    <w:p>
      <w:pPr>
        <w:spacing w:after="0" w:line="9" w:lineRule="exact"/>
        <w:rPr>
          <w:sz w:val="20"/>
          <w:szCs w:val="20"/>
          <w:color w:val="auto"/>
        </w:rPr>
      </w:pPr>
    </w:p>
    <w:p>
      <w:pPr>
        <w:spacing w:after="0"/>
        <w:tabs>
          <w:tab w:leader="none" w:pos="6740" w:val="left"/>
          <w:tab w:leader="none" w:pos="7380" w:val="left"/>
        </w:tabs>
        <w:rPr>
          <w:sz w:val="20"/>
          <w:szCs w:val="20"/>
          <w:color w:val="auto"/>
        </w:rPr>
      </w:pPr>
      <w:r>
        <w:rPr>
          <w:rFonts w:ascii="Times New Roman" w:cs="Times New Roman" w:eastAsia="Times New Roman" w:hAnsi="Times New Roman"/>
          <w:sz w:val="18"/>
          <w:szCs w:val="18"/>
          <w:color w:val="auto"/>
        </w:rPr>
        <w:t>$(29.39) per share. Our pro forma net tangible book value as of December 31, 2024 was $</w:t>
      </w:r>
      <w:r>
        <w:rPr>
          <w:sz w:val="20"/>
          <w:szCs w:val="20"/>
          <w:color w:val="auto"/>
        </w:rPr>
        <w:tab/>
      </w:r>
      <w:r>
        <w:rPr>
          <w:rFonts w:ascii="Times New Roman" w:cs="Times New Roman" w:eastAsia="Times New Roman" w:hAnsi="Times New Roman"/>
          <w:sz w:val="18"/>
          <w:szCs w:val="18"/>
          <w:color w:val="auto"/>
        </w:rPr>
        <w:t>, or $</w:t>
        <w:tab/>
        <w:t>per share, based on the total number of shares of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outstanding as of December 31, 2024, after giving effect to the Preferred Stock Conversion and RSU Settlement.</w:t>
      </w:r>
    </w:p>
    <w:p>
      <w:pPr>
        <w:spacing w:after="0" w:line="153"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After giving effect to the sale by us of shares of our common stock in this offering at the assumed initial public offering price of $ per share, which is the midpoint of the estimated offering price range set forth on the cover page of this prospectus, and after deducting estimated underwriting discounts and commissions and estimated offering expenses payable by us and the use of net proceeds from this offering, together with existing cash and cash equivalents, if necessary, to satisfy the estimated tax withholding and remittance obligations related to the RSU Settlement, our pro forma as adjusted net tangible book value as of December 31, 2024 would have been $ , or $ per share. This represents an immediate increase in pro forma as adjusted net tangible book value of $ per share to our existing stockholders and an immediate dilution in pro forma as adjusted net tangible book value of $</w:t>
      </w:r>
    </w:p>
    <w:p>
      <w:pPr>
        <w:spacing w:after="0" w:line="5"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per share to investors purchasing shares of our common stock in this offering at the assumed initial public offering price. The following table illustrates this dilution on a per share basis: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Assumed initial public offering price per share</w:t>
            </w:r>
          </w:p>
        </w:tc>
        <w:tc>
          <w:tcPr>
            <w:tcW w:w="560" w:type="dxa"/>
            <w:vAlign w:val="bottom"/>
            <w:shd w:val="clear" w:color="auto" w:fill="CCEEFF"/>
          </w:tcPr>
          <w:p>
            <w:pPr>
              <w:spacing w:after="0"/>
              <w:rPr>
                <w:sz w:val="19"/>
                <w:szCs w:val="19"/>
                <w:color w:val="auto"/>
              </w:rPr>
            </w:pPr>
          </w:p>
        </w:tc>
        <w:tc>
          <w:tcPr>
            <w:tcW w:w="2660" w:type="dxa"/>
            <w:vAlign w:val="bottom"/>
            <w:gridSpan w:val="3"/>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Historical net tangible book value per share as of December 31, 2024</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Increase per share attributable to the pro forma adjustments described above</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 forma net tangible book value per share as of December 31, 2024</w:t>
            </w: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175"/>
        </w:trPr>
        <w:tc>
          <w:tcPr>
            <w:tcW w:w="802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Increase in pro forma net tangible book value per share attributable to new investors purchasing shares of</w:t>
            </w:r>
          </w:p>
        </w:tc>
        <w:tc>
          <w:tcPr>
            <w:tcW w:w="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r>
      <w:tr>
        <w:trPr>
          <w:trHeight w:val="243"/>
        </w:trPr>
        <w:tc>
          <w:tcPr>
            <w:tcW w:w="8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common stock in this offering</w:t>
            </w:r>
          </w:p>
        </w:tc>
        <w:tc>
          <w:tcPr>
            <w:tcW w:w="5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1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 forma as adjusted net tangible book value per share immediately after this offering</w:t>
            </w:r>
          </w:p>
        </w:tc>
        <w:tc>
          <w:tcPr>
            <w:tcW w:w="56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Dilution in pro forma as adjusted net tangible book value per share to new investors in this offering</w:t>
            </w: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w w:val="88"/>
              </w:rPr>
              <w:t>$</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dilution information discussed above is illustrative only and may change based on the actual initial public offering price and other terms of this offering. Each $1.00 increase or decrease in the assumed initial public offering price of $ per share, which is the midpoint of the estimated offering price range set forth on the cover page of this prospectus, would increase or decrease, as applicable, our pro forma as adjusted net tangible book value per share to new investors by $ , and would increase or decrease, as applicable, dilution per share to new investors purchasing shares of common stock in this offering by $ , assuming that the number of shares offered by us, as set forth on the cover page of this prospectus, remains the same and after deducting estimated underwriting discounts and commissions and estimated offering expenses payable by us. Similarly, each increase or decrease of 1.0 million in the number of shares of our common stock offered by us would increase or decrease, as applicable, our pro forma as adjusted net tangible book value by approximately $ per share and increase or decrease, as applicable, the dilution to new investors purchasing shares of common stock in this offering by</w:t>
      </w:r>
    </w:p>
    <w:p>
      <w:pPr>
        <w:spacing w:after="0" w:line="1" w:lineRule="exact"/>
        <w:rPr>
          <w:sz w:val="20"/>
          <w:szCs w:val="20"/>
          <w:color w:val="auto"/>
        </w:rPr>
      </w:pPr>
    </w:p>
    <w:p>
      <w:pPr>
        <w:ind w:right="40" w:firstLine="8"/>
        <w:spacing w:after="0" w:line="260" w:lineRule="auto"/>
        <w:tabs>
          <w:tab w:leader="none" w:pos="3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share, assuming the assumed initial public offering price remains the same, and after deducting estimated underwriting discounts and commissions and estimated offering expenses payable by us.</w:t>
      </w:r>
    </w:p>
    <w:p>
      <w:pPr>
        <w:spacing w:after="0" w:line="127"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If the underwriters’ option to purchase additional shares of our common stock from us is exercised in full, the pro forma net tangible book value per share of our common stock, as adjusted to give effect to this offering,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40"/>
          </w:cols>
          <w:pgMar w:left="320" w:top="124"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be $ per share, and the dilution in pro forma net tangible book value per share to new investors purchasing shares of common stock in this offering would be $ per share.</w:t>
      </w:r>
    </w:p>
    <w:p>
      <w:pPr>
        <w:spacing w:after="0" w:line="108" w:lineRule="exact"/>
        <w:rPr>
          <w:sz w:val="20"/>
          <w:szCs w:val="20"/>
          <w:color w:val="auto"/>
        </w:rPr>
      </w:pPr>
    </w:p>
    <w:p>
      <w:pPr>
        <w:ind w:right="280" w:firstLine="324"/>
        <w:spacing w:after="0" w:line="256" w:lineRule="auto"/>
        <w:rPr>
          <w:sz w:val="20"/>
          <w:szCs w:val="20"/>
          <w:color w:val="auto"/>
        </w:rPr>
      </w:pPr>
      <w:r>
        <w:rPr>
          <w:rFonts w:ascii="Times New Roman" w:cs="Times New Roman" w:eastAsia="Times New Roman" w:hAnsi="Times New Roman"/>
          <w:sz w:val="18"/>
          <w:szCs w:val="18"/>
          <w:color w:val="auto"/>
        </w:rPr>
        <w:t>The following table presents, as of December 31, 2024, after giving effect to the Preferred Stock Conversion and RSU Settlement, the differences between the existing stockholders and the new investors purchasing shares of our common stock in this offering with respect to the number of shares purchased from us, the total consideration paid or to be paid to us, which includes net proceeds received from the issuance of our common stock and the average price per share paid or to be paid to us at the assumed initial public offering price of $ per share, which is the midpoint of the estimated offering price range set forth on the cover page of this prospectus, before deducting estimated underwriting discounts and commissions and estimated offering expenses payable by us: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0" w:type="dxa"/>
            <w:vAlign w:val="bottom"/>
            <w:gridSpan w:val="3"/>
            <w:vMerge w:val="restart"/>
          </w:tcPr>
          <w:p>
            <w:pPr>
              <w:jc w:val="right"/>
              <w:ind w:right="996"/>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3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09"/>
        </w:trPr>
        <w:tc>
          <w:tcPr>
            <w:tcW w:w="30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360" w:type="dxa"/>
            <w:vAlign w:val="bottom"/>
            <w:gridSpan w:val="4"/>
            <w:vMerge w:val="continue"/>
          </w:tcPr>
          <w:p>
            <w:pPr>
              <w:spacing w:after="0"/>
              <w:rPr>
                <w:sz w:val="9"/>
                <w:szCs w:val="9"/>
                <w:color w:val="auto"/>
              </w:rPr>
            </w:pPr>
          </w:p>
        </w:tc>
        <w:tc>
          <w:tcPr>
            <w:tcW w:w="152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0" w:type="dxa"/>
            <w:vAlign w:val="bottom"/>
          </w:tcPr>
          <w:p>
            <w:pPr>
              <w:spacing w:after="0"/>
              <w:rPr>
                <w:sz w:val="1"/>
                <w:szCs w:val="1"/>
                <w:color w:val="auto"/>
              </w:rPr>
            </w:pPr>
          </w:p>
        </w:tc>
      </w:tr>
      <w:tr>
        <w:trPr>
          <w:trHeight w:val="23"/>
        </w:trPr>
        <w:tc>
          <w:tcPr>
            <w:tcW w:w="30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000" w:type="dxa"/>
            <w:vAlign w:val="bottom"/>
          </w:tcPr>
          <w:p>
            <w:pPr>
              <w:spacing w:after="0"/>
              <w:rPr>
                <w:sz w:val="16"/>
                <w:szCs w:val="16"/>
                <w:color w:val="auto"/>
              </w:rPr>
            </w:pPr>
          </w:p>
        </w:tc>
        <w:tc>
          <w:tcPr>
            <w:tcW w:w="104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229"/>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Existing stockholders</w:t>
            </w:r>
          </w:p>
        </w:tc>
        <w:tc>
          <w:tcPr>
            <w:tcW w:w="104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ind w:right="1341"/>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0"/>
        </w:trPr>
        <w:tc>
          <w:tcPr>
            <w:tcW w:w="3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New investors</w:t>
            </w:r>
          </w:p>
        </w:tc>
        <w:tc>
          <w:tcPr>
            <w:tcW w:w="10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1341"/>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43"/>
        </w:trPr>
        <w:tc>
          <w:tcPr>
            <w:tcW w:w="30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Totals</w:t>
            </w:r>
          </w:p>
        </w:tc>
        <w:tc>
          <w:tcPr>
            <w:tcW w:w="104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6240" w:type="dxa"/>
            <w:vAlign w:val="bottom"/>
            <w:gridSpan w:val="5"/>
          </w:tcPr>
          <w:p>
            <w:pPr>
              <w:jc w:val="right"/>
              <w:ind w:right="96"/>
              <w:spacing w:after="0"/>
              <w:rPr>
                <w:sz w:val="20"/>
                <w:szCs w:val="20"/>
                <w:color w:val="auto"/>
              </w:rPr>
            </w:pPr>
            <w:r>
              <w:rPr>
                <w:rFonts w:ascii="Times New Roman" w:cs="Times New Roman" w:eastAsia="Times New Roman" w:hAnsi="Times New Roman"/>
                <w:sz w:val="18"/>
                <w:szCs w:val="18"/>
                <w:color w:val="auto"/>
              </w:rPr>
              <w:t>Each $1.00 increase or decrease in the assumed initial public offering price of $</w:t>
            </w:r>
          </w:p>
        </w:tc>
        <w:tc>
          <w:tcPr>
            <w:tcW w:w="5000" w:type="dxa"/>
            <w:vAlign w:val="bottom"/>
            <w:gridSpan w:val="7"/>
          </w:tcPr>
          <w:p>
            <w:pPr>
              <w:jc w:val="right"/>
              <w:ind w:right="301"/>
              <w:spacing w:after="0"/>
              <w:rPr>
                <w:sz w:val="20"/>
                <w:szCs w:val="20"/>
                <w:color w:val="auto"/>
              </w:rPr>
            </w:pPr>
            <w:r>
              <w:rPr>
                <w:rFonts w:ascii="Times New Roman" w:cs="Times New Roman" w:eastAsia="Times New Roman" w:hAnsi="Times New Roman"/>
                <w:sz w:val="18"/>
                <w:szCs w:val="18"/>
                <w:color w:val="auto"/>
              </w:rPr>
              <w:t>per share, which is the midpoint of the estimated offering price</w:t>
            </w:r>
          </w:p>
        </w:tc>
        <w:tc>
          <w:tcPr>
            <w:tcW w:w="0" w:type="dxa"/>
            <w:vAlign w:val="bottom"/>
          </w:tcPr>
          <w:p>
            <w:pPr>
              <w:spacing w:after="0"/>
              <w:rPr>
                <w:sz w:val="1"/>
                <w:szCs w:val="1"/>
                <w:color w:val="auto"/>
              </w:rPr>
            </w:pPr>
          </w:p>
        </w:tc>
      </w:tr>
    </w:tbl>
    <w:p>
      <w:pPr>
        <w:spacing w:after="0" w:line="252" w:lineRule="auto"/>
        <w:rPr>
          <w:sz w:val="20"/>
          <w:szCs w:val="20"/>
          <w:color w:val="auto"/>
        </w:rPr>
      </w:pPr>
      <w:r>
        <w:rPr>
          <w:rFonts w:ascii="Times New Roman" w:cs="Times New Roman" w:eastAsia="Times New Roman" w:hAnsi="Times New Roman"/>
          <w:sz w:val="18"/>
          <w:szCs w:val="18"/>
          <w:color w:val="auto"/>
        </w:rPr>
        <w:t>range set forth on the cover page of this prospectus, would increase or decrease, as applicable, the total consideration paid by new investors and total consideration paid by all stockholders by $ , assuming that the number of shares of our common stock offered by us, as set forth on the cover page of this prospectus, remains the same and after deducting estimated underwriting discounts and commissions and estimated offering expenses payable by us. Similarly, each increase or decrease of 1.0 million in the number of shares of our common stock offered by us would increase or decrease, as applicable, the total consideration paid by new investors and total consideration paid by all stockholders by $ , assuming the assumed initial public offering price remains the same and after deducting the estimated underwriting discounts and commissions payable by us.</w:t>
      </w:r>
    </w:p>
    <w:p>
      <w:pPr>
        <w:spacing w:after="0" w:line="136" w:lineRule="exact"/>
        <w:rPr>
          <w:sz w:val="20"/>
          <w:szCs w:val="20"/>
          <w:color w:val="auto"/>
        </w:rPr>
      </w:pPr>
    </w:p>
    <w:p>
      <w:pPr>
        <w:ind w:right="380" w:firstLine="324"/>
        <w:spacing w:after="0" w:line="261" w:lineRule="auto"/>
        <w:rPr>
          <w:sz w:val="20"/>
          <w:szCs w:val="20"/>
          <w:color w:val="auto"/>
        </w:rPr>
      </w:pPr>
      <w:r>
        <w:rPr>
          <w:rFonts w:ascii="Times New Roman" w:cs="Times New Roman" w:eastAsia="Times New Roman" w:hAnsi="Times New Roman"/>
          <w:sz w:val="18"/>
          <w:szCs w:val="18"/>
          <w:color w:val="auto"/>
        </w:rPr>
        <w:t>Except as otherwise indicated, the above discussion and tables assume no exercise of the underwriters’ option to purchase additional shares of our common stock from us. If the underwriters’ option to purchase additional shares of our common stock were exercised in full, our existing stockholders</w:t>
      </w:r>
    </w:p>
    <w:p>
      <w:pPr>
        <w:spacing w:after="0"/>
        <w:tabs>
          <w:tab w:leader="none" w:pos="1100" w:val="left"/>
          <w:tab w:leader="none" w:pos="4060" w:val="left"/>
        </w:tabs>
        <w:rPr>
          <w:sz w:val="20"/>
          <w:szCs w:val="20"/>
          <w:color w:val="auto"/>
        </w:rPr>
      </w:pPr>
      <w:r>
        <w:rPr>
          <w:rFonts w:ascii="Times New Roman" w:cs="Times New Roman" w:eastAsia="Times New Roman" w:hAnsi="Times New Roman"/>
          <w:sz w:val="18"/>
          <w:szCs w:val="18"/>
          <w:color w:val="auto"/>
        </w:rPr>
        <w:t>would own</w:t>
      </w:r>
      <w:r>
        <w:rPr>
          <w:sz w:val="20"/>
          <w:szCs w:val="20"/>
          <w:color w:val="auto"/>
        </w:rPr>
        <w:tab/>
      </w:r>
      <w:r>
        <w:rPr>
          <w:rFonts w:ascii="Times New Roman" w:cs="Times New Roman" w:eastAsia="Times New Roman" w:hAnsi="Times New Roman"/>
          <w:sz w:val="18"/>
          <w:szCs w:val="18"/>
          <w:color w:val="auto"/>
        </w:rPr>
        <w:t>% and our new investors would own</w:t>
      </w:r>
      <w:r>
        <w:rPr>
          <w:sz w:val="20"/>
          <w:szCs w:val="20"/>
          <w:color w:val="auto"/>
        </w:rPr>
        <w:tab/>
      </w:r>
      <w:r>
        <w:rPr>
          <w:rFonts w:ascii="Times New Roman" w:cs="Times New Roman" w:eastAsia="Times New Roman" w:hAnsi="Times New Roman"/>
          <w:sz w:val="17"/>
          <w:szCs w:val="17"/>
          <w:color w:val="auto"/>
        </w:rPr>
        <w:t>% of the total number of shares of our common stock outstanding upon completion of this offering.</w:t>
      </w:r>
    </w:p>
    <w:p>
      <w:pPr>
        <w:spacing w:after="0" w:line="153" w:lineRule="exact"/>
        <w:rPr>
          <w:sz w:val="20"/>
          <w:szCs w:val="20"/>
          <w:color w:val="auto"/>
        </w:rPr>
      </w:pPr>
    </w:p>
    <w:p>
      <w:pPr>
        <w:ind w:left="340"/>
        <w:spacing w:after="0"/>
        <w:tabs>
          <w:tab w:leader="none" w:pos="7660" w:val="left"/>
        </w:tabs>
        <w:rPr>
          <w:sz w:val="20"/>
          <w:szCs w:val="20"/>
          <w:color w:val="auto"/>
        </w:rPr>
      </w:pPr>
      <w:r>
        <w:rPr>
          <w:rFonts w:ascii="Times New Roman" w:cs="Times New Roman" w:eastAsia="Times New Roman" w:hAnsi="Times New Roman"/>
          <w:sz w:val="18"/>
          <w:szCs w:val="18"/>
          <w:color w:val="auto"/>
        </w:rPr>
        <w:t>The number of shares of our common stock that will be outstanding after this offering is based on</w:t>
      </w:r>
      <w:r>
        <w:rPr>
          <w:sz w:val="20"/>
          <w:szCs w:val="20"/>
          <w:color w:val="auto"/>
        </w:rPr>
        <w:tab/>
      </w:r>
      <w:r>
        <w:rPr>
          <w:rFonts w:ascii="Times New Roman" w:cs="Times New Roman" w:eastAsia="Times New Roman" w:hAnsi="Times New Roman"/>
          <w:sz w:val="17"/>
          <w:szCs w:val="17"/>
          <w:color w:val="auto"/>
        </w:rPr>
        <w:t>shares of our common stock (after giving effect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Preferred Stock Conversion and RSU Settlement) outstanding as of December 31, 2024, and excludes:</w:t>
      </w:r>
    </w:p>
    <w:p>
      <w:pPr>
        <w:spacing w:after="0" w:line="153" w:lineRule="exact"/>
        <w:rPr>
          <w:sz w:val="20"/>
          <w:szCs w:val="20"/>
          <w:color w:val="auto"/>
        </w:rPr>
      </w:pPr>
    </w:p>
    <w:p>
      <w:pPr>
        <w:ind w:left="660" w:hanging="328"/>
        <w:spacing w:after="0" w:line="282"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32,663,015 shares of our common stock issuable upon the exercise of options to purchase shares of our common stock outstanding as of December 31, 2024, with a weighted-average exercise price of $7.25 per share;</w:t>
      </w:r>
    </w:p>
    <w:p>
      <w:pPr>
        <w:spacing w:after="0" w:line="107" w:lineRule="exact"/>
        <w:rPr>
          <w:rFonts w:ascii="Times New Roman" w:cs="Times New Roman" w:eastAsia="Times New Roman" w:hAnsi="Times New Roman"/>
          <w:sz w:val="18"/>
          <w:szCs w:val="18"/>
          <w:color w:val="auto"/>
        </w:rPr>
      </w:pPr>
    </w:p>
    <w:p>
      <w:pPr>
        <w:ind w:left="920" w:hanging="588"/>
        <w:spacing w:after="0"/>
        <w:tabs>
          <w:tab w:leader="none" w:pos="9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common stock issuable upon the exercise of options to purchase shares of our common stock granted after December 31, 2024,</w:t>
      </w:r>
    </w:p>
    <w:p>
      <w:pPr>
        <w:spacing w:after="0" w:line="27" w:lineRule="exact"/>
        <w:rPr>
          <w:sz w:val="20"/>
          <w:szCs w:val="20"/>
          <w:color w:val="auto"/>
        </w:rPr>
      </w:pPr>
    </w:p>
    <w:p>
      <w:pPr>
        <w:ind w:left="660"/>
        <w:spacing w:after="0"/>
        <w:tabs>
          <w:tab w:leader="none" w:pos="4040" w:val="left"/>
        </w:tabs>
        <w:rPr>
          <w:sz w:val="20"/>
          <w:szCs w:val="20"/>
          <w:color w:val="auto"/>
        </w:rPr>
      </w:pPr>
      <w:r>
        <w:rPr>
          <w:rFonts w:ascii="Times New Roman" w:cs="Times New Roman" w:eastAsia="Times New Roman" w:hAnsi="Times New Roman"/>
          <w:sz w:val="18"/>
          <w:szCs w:val="18"/>
          <w:color w:val="auto"/>
        </w:rPr>
        <w:t>with a weighted-average exercise price of $</w:t>
      </w:r>
      <w:r>
        <w:rPr>
          <w:sz w:val="20"/>
          <w:szCs w:val="20"/>
          <w:color w:val="auto"/>
        </w:rPr>
        <w:tab/>
      </w:r>
      <w:r>
        <w:rPr>
          <w:rFonts w:ascii="Times New Roman" w:cs="Times New Roman" w:eastAsia="Times New Roman" w:hAnsi="Times New Roman"/>
          <w:sz w:val="17"/>
          <w:szCs w:val="17"/>
          <w:color w:val="auto"/>
        </w:rPr>
        <w:t>per share;</w:t>
      </w:r>
    </w:p>
    <w:p>
      <w:pPr>
        <w:spacing w:after="0" w:line="153" w:lineRule="exact"/>
        <w:rPr>
          <w:sz w:val="20"/>
          <w:szCs w:val="20"/>
          <w:color w:val="auto"/>
        </w:rPr>
      </w:pPr>
    </w:p>
    <w:p>
      <w:pPr>
        <w:ind w:left="660" w:right="120" w:hanging="328"/>
        <w:spacing w:after="0" w:line="282"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17,981,237 shares of our common stock subject to RSUs outstanding as of December 31, 2024, but for which the service-based vesting condition was not satisfied as of December 31, 2024;</w:t>
      </w:r>
    </w:p>
    <w:p>
      <w:pPr>
        <w:spacing w:after="0" w:line="107" w:lineRule="exact"/>
        <w:rPr>
          <w:rFonts w:ascii="Times New Roman" w:cs="Times New Roman" w:eastAsia="Times New Roman" w:hAnsi="Times New Roman"/>
          <w:sz w:val="18"/>
          <w:szCs w:val="18"/>
          <w:color w:val="auto"/>
        </w:rPr>
      </w:pPr>
    </w:p>
    <w:p>
      <w:pPr>
        <w:ind w:left="920" w:hanging="588"/>
        <w:spacing w:after="0"/>
        <w:tabs>
          <w:tab w:leader="none" w:pos="9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common stock subject to RSUs granted after December 31, 2024;</w:t>
      </w:r>
    </w:p>
    <w:p>
      <w:pPr>
        <w:spacing w:after="0" w:line="171"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1,929,943 shares of our common stock subject to PSUs outstanding as of December 31, 2024 and subject to service-based, liquidity-based, and other performance-based vesting conditions, but for which the service-based and/or performance-based vesting conditions were not satisfied as of December 31, 2024;</w:t>
      </w:r>
    </w:p>
    <w:p>
      <w:pPr>
        <w:spacing w:after="0" w:line="12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787,840 shares of our common stock issuable upon the exercise of warrants to purchase common stock outstanding as of December 31, 2024, with a weighted average exercise price of $0.10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40"/>
          </w:cols>
          <w:pgMar w:left="320" w:top="124" w:right="339" w:bottom="1440" w:gutter="0" w:footer="0" w:header="0"/>
        </w:sectPr>
      </w:pPr>
    </w:p>
    <w:bookmarkStart w:id="85" w:name="page86"/>
    <w:bookmarkEnd w:id="85"/>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3,210,192 shares of our common stock reserved for future issuance to fund and support the operations of the Chime Scholars Foundation; and</w:t>
      </w:r>
    </w:p>
    <w:p>
      <w:pPr>
        <w:spacing w:after="0" w:line="171" w:lineRule="exact"/>
        <w:rPr>
          <w:rFonts w:ascii="Times New Roman" w:cs="Times New Roman" w:eastAsia="Times New Roman" w:hAnsi="Times New Roman"/>
          <w:sz w:val="18"/>
          <w:szCs w:val="18"/>
          <w:color w:val="auto"/>
        </w:rPr>
      </w:pPr>
    </w:p>
    <w:p>
      <w:pPr>
        <w:ind w:left="920" w:hanging="588"/>
        <w:spacing w:after="0"/>
        <w:tabs>
          <w:tab w:leader="none" w:pos="9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common stock reserved for future issuance under our equity compensation plans, consisting of:</w:t>
      </w:r>
    </w:p>
    <w:p>
      <w:pPr>
        <w:spacing w:after="0" w:line="171"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1246"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common stock to be reserved for future issuance under our 2025 Plan, which will become effective prior to the completion of this offering; and</w:t>
      </w:r>
    </w:p>
    <w:p>
      <w:pPr>
        <w:spacing w:after="0" w:line="107" w:lineRule="exact"/>
        <w:rPr>
          <w:rFonts w:ascii="Times New Roman" w:cs="Times New Roman" w:eastAsia="Times New Roman" w:hAnsi="Times New Roman"/>
          <w:sz w:val="18"/>
          <w:szCs w:val="18"/>
          <w:color w:val="auto"/>
        </w:rPr>
      </w:pPr>
    </w:p>
    <w:p>
      <w:pPr>
        <w:ind w:left="980" w:hanging="324"/>
        <w:spacing w:after="0" w:line="282" w:lineRule="auto"/>
        <w:tabs>
          <w:tab w:leader="none" w:pos="1246"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common stock to be reserved for future issuance under our ESPP, which will become effective prior to the completion of this offering.</w:t>
      </w:r>
    </w:p>
    <w:p>
      <w:pPr>
        <w:spacing w:after="0" w:line="10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2025 Plan and ESPP each provides for an annual automatic increase in the number of shares of our common stock reserved thereunder, and our 2025 Plan provides for increases to the number of shares that may be granted thereunder based on shares under our 2012 Plan that expire, are tendered to or withheld by us for payment of an exercise price or for satisfying tax withholding obligations, or are forfeited or otherwise repurchased by us, as more fully described in the section titled “Executive Compensation—Employee Benefit and Stock Plans.”</w:t>
      </w:r>
    </w:p>
    <w:p>
      <w:pPr>
        <w:spacing w:after="0" w:line="126"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To the extent that any outstanding options to purchase our common stock or warrants are exercised, RSUs or PSUs are settled, or new awards are granted under our equity compensation plans, there will be further dilution to investors participating in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20"/>
          </w:cols>
          <w:pgMar w:left="320" w:top="124" w:right="35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111760</wp:posOffset>
            </wp:positionV>
            <wp:extent cx="6995160" cy="90525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0" w:num="1">
            <w:col w:w="9019"/>
          </w:cols>
          <w:pgMar w:left="1440" w:top="124" w:right="1440" w:bottom="1440" w:gutter="0" w:footer="0" w:header="0"/>
        </w:sectPr>
      </w:pPr>
    </w:p>
    <w:bookmarkStart w:id="87" w:name="page88"/>
    <w:bookmarkEnd w:id="87"/>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173"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section titled “Summary Consolidated Financial and Other Data” and the consolidated financial statements and related notes thereto included elsewhere in this prospectus. This discussion contains forward-looking statements that involve risks and uncertainties. Factors that could cause or contribute to such differences include those identified below and those discussed elsewhere in this prospectus, particularly in the sections titled “Risk Factors” and “Special Note Regarding Forward-Looking Statements.” Financial data as of and for the years ended December 31, 2022, 2023, and 2024 has been derived from our audited consolidated financial statements appearing at the end of this prospectus. Our historical results are not necessarily indicative of the results that may be expected for any period in the future. Chime is a technology company, not a bank. Banking services are provided by The Bancorp Bank, N.A. or Stride Bank, N.A.; Members FDIC. We are not a Member of the FDIC, and FDIC-insured accounts are provided by our bank partners.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We created Chime to help everyday people make progress in their financial lives. For too long, millions of Americans, including the 75% of the adult population that earn up to $100,000 annually, have struggled with bank relationships that are not always aligned with their best interests. So we set out to create a new approach, built on a foundation of trust rather than fine print and punitive fees. Through our direct relationships with FDIC-insured bank partners, we deliver easy-to-use products that address the most critical financial needs of everyday people — spending, saving, accessing liquidity, and building credit, all while avoiding punitive fees.</w:t>
      </w:r>
    </w:p>
    <w:p>
      <w:pPr>
        <w:spacing w:after="0" w:line="129" w:lineRule="exact"/>
        <w:rPr>
          <w:sz w:val="20"/>
          <w:szCs w:val="20"/>
          <w:color w:val="auto"/>
        </w:rPr>
      </w:pPr>
    </w:p>
    <w:p>
      <w:pPr>
        <w:ind w:right="80" w:firstLine="324"/>
        <w:spacing w:after="0" w:line="238" w:lineRule="auto"/>
        <w:rPr>
          <w:sz w:val="20"/>
          <w:szCs w:val="20"/>
          <w:color w:val="auto"/>
        </w:rPr>
      </w:pPr>
      <w:r>
        <w:rPr>
          <w:rFonts w:ascii="Times New Roman" w:cs="Times New Roman" w:eastAsia="Times New Roman" w:hAnsi="Times New Roman"/>
          <w:sz w:val="18"/>
          <w:szCs w:val="18"/>
          <w:color w:val="auto"/>
        </w:rPr>
        <w:t>Through our broad suite of products, we have built trusted relationships with 8.0 million Active Members, with 67% of them relying on Chime to serve as their primary financial relationship as of December 31, 2024.</w:t>
      </w:r>
      <w:r>
        <w:rPr>
          <w:rFonts w:ascii="Times New Roman" w:cs="Times New Roman" w:eastAsia="Times New Roman" w:hAnsi="Times New Roman"/>
          <w:sz w:val="23"/>
          <w:szCs w:val="23"/>
          <w:color w:val="auto"/>
          <w:vertAlign w:val="superscript"/>
        </w:rPr>
        <w:t>47</w:t>
      </w:r>
      <w:r>
        <w:rPr>
          <w:rFonts w:ascii="Times New Roman" w:cs="Times New Roman" w:eastAsia="Times New Roman" w:hAnsi="Times New Roman"/>
          <w:sz w:val="18"/>
          <w:szCs w:val="18"/>
          <w:color w:val="auto"/>
        </w:rPr>
        <w:t xml:space="preserve"> Being the primary account relationship for our members establishes Chime as their central financial hub, and we believe these relationships are the most valuable in consumer financial services. As the central hub, Chime becomes the platform through which members consistently deposit their paychecks and conduct their everyday spend, creating durable and long-lasting relationships with high engagement. In the fourth quarter of 2024, our Active Members used Chime for 55 transactions per month, on average, of which over 75% were purchase transactions.</w:t>
      </w:r>
      <w:r>
        <w:rPr>
          <w:rFonts w:ascii="Times New Roman" w:cs="Times New Roman" w:eastAsia="Times New Roman" w:hAnsi="Times New Roman"/>
          <w:sz w:val="23"/>
          <w:szCs w:val="23"/>
          <w:color w:val="auto"/>
          <w:vertAlign w:val="superscript"/>
        </w:rPr>
        <w:t>48</w:t>
      </w:r>
      <w:r>
        <w:rPr>
          <w:rFonts w:ascii="Times New Roman" w:cs="Times New Roman" w:eastAsia="Times New Roman" w:hAnsi="Times New Roman"/>
          <w:sz w:val="18"/>
          <w:szCs w:val="18"/>
          <w:color w:val="auto"/>
        </w:rPr>
        <w:t xml:space="preserve"> We also have high member satisfaction with 75% of Chime members saying they will be Chime members for life.</w:t>
      </w:r>
      <w:r>
        <w:rPr>
          <w:rFonts w:ascii="Times New Roman" w:cs="Times New Roman" w:eastAsia="Times New Roman" w:hAnsi="Times New Roman"/>
          <w:sz w:val="23"/>
          <w:szCs w:val="23"/>
          <w:color w:val="auto"/>
          <w:vertAlign w:val="superscript"/>
        </w:rPr>
        <w:t>49</w:t>
      </w:r>
      <w:r>
        <w:rPr>
          <w:rFonts w:ascii="Times New Roman" w:cs="Times New Roman" w:eastAsia="Times New Roman" w:hAnsi="Times New Roman"/>
          <w:sz w:val="18"/>
          <w:szCs w:val="18"/>
          <w:color w:val="auto"/>
        </w:rPr>
        <w:t xml:space="preserve"> Among adults earning up to $100,000 annually, we have been the top brand for people establishing new, or switching existing, direct deposit relationships, according to a 2024 survey.</w:t>
      </w:r>
      <w:r>
        <w:rPr>
          <w:rFonts w:ascii="Times New Roman" w:cs="Times New Roman" w:eastAsia="Times New Roman" w:hAnsi="Times New Roman"/>
          <w:sz w:val="23"/>
          <w:szCs w:val="23"/>
          <w:color w:val="auto"/>
          <w:vertAlign w:val="superscript"/>
        </w:rPr>
        <w:t>50</w:t>
      </w:r>
    </w:p>
    <w:p>
      <w:pPr>
        <w:spacing w:after="0" w:line="77"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Our proprietary technology platform and our digital-first approach give us both a radical cost-to-serve advantage and greater innovation velocity compared to traditional banks. We believe these advantages will improve over the long term as we continue to scale. This structural advantage is complemented with a payments-based business model that is aligned with our members: we primarily generate revenue when members spend using a Chime-branded debit or credit card, based on fees paid via the card networks, rather than fees paid to us by our members. Recurring paycheck deposits through our platform also provide us with an advantage to offer our members access to valuable, short-term credit and liquidity products at scale given the privileged repayment position for such products.</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bold in our ambition to build a generational consumer brand that empowers everyday Americans to make progress in their financial journeys.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145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68" w:lineRule="exact"/>
        <w:rPr>
          <w:sz w:val="20"/>
          <w:szCs w:val="20"/>
          <w:color w:val="auto"/>
        </w:rPr>
      </w:pPr>
    </w:p>
    <w:p>
      <w:pPr>
        <w:ind w:left="340" w:right="120" w:hanging="332"/>
        <w:spacing w:after="0" w:line="271" w:lineRule="auto"/>
        <w:tabs>
          <w:tab w:leader="none" w:pos="323" w:val="left"/>
        </w:tabs>
        <w:numPr>
          <w:ilvl w:val="0"/>
          <w:numId w:val="5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We define a primary financial relationship or primary account relationship as a relationship with a member who made 15 or more purchases using their Chime-branded debit or credit cards in the past calendar month or who had at least one qualifying direct deposit of $200 or more through Chime in the past calendar month.</w:t>
      </w:r>
    </w:p>
    <w:p>
      <w:pPr>
        <w:ind w:left="340" w:right="100" w:hanging="332"/>
        <w:spacing w:after="0" w:line="221" w:lineRule="auto"/>
        <w:tabs>
          <w:tab w:leader="none" w:pos="323" w:val="left"/>
        </w:tabs>
        <w:numPr>
          <w:ilvl w:val="0"/>
          <w:numId w:val="5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Transactions include, but are not limited to, purchases with Chime-branded debit or credit cards (collectively, “purchase transactions”), funding a member account, withdrawing funds from an ATM, sending or receiving funds with Pay Anyone, taking a MyPay advance, or other money movement transactions.</w:t>
      </w:r>
    </w:p>
    <w:p>
      <w:pPr>
        <w:spacing w:after="0" w:line="1" w:lineRule="exact"/>
        <w:rPr>
          <w:rFonts w:ascii="Times New Roman" w:cs="Times New Roman" w:eastAsia="Times New Roman" w:hAnsi="Times New Roman"/>
          <w:sz w:val="19"/>
          <w:szCs w:val="19"/>
          <w:color w:val="auto"/>
          <w:vertAlign w:val="superscript"/>
        </w:rPr>
      </w:pPr>
    </w:p>
    <w:p>
      <w:pPr>
        <w:ind w:left="340" w:right="360" w:hanging="332"/>
        <w:spacing w:after="0" w:line="213" w:lineRule="auto"/>
        <w:tabs>
          <w:tab w:leader="none" w:pos="325" w:val="left"/>
        </w:tabs>
        <w:numPr>
          <w:ilvl w:val="0"/>
          <w:numId w:val="5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Based on a Chime survey conducted in July 2024 of members who direct deposit through Chime (the “Chime Financial Progress Survey”). See the section titled “Industry, Market, and Other Data.”</w:t>
      </w:r>
    </w:p>
    <w:p>
      <w:pPr>
        <w:ind w:left="340" w:right="140" w:hanging="332"/>
        <w:spacing w:after="0" w:line="221" w:lineRule="auto"/>
        <w:tabs>
          <w:tab w:leader="none" w:pos="325" w:val="left"/>
        </w:tabs>
        <w:numPr>
          <w:ilvl w:val="0"/>
          <w:numId w:val="5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Based on a Chime commissioned third-party survey conducted in July 2024 targeting Americans aged 18 to 54 years with a household income up to $100,000 who opened or switched to a new direct deposit account in the preceding 12-month period (the “Banking and Switcher Survey”). See the section titled “Industry, Market, and Other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40"/>
          </w:cols>
          <w:pgMar w:left="320" w:top="124" w:right="339" w:bottom="1440" w:gutter="0" w:footer="0" w:header="0"/>
        </w:sectPr>
      </w:pPr>
    </w:p>
    <w:bookmarkStart w:id="88" w:name="page89"/>
    <w:bookmarkEnd w:id="88"/>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Focus on High Impact Innovation</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have been relentlessly focused on building affordable, easy-to-use products that address the most critical financial needs of everyday Americans. We started by offering access to a free, digital checking account and from there, we expanded our platform to offer access to a broad suite of financial products, including products which we believe were the first in our industry. Among our industry leading innovations, we have introduced access to pay up to two days early (Get Paid Early), fee-free overdraft protection (SpotMe), a credit building card with no annual fees, interest, or late fees (Credit Builder), and access to a portion of earned pay on demand before payday (MyPay). By offering access to these free or low-cost, innovative products, we have developed valuable primary account relationships with our members.</w:t>
      </w:r>
    </w:p>
    <w:p>
      <w:pPr>
        <w:spacing w:after="0" w:line="133"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Our technology platform powers our product offerings and underpins our radical cost-to-serve advantage by giving us greater control of our product roadmap and enabling us to innovate rapidly, personalize member experiences, and scale efficiently. Our in-house data and AI platforms — including our experimentation, risk decisioning, and member support platforms — enable us to quickly iterate on our products based on real-time member insights, to control transaction and risk losses, and to deliver high quality, efficient member support. In 2024, we launched ChimeCore, our proprietary payment processor and ledger, which today handles a portion of member transactions, enhancing our competitive advantages and setting the stage for future periods of product innovation. See the section titled “Business—Our Vertically-Integrated Technology Platform.”</w:t>
      </w:r>
    </w:p>
    <w:p>
      <w:pPr>
        <w:spacing w:after="0" w:line="133"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Our investments in product innovation and our technology platform have contributed to our ability to serve members efficiently and provide a more attractive suite of products to our members. As our member base has scaled, we have in turn been able to drive economies of scale and other cost efficiencies, as highlighted by the growth of gross profit and transaction profit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88900</wp:posOffset>
            </wp:positionV>
            <wp:extent cx="5349240" cy="30086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Financial Model</w:t>
      </w:r>
    </w:p>
    <w:p>
      <w:pPr>
        <w:spacing w:after="0" w:line="175"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Unlike the traditional banks’ net interest margin-driven revenue model, we have an asset-light, payments-driven revenue model. We generate the substantial majority of our revenue through interchange-based fees paid via the card networks, not paid to us by our members, whenever Chime-branded debit and credit cards are 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80"/>
          </w:cols>
          <w:pgMar w:left="320" w:top="124" w:right="399" w:bottom="1440" w:gutter="0" w:footer="0" w:header="0"/>
        </w:sectPr>
      </w:pPr>
    </w:p>
    <w:bookmarkStart w:id="89" w:name="page90"/>
    <w:bookmarkEnd w:id="89"/>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Payments-Driven Revenue Model</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earn the substantial majority of our revenue through interchange-based fees from debit and credit card transactions.</w:t>
      </w:r>
    </w:p>
    <w:p>
      <w:pPr>
        <w:spacing w:after="0" w:line="17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Interchange fees are set by card networks, such as Visa, and transferred between the financial institutions involved in supporting card transactions. Generally, an interchange fee serves to compensate for the authorization, clearance, and settlement of the transaction. When a consumer uses a debit or credit card to make a purchase at a merchant, that merchant receives payment of the purchase amount net of a payment acceptance fee called the merchant discount rate. This merchant discount rate is shared among the acquiring bank (which enables the merchant to accept payments and is typically referred to as the acquirer) and other network participants, including the card network and the issuing bank (typically referred to as the issuer). The interchange fee represents a portion of the merchant discount rate and is paid to the issuer. The fees involved in a card transaction also serve to cover fraud protection, including applicable protections provided by the card networks such as Visa’s Zero Liability Policy, and the fraud losses in relation to transactions. The diagram below illustrates the card payment process for a Chime member’s purchase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99060</wp:posOffset>
            </wp:positionV>
            <wp:extent cx="5349240" cy="30086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We recognize payments revenue based on interchange fees generated from purchase transactions made by members using their Chime-branded debit and credit cards. Our bank partners, as issuing banks, collect the interchange fees from these transactions, and pass amounts onto us based on these fees. Our payments revenue accounts for the gross amount of the interchange fees. We refer to this revenue as “interchange-based fees.” Payments revenue represented 80%, 80%, and 76% of our revenue in 2022, 2023, and 2024. Interchange-based fees from debit card transactions represented 63%, 61%, and 55% of revenue and debit card transactions represented 86%, 85%, and 84% of Purchase Volume in 2022, 2023, and 2024. Interchange-based fees from credit card transactions represented 17%, 19%, and 21% of revenue and credit card transactions represented 14%, 15%, and 16% of Purchase Volume in 2022, 2023, and 2024.</w:t>
      </w:r>
    </w:p>
    <w:p>
      <w:pPr>
        <w:spacing w:after="0" w:line="135"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In addition to payments revenue, we generate platform-related revenue from other products offered to our members that provide additional convenience, financial management tools, and access to liquidity. Platform-related revenue includes fees from access to out-of-network ATMs, MyPay instant transfer fees, net revenue based on high yield savings balances, partnerships revenue (which includes referral fees for third-party products), voluntary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20"/>
          </w:cols>
          <w:pgMar w:left="320" w:top="124" w:right="459" w:bottom="1440" w:gutter="0" w:footer="0" w:header="0"/>
        </w:sectPr>
      </w:pPr>
    </w:p>
    <w:bookmarkStart w:id="90" w:name="page91"/>
    <w:bookmarkEnd w:id="90"/>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SpotMe tips, and fees from cash deposits made at locations outside our free network. Platform-related revenue contributed 20%, 20%, and 24% of revenue in 2022, 2023, and 2024.</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Low-Cost Operating Model</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low-cost operating model is driven by our digital-first partnership strategy, vertically-integrated technology platform, and operational excellence in risk and member support:</w:t>
      </w:r>
    </w:p>
    <w:p>
      <w:pPr>
        <w:spacing w:after="0" w:line="106" w:lineRule="exact"/>
        <w:rPr>
          <w:sz w:val="20"/>
          <w:szCs w:val="20"/>
          <w:color w:val="auto"/>
        </w:rPr>
      </w:pPr>
    </w:p>
    <w:p>
      <w:pPr>
        <w:ind w:right="40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Digital-First Partnership Strategy</w:t>
      </w:r>
      <w:r>
        <w:rPr>
          <w:rFonts w:ascii="Times New Roman" w:cs="Times New Roman" w:eastAsia="Times New Roman" w:hAnsi="Times New Roman"/>
          <w:sz w:val="18"/>
          <w:szCs w:val="18"/>
          <w:color w:val="auto"/>
        </w:rPr>
        <w:t>. Our digital-first approach has allowed us to avoid the significant expenses associated with bank branches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ATMs. Through our direct relationships with our bank partners, we conveniently offer access to a suite of banking products on our mobile application, while providing our members with nationwide access to physical locations to conveniently withdraw cash and make cash deposits where and when members need to through our partnerships with ATM and cash deposit networks.</w:t>
      </w:r>
    </w:p>
    <w:p>
      <w:pPr>
        <w:spacing w:after="0" w:line="126" w:lineRule="exact"/>
        <w:rPr>
          <w:sz w:val="20"/>
          <w:szCs w:val="20"/>
          <w:color w:val="auto"/>
        </w:rPr>
      </w:pPr>
    </w:p>
    <w:p>
      <w:pPr>
        <w:ind w:right="24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Vertically-Integrated Technology Platform</w:t>
      </w:r>
      <w:r>
        <w:rPr>
          <w:rFonts w:ascii="Times New Roman" w:cs="Times New Roman" w:eastAsia="Times New Roman" w:hAnsi="Times New Roman"/>
          <w:sz w:val="18"/>
          <w:szCs w:val="18"/>
          <w:color w:val="auto"/>
        </w:rPr>
        <w:t>. We have invested substantially over several years in our cloud-native technology platform,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ChimeCore. By operating our technology platform in-house, we have been able to reduce reliance on expensive third-party software providers and avoid costly maintenance of legacy systems, allowing us to focus our technology spend on product innovation.</w:t>
      </w:r>
    </w:p>
    <w:p>
      <w:pPr>
        <w:spacing w:after="0" w:line="119"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Excellence in Risk and Member Support. </w:t>
      </w:r>
      <w:r>
        <w:rPr>
          <w:rFonts w:ascii="Times New Roman" w:cs="Times New Roman" w:eastAsia="Times New Roman" w:hAnsi="Times New Roman"/>
          <w:sz w:val="18"/>
          <w:szCs w:val="18"/>
          <w:color w:val="auto"/>
        </w:rPr>
        <w:t>Our in-house risk decisioning platform leverages rich, first-party data, including member income, spending,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social graph, and other engagement data, as well as traditional and alternative credit bureau data (but not credit score data) and other external data sources, to effectively manage fraud risk, credit risk, and financial crimes. We have also built a robust member support program that provides dependable, real-time assistance to our members. Our investments in automation and AI have improved the efficiency of our service delivery while also improving our members’ support experience. The average annual cost-to-serve a retail deposit customer is an estimated three times higher for the three largest incumbent banks and five times higher for mid-sized and regional banks when compared to Chime.</w:t>
      </w:r>
      <w:r>
        <w:rPr>
          <w:rFonts w:ascii="Times New Roman" w:cs="Times New Roman" w:eastAsia="Times New Roman" w:hAnsi="Times New Roman"/>
          <w:sz w:val="23"/>
          <w:szCs w:val="23"/>
          <w:color w:val="auto"/>
          <w:vertAlign w:val="superscript"/>
        </w:rPr>
        <w:t>51</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Metrics and Non-GAAP Financial Measures</w:t>
      </w:r>
    </w:p>
    <w:p>
      <w:pPr>
        <w:spacing w:after="0" w:line="17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review several operating and financial metrics, including the key metrics set forth below, to help us evaluate our business and growth trends, establish budgets, evaluate the effectiveness of our investments, and assess operational efficiencies. The following table sets forth key metrics and non-GAAP financial measures that we consider useful in evaluating our operating performance for the years set forth below (except as otherwise indicated). Our definitions for such key metrics may differ from the definitions used by other companies and therefore comparability may be limited. In addition, other companies may not publish these or similar metrics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7145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27" w:lineRule="exact"/>
        <w:rPr>
          <w:sz w:val="20"/>
          <w:szCs w:val="20"/>
          <w:color w:val="auto"/>
        </w:rPr>
      </w:pPr>
    </w:p>
    <w:p>
      <w:pPr>
        <w:jc w:val="both"/>
        <w:ind w:left="340" w:right="300" w:hanging="332"/>
        <w:spacing w:after="0" w:line="281" w:lineRule="auto"/>
        <w:tabs>
          <w:tab w:leader="none" w:pos="325" w:val="left"/>
        </w:tabs>
        <w:numPr>
          <w:ilvl w:val="0"/>
          <w:numId w:val="5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Comparing average cost-to-serve for 2023 (in each case, excluding marketing costs) for the three largest banks by U.S. deposit volume (Bank of America, J.P. Morgan Chase, and Wells Fargo) and for a group of medium-sized and regional banks (BMO, KeyBank, PNC Bank, TD Bank, and U.S. Bank), in each case as estimated by FS Vector Report, to Chime’s average cost-to-serve for 2024; see the section titled “Industry, Market, and Other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240"/>
          </w:cols>
          <w:pgMar w:left="320" w:top="124"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use other financial measures to evaluate their performance, all of which could reduce the usefulness of our key metrics as comparative measures.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94"/>
        </w:trPr>
        <w:tc>
          <w:tcPr>
            <w:tcW w:w="60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96"/>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for Average Revenue per Active Member and percentages)</w:t>
            </w: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Key metrics</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9"/>
        </w:trPr>
        <w:tc>
          <w:tcPr>
            <w:tcW w:w="6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 Volume</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71,508</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92,396</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115,152</w:t>
            </w:r>
          </w:p>
        </w:tc>
      </w:tr>
      <w:tr>
        <w:trPr>
          <w:trHeight w:val="230"/>
        </w:trPr>
        <w:tc>
          <w:tcPr>
            <w:tcW w:w="606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Active Members</w:t>
            </w:r>
            <w:r>
              <w:rPr>
                <w:rFonts w:ascii="Times New Roman" w:cs="Times New Roman" w:eastAsia="Times New Roman" w:hAnsi="Times New Roman"/>
                <w:sz w:val="23"/>
                <w:szCs w:val="23"/>
                <w:color w:val="auto"/>
                <w:vertAlign w:val="superscript"/>
              </w:rPr>
              <w:t>(1)</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8.0</w:t>
            </w:r>
          </w:p>
        </w:tc>
      </w:tr>
      <w:tr>
        <w:trPr>
          <w:trHeight w:val="229"/>
        </w:trPr>
        <w:tc>
          <w:tcPr>
            <w:tcW w:w="606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Average Revenue per Active Member (ARPAM)</w:t>
            </w:r>
            <w:r>
              <w:rPr>
                <w:rFonts w:ascii="Times New Roman" w:cs="Times New Roman" w:eastAsia="Times New Roman" w:hAnsi="Times New Roman"/>
                <w:sz w:val="23"/>
                <w:szCs w:val="23"/>
                <w:color w:val="auto"/>
                <w:vertAlign w:val="superscript"/>
              </w:rPr>
              <w:t>(1)</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245</w:t>
            </w: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Non-GAAP financial measures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6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Transaction profit</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906</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1,246</w:t>
            </w:r>
          </w:p>
        </w:tc>
      </w:tr>
      <w:tr>
        <w:trPr>
          <w:trHeight w:val="229"/>
        </w:trPr>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Transaction margin</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r>
      <w:tr>
        <w:trPr>
          <w:trHeight w:val="230"/>
        </w:trPr>
        <w:tc>
          <w:tcPr>
            <w:tcW w:w="6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EBITDA margin</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Presented as of the fourth quarter of each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240"/>
          </w:cols>
          <w:pgMar w:left="320" w:top="124" w:right="339" w:bottom="1440" w:gutter="0" w:footer="0" w:header="0"/>
        </w:sectPr>
      </w:pPr>
    </w:p>
    <w:bookmarkStart w:id="92" w:name="page93"/>
    <w:bookmarkEnd w:id="92"/>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Purchase Volume</w:t>
      </w:r>
    </w:p>
    <w:p>
      <w:pPr>
        <w:spacing w:after="0" w:line="17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define Purchase Volume as the total dollar value of member purchase transactions using Chime-branded debit or credit cards during a given period, net of any adjustments or refunds. Purchase Volume is a key driver of payments revenue, because the interchange fees upon which our payments revenue is based are generally determined as a percentage of the underlying transaction value plus a fixed amount per transaction based upon rates set by the card networks. Purchase Volume is also a key indicator of aggregate member engagement. Purchase Volume does not include other types of transaction volumes such as deposits, ATM withdrawals, SpotMe and MyPay advances, sending or receiving funds with Pay Anyone, and ACH or direct debit transfers. Purchase Volume exhibits seasonality, most prominently in the first quarter of each year due to increased spending following our members’ receipt of tax refunds. From 2022 to 2024, our Purchase Volume grew at an average annualized growth rate of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97155</wp:posOffset>
            </wp:positionV>
            <wp:extent cx="5143500" cy="28892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2889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220"/>
          </w:cols>
          <w:pgMar w:left="320" w:top="124" w:right="359" w:bottom="1440" w:gutter="0" w:footer="0" w:header="0"/>
        </w:sectPr>
      </w:pPr>
    </w:p>
    <w:bookmarkStart w:id="93" w:name="page94"/>
    <w:bookmarkEnd w:id="93"/>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Active Members</w:t>
      </w:r>
    </w:p>
    <w:p>
      <w:pPr>
        <w:spacing w:after="0" w:line="17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define an Active Member as a member who has initiated a money movement transaction on our platform in the last calendar month of the applicable period. Member-initiated money movement transactions include, but are not limited to, purchases with Chime-branded debit or credit cards, funding a member account, withdrawing funds from an ATM, sending or receiving funds with Pay Anyone, or taking a MyPay advance. Active Members are a key indicator of the scale of our engaged member base. The number of Active Members exhibits modest seasonality, with a slight increase typically occurring in the first quarter of a year compared to the fourth quarter of the prior year. In this first quarter, our members often receive tax refunds through their Chime account, which has resulted in increased money movement transactions. From the fourth quarter of 2022 to the fourth quarter of 2024, our Active Members grew at an average annualized growth rate of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97155</wp:posOffset>
            </wp:positionV>
            <wp:extent cx="5349240" cy="30086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60"/>
          </w:cols>
          <w:pgMar w:left="320" w:top="124" w:right="519" w:bottom="1440" w:gutter="0" w:footer="0" w:header="0"/>
        </w:sectPr>
      </w:pPr>
    </w:p>
    <w:bookmarkStart w:id="94" w:name="page95"/>
    <w:bookmarkEnd w:id="94"/>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Average Revenue per Active Member (“ARPAM”)</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define Average Revenue per Active Member (“ARPAM”) as revenue generated in the calendar quarter multiplied by four and divided by the average of the number of Active Members at the end of the prior quarter and the end of the current quarter. ARPAM is a key indicator of our ability to monetize member engagement, as it captures both the impact of payments revenue from Purchase Volume as well as the monetization of products that contribute to platform-related revenue. Since ARPAM historically has largely been driven by Purchase Volume, the seasonality exhibited by Purchase Volume, which occurs most prominently in the first quarter of each year due to increased spending following our members’ receipt of tax refunds, has resulted in quarterly fluctuation of ARPAM. From the fourth quarter of 2022 to the fourth quarter of 2024, our ARPAM grew at an average annualized growth rate of 8% reflecting an increase in member engagement, new products, and monetization.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97155</wp:posOffset>
            </wp:positionV>
            <wp:extent cx="5349240" cy="30086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0840"/>
          </w:cols>
          <w:pgMar w:left="320" w:top="124" w:right="739" w:bottom="1440" w:gutter="0" w:footer="0" w:header="0"/>
        </w:sectPr>
      </w:pPr>
    </w:p>
    <w:bookmarkStart w:id="95" w:name="page96"/>
    <w:bookmarkEnd w:id="95"/>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To supplement our consolidated financial statements prepared and presented in accordance with GAAP, we use certain non-GAAP financial measures, as described below, to facilitate analysis of our financial trends and for internal planning and forecasting purposes.</w:t>
      </w:r>
    </w:p>
    <w:p>
      <w:pPr>
        <w:spacing w:after="0" w:line="10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use transaction profit, transaction margin, adjusted EBITDA, and adjusted EBITDA margin in conjunction with GAAP measures to evaluate our operating performance, formulate business plans, prepare budgets and forecasts, and make strategic decisions, including those relating to operating expenses and the allocation of internal resources. We believe that our non-GAAP financial measures provide useful information to investors, analysts and others about our business and financial performance, enhance their overall understanding of our performance and can assist in providing a more consistent and comparable overview of our financial performance across periods. Our definitions may differ from the definitions used by other companies and therefore comparability may be limited. In addition, other companies may not publish these or similar metrics. Further, these metrics have certain limitations in that they do not include the impact of certain expenses that are reflected on our consolidated statements of operations. Thus, our non-GAAP financial measures should be considered in addition to, not as substitutes for, or in isolation from, measures prepared in accordance with GAAP.</w:t>
      </w:r>
    </w:p>
    <w:p>
      <w:pPr>
        <w:spacing w:after="0" w:line="138"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We encourage investors and others to review our business, results of operations, and financial information in their entirety, not to rely on any single financial measure, and to view our non-GAAP financial measures in conjunction with their respective most directly comparable financial measure calculated in accordance with GAAP.</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Transaction Profit and Transaction Margin</w:t>
      </w:r>
    </w:p>
    <w:p>
      <w:pPr>
        <w:spacing w:after="0" w:line="173" w:lineRule="exact"/>
        <w:rPr>
          <w:sz w:val="20"/>
          <w:szCs w:val="20"/>
          <w:color w:val="auto"/>
        </w:rPr>
      </w:pPr>
    </w:p>
    <w:p>
      <w:pPr>
        <w:jc w:val="both"/>
        <w:ind w:right="60" w:firstLine="324"/>
        <w:spacing w:after="0" w:line="289" w:lineRule="auto"/>
        <w:rPr>
          <w:sz w:val="20"/>
          <w:szCs w:val="20"/>
          <w:color w:val="auto"/>
        </w:rPr>
      </w:pPr>
      <w:r>
        <w:rPr>
          <w:rFonts w:ascii="Times New Roman" w:cs="Times New Roman" w:eastAsia="Times New Roman" w:hAnsi="Times New Roman"/>
          <w:sz w:val="17"/>
          <w:szCs w:val="17"/>
          <w:color w:val="auto"/>
        </w:rPr>
        <w:t>We define transaction profit as gross profit less transaction and risk losses. We define transaction margin as transaction profit divided by revenue. We believe that transaction profit and transaction margin are key measures of the incremental profit generated by member transactions. Through our scale and investments in our risk management capabilities and technology platform, we drove an increase in transaction margin from 66% in 2022 to 74%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77470</wp:posOffset>
            </wp:positionV>
            <wp:extent cx="5349240" cy="30086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60"/>
          </w:cols>
          <w:pgMar w:left="320" w:top="124" w:right="41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a reconciliation of gross profit to transaction profit: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40" w:type="dxa"/>
            <w:vAlign w:val="bottom"/>
            <w:tcBorders>
              <w:bottom w:val="single" w:sz="8" w:color="CCEEFF"/>
            </w:tcBorders>
            <w:gridSpan w:val="7"/>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8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1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794,152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4"/>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1,058,718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4"/>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1,465,758</w:t>
            </w:r>
          </w:p>
        </w:tc>
        <w:tc>
          <w:tcPr>
            <w:tcW w:w="0" w:type="dxa"/>
            <w:vAlign w:val="bottom"/>
          </w:tcPr>
          <w:p>
            <w:pPr>
              <w:spacing w:after="0"/>
              <w:rPr>
                <w:sz w:val="1"/>
                <w:szCs w:val="1"/>
                <w:color w:val="auto"/>
              </w:rPr>
            </w:pPr>
          </w:p>
        </w:tc>
      </w:tr>
      <w:tr>
        <w:trPr>
          <w:trHeight w:val="230"/>
        </w:trPr>
        <w:tc>
          <w:tcPr>
            <w:tcW w:w="1780" w:type="dxa"/>
            <w:vAlign w:val="bottom"/>
            <w:tcBorders>
              <w:bottom w:val="single" w:sz="8" w:color="CCEEFF"/>
            </w:tcBorders>
            <w:gridSpan w:val="4"/>
          </w:tcPr>
          <w:p>
            <w:pPr>
              <w:ind w:left="240"/>
              <w:spacing w:after="0"/>
              <w:rPr>
                <w:sz w:val="20"/>
                <w:szCs w:val="20"/>
                <w:color w:val="auto"/>
              </w:rPr>
            </w:pPr>
            <w:r>
              <w:rPr>
                <w:rFonts w:ascii="Times New Roman" w:cs="Times New Roman" w:eastAsia="Times New Roman" w:hAnsi="Times New Roman"/>
                <w:sz w:val="18"/>
                <w:szCs w:val="18"/>
                <w:color w:val="auto"/>
              </w:rPr>
              <w:t>Gross margin</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0" w:type="dxa"/>
            <w:vAlign w:val="bottom"/>
          </w:tcPr>
          <w:p>
            <w:pPr>
              <w:spacing w:after="0"/>
              <w:rPr>
                <w:sz w:val="1"/>
                <w:szCs w:val="1"/>
                <w:color w:val="auto"/>
              </w:rPr>
            </w:pPr>
          </w:p>
        </w:tc>
      </w:tr>
      <w:tr>
        <w:trPr>
          <w:trHeight w:val="223"/>
        </w:trPr>
        <w:tc>
          <w:tcPr>
            <w:tcW w:w="350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for: Transaction and risk losses</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3"/>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126,714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3"/>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152,375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3"/>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219,687</w:t>
            </w:r>
          </w:p>
        </w:tc>
        <w:tc>
          <w:tcPr>
            <w:tcW w:w="0" w:type="dxa"/>
            <w:vAlign w:val="bottom"/>
          </w:tcPr>
          <w:p>
            <w:pPr>
              <w:spacing w:after="0"/>
              <w:rPr>
                <w:sz w:val="1"/>
                <w:szCs w:val="1"/>
                <w:color w:val="auto"/>
              </w:rPr>
            </w:pPr>
          </w:p>
        </w:tc>
      </w:tr>
      <w:tr>
        <w:trPr>
          <w:trHeight w:val="223"/>
        </w:trPr>
        <w:tc>
          <w:tcPr>
            <w:tcW w:w="17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Transaction profit</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jc w:val="right"/>
              <w:ind w:right="157"/>
              <w:spacing w:after="0"/>
              <w:rPr>
                <w:sz w:val="20"/>
                <w:szCs w:val="20"/>
                <w:color w:val="auto"/>
              </w:rPr>
            </w:pPr>
            <w:r>
              <w:rPr>
                <w:rFonts w:ascii="Times New Roman" w:cs="Times New Roman" w:eastAsia="Times New Roman" w:hAnsi="Times New Roman"/>
                <w:sz w:val="18"/>
                <w:szCs w:val="18"/>
                <w:color w:val="auto"/>
              </w:rPr>
              <w:t>667,438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ind w:right="157"/>
              <w:spacing w:after="0"/>
              <w:rPr>
                <w:sz w:val="20"/>
                <w:szCs w:val="20"/>
                <w:color w:val="auto"/>
              </w:rPr>
            </w:pPr>
            <w:r>
              <w:rPr>
                <w:rFonts w:ascii="Times New Roman" w:cs="Times New Roman" w:eastAsia="Times New Roman" w:hAnsi="Times New Roman"/>
                <w:sz w:val="18"/>
                <w:szCs w:val="18"/>
                <w:color w:val="auto"/>
              </w:rPr>
              <w:t>906,343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gridSpan w:val="4"/>
          </w:tcPr>
          <w:p>
            <w:pPr>
              <w:jc w:val="right"/>
              <w:ind w:right="157"/>
              <w:spacing w:after="0"/>
              <w:rPr>
                <w:sz w:val="20"/>
                <w:szCs w:val="20"/>
                <w:color w:val="auto"/>
              </w:rPr>
            </w:pPr>
            <w:r>
              <w:rPr>
                <w:rFonts w:ascii="Times New Roman" w:cs="Times New Roman" w:eastAsia="Times New Roman" w:hAnsi="Times New Roman"/>
                <w:sz w:val="18"/>
                <w:szCs w:val="18"/>
                <w:color w:val="auto"/>
              </w:rPr>
              <w:t>1,246,071</w:t>
            </w:r>
          </w:p>
        </w:tc>
        <w:tc>
          <w:tcPr>
            <w:tcW w:w="0" w:type="dxa"/>
            <w:vAlign w:val="bottom"/>
          </w:tcPr>
          <w:p>
            <w:pPr>
              <w:spacing w:after="0"/>
              <w:rPr>
                <w:sz w:val="1"/>
                <w:szCs w:val="1"/>
                <w:color w:val="auto"/>
              </w:rPr>
            </w:pPr>
          </w:p>
        </w:tc>
      </w:tr>
      <w:tr>
        <w:trPr>
          <w:trHeight w:val="20"/>
        </w:trPr>
        <w:tc>
          <w:tcPr>
            <w:tcW w:w="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780" w:type="dxa"/>
            <w:vAlign w:val="bottom"/>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Transaction margin</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0" w:type="dxa"/>
            <w:vAlign w:val="bottom"/>
          </w:tcPr>
          <w:p>
            <w:pPr>
              <w:spacing w:after="0"/>
              <w:rPr>
                <w:sz w:val="1"/>
                <w:szCs w:val="1"/>
                <w:color w:val="auto"/>
              </w:rPr>
            </w:pPr>
          </w:p>
        </w:tc>
      </w:tr>
      <w:tr>
        <w:trPr>
          <w:trHeight w:val="423"/>
        </w:trPr>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gridSpan w:val="5"/>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960" w:type="dxa"/>
            <w:vAlign w:val="bottom"/>
            <w:vMerge w:val="restart"/>
          </w:tcPr>
          <w:p>
            <w:pPr>
              <w:ind w:left="20"/>
              <w:spacing w:after="0"/>
              <w:rPr>
                <w:sz w:val="20"/>
                <w:szCs w:val="20"/>
                <w:color w:val="auto"/>
              </w:rPr>
            </w:pPr>
            <w:r>
              <w:rPr>
                <w:rFonts w:ascii="Times New Roman" w:cs="Times New Roman" w:eastAsia="Times New Roman" w:hAnsi="Times New Roman"/>
                <w:sz w:val="11"/>
                <w:szCs w:val="11"/>
                <w:i w:val="1"/>
                <w:iCs w:val="1"/>
                <w:color w:val="auto"/>
              </w:rPr>
              <w:t>(unaudited, in</w:t>
            </w: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9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96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i w:val="1"/>
                <w:iCs w:val="1"/>
                <w:color w:val="auto"/>
              </w:rPr>
              <w:t>thousands, except</w:t>
            </w:r>
          </w:p>
        </w:tc>
        <w:tc>
          <w:tcPr>
            <w:tcW w:w="820" w:type="dxa"/>
            <w:vAlign w:val="bottom"/>
            <w:gridSpan w:val="3"/>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Mar 31, 2022</w:t>
            </w:r>
          </w:p>
        </w:tc>
        <w:tc>
          <w:tcPr>
            <w:tcW w:w="100" w:type="dxa"/>
            <w:vAlign w:val="bottom"/>
          </w:tcPr>
          <w:p>
            <w:pPr>
              <w:spacing w:after="0"/>
              <w:rPr>
                <w:sz w:val="9"/>
                <w:szCs w:val="9"/>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Jun 30, 2022</w:t>
            </w:r>
          </w:p>
        </w:tc>
        <w:tc>
          <w:tcPr>
            <w:tcW w:w="80" w:type="dxa"/>
            <w:vAlign w:val="bottom"/>
          </w:tcPr>
          <w:p>
            <w:pPr>
              <w:spacing w:after="0"/>
              <w:rPr>
                <w:sz w:val="9"/>
                <w:szCs w:val="9"/>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Sep 30, 2022</w:t>
            </w:r>
          </w:p>
        </w:tc>
        <w:tc>
          <w:tcPr>
            <w:tcW w:w="80" w:type="dxa"/>
            <w:vAlign w:val="bottom"/>
          </w:tcPr>
          <w:p>
            <w:pPr>
              <w:spacing w:after="0"/>
              <w:rPr>
                <w:sz w:val="9"/>
                <w:szCs w:val="9"/>
                <w:color w:val="auto"/>
              </w:rPr>
            </w:pPr>
          </w:p>
        </w:tc>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Dec 31, 2022</w:t>
            </w:r>
          </w:p>
        </w:tc>
        <w:tc>
          <w:tcPr>
            <w:tcW w:w="80" w:type="dxa"/>
            <w:vAlign w:val="bottom"/>
          </w:tcPr>
          <w:p>
            <w:pPr>
              <w:spacing w:after="0"/>
              <w:rPr>
                <w:sz w:val="9"/>
                <w:szCs w:val="9"/>
                <w:color w:val="auto"/>
              </w:rPr>
            </w:pPr>
          </w:p>
        </w:tc>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Mar 31, 2023</w:t>
            </w:r>
          </w:p>
        </w:tc>
        <w:tc>
          <w:tcPr>
            <w:tcW w:w="80" w:type="dxa"/>
            <w:vAlign w:val="bottom"/>
          </w:tcPr>
          <w:p>
            <w:pPr>
              <w:spacing w:after="0"/>
              <w:rPr>
                <w:sz w:val="9"/>
                <w:szCs w:val="9"/>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Jun 30, 2023</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vMerge w:val="restart"/>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99"/>
              </w:rPr>
              <w:t>Sep 30, 2023</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Dec 31, 2023</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vMerge w:val="restart"/>
          </w:tcPr>
          <w:p>
            <w:pPr>
              <w:jc w:val="right"/>
              <w:ind w:right="17"/>
              <w:spacing w:after="0"/>
              <w:rPr>
                <w:sz w:val="20"/>
                <w:szCs w:val="20"/>
                <w:color w:val="auto"/>
              </w:rPr>
            </w:pPr>
            <w:r>
              <w:rPr>
                <w:rFonts w:ascii="Times New Roman" w:cs="Times New Roman" w:eastAsia="Times New Roman" w:hAnsi="Times New Roman"/>
                <w:sz w:val="11"/>
                <w:szCs w:val="11"/>
                <w:b w:val="1"/>
                <w:bCs w:val="1"/>
                <w:color w:val="auto"/>
                <w:w w:val="96"/>
              </w:rPr>
              <w:t>Mar 31, 2024</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Jun 30, 2024</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restart"/>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w w:val="95"/>
              </w:rPr>
              <w:t>Sep 30, 2024</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restart"/>
          </w:tcPr>
          <w:p>
            <w:pPr>
              <w:jc w:val="right"/>
              <w:ind w:right="37"/>
              <w:spacing w:after="0"/>
              <w:rPr>
                <w:sz w:val="20"/>
                <w:szCs w:val="20"/>
                <w:color w:val="auto"/>
              </w:rPr>
            </w:pPr>
            <w:r>
              <w:rPr>
                <w:rFonts w:ascii="Times New Roman" w:cs="Times New Roman" w:eastAsia="Times New Roman" w:hAnsi="Times New Roman"/>
                <w:sz w:val="11"/>
                <w:szCs w:val="11"/>
                <w:b w:val="1"/>
                <w:bCs w:val="1"/>
                <w:color w:val="auto"/>
                <w:w w:val="94"/>
              </w:rPr>
              <w:t>Dec 31, 2024</w:t>
            </w:r>
          </w:p>
        </w:tc>
        <w:tc>
          <w:tcPr>
            <w:tcW w:w="0" w:type="dxa"/>
            <w:vAlign w:val="bottom"/>
          </w:tcPr>
          <w:p>
            <w:pPr>
              <w:spacing w:after="0"/>
              <w:rPr>
                <w:sz w:val="1"/>
                <w:szCs w:val="1"/>
                <w:color w:val="auto"/>
              </w:rPr>
            </w:pPr>
          </w:p>
        </w:tc>
      </w:tr>
      <w:tr>
        <w:trPr>
          <w:trHeight w:val="155"/>
        </w:trPr>
        <w:tc>
          <w:tcPr>
            <w:tcW w:w="96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percentages)</w:t>
            </w:r>
          </w:p>
        </w:tc>
        <w:tc>
          <w:tcPr>
            <w:tcW w:w="82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Gross profit</w:t>
            </w:r>
          </w:p>
        </w:tc>
        <w:tc>
          <w:tcPr>
            <w:tcW w:w="200" w:type="dxa"/>
            <w:vAlign w:val="bottom"/>
            <w:tcBorders>
              <w:top w:val="single" w:sz="8" w:color="auto"/>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196,251</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185,017</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195,640</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217,244</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254,583</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248,293</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253,350</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1"/>
                <w:szCs w:val="11"/>
                <w:color w:val="auto"/>
              </w:rPr>
              <w:t>302,492</w:t>
            </w:r>
          </w:p>
        </w:tc>
        <w:tc>
          <w:tcPr>
            <w:tcW w:w="20" w:type="dxa"/>
            <w:vAlign w:val="bottom"/>
            <w:tcBorders>
              <w:top w:val="single" w:sz="8" w:color="auto"/>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1"/>
                <w:szCs w:val="11"/>
                <w:color w:val="auto"/>
              </w:rPr>
              <w:t>344,525</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1"/>
                <w:szCs w:val="11"/>
                <w:color w:val="auto"/>
              </w:rPr>
              <w:t>333,710</w:t>
            </w:r>
          </w:p>
        </w:tc>
        <w:tc>
          <w:tcPr>
            <w:tcW w:w="20" w:type="dxa"/>
            <w:vAlign w:val="bottom"/>
            <w:tcBorders>
              <w:top w:val="single" w:sz="8" w:color="auto"/>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1"/>
                <w:szCs w:val="11"/>
                <w:color w:val="auto"/>
              </w:rPr>
              <w:t>368,355</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1"/>
                <w:szCs w:val="11"/>
                <w:color w:val="auto"/>
              </w:rPr>
              <w:t>419,168</w:t>
            </w:r>
          </w:p>
        </w:tc>
        <w:tc>
          <w:tcPr>
            <w:tcW w:w="0" w:type="dxa"/>
            <w:vAlign w:val="bottom"/>
          </w:tcPr>
          <w:p>
            <w:pPr>
              <w:spacing w:after="0"/>
              <w:rPr>
                <w:sz w:val="1"/>
                <w:szCs w:val="1"/>
                <w:color w:val="auto"/>
              </w:rPr>
            </w:pPr>
          </w:p>
        </w:tc>
      </w:tr>
      <w:tr>
        <w:trPr>
          <w:trHeight w:val="140"/>
        </w:trPr>
        <w:tc>
          <w:tcPr>
            <w:tcW w:w="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Gross margin</w:t>
            </w:r>
          </w:p>
        </w:tc>
        <w:tc>
          <w:tcPr>
            <w:tcW w:w="2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82 %</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75 %</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78 %</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81 %</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82 %</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81 %</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79 %</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89 %</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87 %</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88 %</w:t>
            </w:r>
          </w:p>
        </w:tc>
        <w:tc>
          <w:tcPr>
            <w:tcW w:w="0" w:type="dxa"/>
            <w:vAlign w:val="bottom"/>
          </w:tcPr>
          <w:p>
            <w:pPr>
              <w:spacing w:after="0"/>
              <w:rPr>
                <w:sz w:val="1"/>
                <w:szCs w:val="1"/>
                <w:color w:val="auto"/>
              </w:rPr>
            </w:pPr>
          </w:p>
        </w:tc>
      </w:tr>
      <w:tr>
        <w:trPr>
          <w:trHeight w:val="22"/>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Adjusted for:</w:t>
            </w:r>
          </w:p>
        </w:tc>
        <w:tc>
          <w:tcPr>
            <w:tcW w:w="20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96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Transaction and risk</w:t>
            </w:r>
          </w:p>
        </w:tc>
        <w:tc>
          <w:tcPr>
            <w:tcW w:w="200" w:type="dxa"/>
            <w:vAlign w:val="bottom"/>
          </w:tcPr>
          <w:p>
            <w:pPr>
              <w:spacing w:after="0"/>
              <w:rPr>
                <w:sz w:val="9"/>
                <w:szCs w:val="9"/>
                <w:color w:val="auto"/>
              </w:rPr>
            </w:pPr>
          </w:p>
        </w:tc>
        <w:tc>
          <w:tcPr>
            <w:tcW w:w="540" w:type="dxa"/>
            <w:vAlign w:val="bottom"/>
            <w:vMerge w:val="restart"/>
          </w:tcPr>
          <w:p>
            <w:pPr>
              <w:jc w:val="right"/>
              <w:ind w:right="86"/>
              <w:spacing w:after="0"/>
              <w:rPr>
                <w:sz w:val="20"/>
                <w:szCs w:val="20"/>
                <w:color w:val="auto"/>
              </w:rPr>
            </w:pPr>
            <w:r>
              <w:rPr>
                <w:rFonts w:ascii="Times New Roman" w:cs="Times New Roman" w:eastAsia="Times New Roman" w:hAnsi="Times New Roman"/>
                <w:sz w:val="11"/>
                <w:szCs w:val="11"/>
                <w:color w:val="auto"/>
              </w:rPr>
              <w:t>31,677</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32,161</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vMerge w:val="restart"/>
          </w:tcPr>
          <w:p>
            <w:pPr>
              <w:jc w:val="right"/>
              <w:ind w:right="86"/>
              <w:spacing w:after="0"/>
              <w:rPr>
                <w:sz w:val="20"/>
                <w:szCs w:val="20"/>
                <w:color w:val="auto"/>
              </w:rPr>
            </w:pPr>
            <w:r>
              <w:rPr>
                <w:rFonts w:ascii="Times New Roman" w:cs="Times New Roman" w:eastAsia="Times New Roman" w:hAnsi="Times New Roman"/>
                <w:sz w:val="11"/>
                <w:szCs w:val="11"/>
                <w:color w:val="auto"/>
              </w:rPr>
              <w:t>33,047</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vMerge w:val="restart"/>
          </w:tcPr>
          <w:p>
            <w:pPr>
              <w:jc w:val="right"/>
              <w:ind w:right="86"/>
              <w:spacing w:after="0"/>
              <w:rPr>
                <w:sz w:val="20"/>
                <w:szCs w:val="20"/>
                <w:color w:val="auto"/>
              </w:rPr>
            </w:pPr>
            <w:r>
              <w:rPr>
                <w:rFonts w:ascii="Times New Roman" w:cs="Times New Roman" w:eastAsia="Times New Roman" w:hAnsi="Times New Roman"/>
                <w:sz w:val="11"/>
                <w:szCs w:val="11"/>
                <w:color w:val="auto"/>
              </w:rPr>
              <w:t>29,829</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vMerge w:val="restart"/>
          </w:tcPr>
          <w:p>
            <w:pPr>
              <w:jc w:val="right"/>
              <w:ind w:right="86"/>
              <w:spacing w:after="0"/>
              <w:rPr>
                <w:sz w:val="20"/>
                <w:szCs w:val="20"/>
                <w:color w:val="auto"/>
              </w:rPr>
            </w:pPr>
            <w:r>
              <w:rPr>
                <w:rFonts w:ascii="Times New Roman" w:cs="Times New Roman" w:eastAsia="Times New Roman" w:hAnsi="Times New Roman"/>
                <w:sz w:val="11"/>
                <w:szCs w:val="11"/>
                <w:color w:val="auto"/>
              </w:rPr>
              <w:t>27,586</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34,846</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vMerge w:val="restart"/>
          </w:tcPr>
          <w:p>
            <w:pPr>
              <w:jc w:val="right"/>
              <w:ind w:right="83"/>
              <w:spacing w:after="0"/>
              <w:rPr>
                <w:sz w:val="20"/>
                <w:szCs w:val="20"/>
                <w:color w:val="auto"/>
              </w:rPr>
            </w:pPr>
            <w:r>
              <w:rPr>
                <w:rFonts w:ascii="Times New Roman" w:cs="Times New Roman" w:eastAsia="Times New Roman" w:hAnsi="Times New Roman"/>
                <w:sz w:val="11"/>
                <w:szCs w:val="11"/>
                <w:color w:val="auto"/>
              </w:rPr>
              <w:t>52,423</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vMerge w:val="restart"/>
          </w:tcPr>
          <w:p>
            <w:pPr>
              <w:jc w:val="right"/>
              <w:ind w:right="37"/>
              <w:spacing w:after="0"/>
              <w:rPr>
                <w:sz w:val="20"/>
                <w:szCs w:val="20"/>
                <w:color w:val="auto"/>
              </w:rPr>
            </w:pPr>
            <w:r>
              <w:rPr>
                <w:rFonts w:ascii="Times New Roman" w:cs="Times New Roman" w:eastAsia="Times New Roman" w:hAnsi="Times New Roman"/>
                <w:sz w:val="11"/>
                <w:szCs w:val="11"/>
                <w:color w:val="auto"/>
              </w:rPr>
              <w:t>37,520</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vMerge w:val="restart"/>
          </w:tcPr>
          <w:p>
            <w:pPr>
              <w:jc w:val="right"/>
              <w:ind w:right="57"/>
              <w:spacing w:after="0"/>
              <w:rPr>
                <w:sz w:val="20"/>
                <w:szCs w:val="20"/>
                <w:color w:val="auto"/>
              </w:rPr>
            </w:pPr>
            <w:r>
              <w:rPr>
                <w:rFonts w:ascii="Times New Roman" w:cs="Times New Roman" w:eastAsia="Times New Roman" w:hAnsi="Times New Roman"/>
                <w:sz w:val="11"/>
                <w:szCs w:val="11"/>
                <w:color w:val="auto"/>
              </w:rPr>
              <w:t>36,038</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restart"/>
          </w:tcPr>
          <w:p>
            <w:pPr>
              <w:jc w:val="right"/>
              <w:ind w:right="57"/>
              <w:spacing w:after="0"/>
              <w:rPr>
                <w:sz w:val="20"/>
                <w:szCs w:val="20"/>
                <w:color w:val="auto"/>
              </w:rPr>
            </w:pPr>
            <w:r>
              <w:rPr>
                <w:rFonts w:ascii="Times New Roman" w:cs="Times New Roman" w:eastAsia="Times New Roman" w:hAnsi="Times New Roman"/>
                <w:sz w:val="11"/>
                <w:szCs w:val="11"/>
                <w:color w:val="auto"/>
              </w:rPr>
              <w:t>35,000</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restart"/>
          </w:tcPr>
          <w:p>
            <w:pPr>
              <w:jc w:val="right"/>
              <w:ind w:right="76"/>
              <w:spacing w:after="0"/>
              <w:rPr>
                <w:sz w:val="20"/>
                <w:szCs w:val="20"/>
                <w:color w:val="auto"/>
              </w:rPr>
            </w:pPr>
            <w:r>
              <w:rPr>
                <w:rFonts w:ascii="Times New Roman" w:cs="Times New Roman" w:eastAsia="Times New Roman" w:hAnsi="Times New Roman"/>
                <w:sz w:val="11"/>
                <w:szCs w:val="11"/>
                <w:color w:val="auto"/>
              </w:rPr>
              <w:t>55,159</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restart"/>
          </w:tcPr>
          <w:p>
            <w:pPr>
              <w:jc w:val="right"/>
              <w:ind w:right="77"/>
              <w:spacing w:after="0"/>
              <w:rPr>
                <w:sz w:val="20"/>
                <w:szCs w:val="20"/>
                <w:color w:val="auto"/>
              </w:rPr>
            </w:pPr>
            <w:r>
              <w:rPr>
                <w:rFonts w:ascii="Times New Roman" w:cs="Times New Roman" w:eastAsia="Times New Roman" w:hAnsi="Times New Roman"/>
                <w:sz w:val="11"/>
                <w:szCs w:val="11"/>
                <w:color w:val="auto"/>
              </w:rPr>
              <w:t>93,490</w:t>
            </w:r>
          </w:p>
        </w:tc>
        <w:tc>
          <w:tcPr>
            <w:tcW w:w="0" w:type="dxa"/>
            <w:vAlign w:val="bottom"/>
          </w:tcPr>
          <w:p>
            <w:pPr>
              <w:spacing w:after="0"/>
              <w:rPr>
                <w:sz w:val="1"/>
                <w:szCs w:val="1"/>
                <w:color w:val="auto"/>
              </w:rPr>
            </w:pPr>
          </w:p>
        </w:tc>
      </w:tr>
      <w:tr>
        <w:trPr>
          <w:trHeight w:val="140"/>
        </w:trPr>
        <w:tc>
          <w:tcPr>
            <w:tcW w:w="9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losses</w:t>
            </w:r>
          </w:p>
        </w:tc>
        <w:tc>
          <w:tcPr>
            <w:tcW w:w="2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Transaction profit</w:t>
            </w:r>
          </w:p>
        </w:tc>
        <w:tc>
          <w:tcPr>
            <w:tcW w:w="2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164,574</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152,856</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162,593</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187,415</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226,997</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213,447</w:t>
            </w:r>
          </w:p>
        </w:tc>
        <w:tc>
          <w:tcPr>
            <w:tcW w:w="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200,927</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1"/>
                <w:szCs w:val="11"/>
                <w:color w:val="auto"/>
              </w:rPr>
              <w:t>264,972</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1"/>
                <w:szCs w:val="11"/>
                <w:color w:val="auto"/>
              </w:rPr>
              <w:t>308,487</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1"/>
                <w:szCs w:val="11"/>
                <w:color w:val="auto"/>
              </w:rPr>
              <w:t>298,710</w:t>
            </w: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1"/>
                <w:szCs w:val="11"/>
                <w:color w:val="auto"/>
              </w:rPr>
              <w:t>313,196</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1"/>
                <w:szCs w:val="11"/>
                <w:color w:val="auto"/>
              </w:rPr>
              <w:t>325,678</w:t>
            </w:r>
          </w:p>
        </w:tc>
        <w:tc>
          <w:tcPr>
            <w:tcW w:w="0" w:type="dxa"/>
            <w:vAlign w:val="bottom"/>
          </w:tcPr>
          <w:p>
            <w:pPr>
              <w:spacing w:after="0"/>
              <w:rPr>
                <w:sz w:val="1"/>
                <w:szCs w:val="1"/>
                <w:color w:val="auto"/>
              </w:rPr>
            </w:pPr>
          </w:p>
        </w:tc>
      </w:tr>
      <w:tr>
        <w:trPr>
          <w:trHeight w:val="134"/>
        </w:trPr>
        <w:tc>
          <w:tcPr>
            <w:tcW w:w="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Transaction margin</w:t>
            </w:r>
          </w:p>
        </w:tc>
        <w:tc>
          <w:tcPr>
            <w:tcW w:w="2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69 %</w:t>
            </w: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62 %</w:t>
            </w: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65 %</w:t>
            </w: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69 %</w:t>
            </w: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73 %</w:t>
            </w: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69 %</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63 %</w:t>
            </w: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78 %</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79 %</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78 %</w:t>
            </w:r>
          </w:p>
        </w:tc>
        <w:tc>
          <w:tcPr>
            <w:tcW w:w="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74 %</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69 %</w:t>
            </w:r>
          </w:p>
        </w:tc>
        <w:tc>
          <w:tcPr>
            <w:tcW w:w="0" w:type="dxa"/>
            <w:vAlign w:val="bottom"/>
          </w:tcPr>
          <w:p>
            <w:pPr>
              <w:spacing w:after="0"/>
              <w:rPr>
                <w:sz w:val="1"/>
                <w:szCs w:val="1"/>
                <w:color w:val="auto"/>
              </w:rPr>
            </w:pPr>
          </w:p>
        </w:tc>
      </w:tr>
      <w:tr>
        <w:trPr>
          <w:trHeight w:val="22"/>
        </w:trPr>
        <w:tc>
          <w:tcPr>
            <w:tcW w:w="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240"/>
          </w:cols>
          <w:pgMar w:left="320" w:top="124" w:right="339" w:bottom="1440" w:gutter="0" w:footer="0" w:header="0"/>
        </w:sectPr>
      </w:pPr>
    </w:p>
    <w:bookmarkStart w:id="97" w:name="page98"/>
    <w:bookmarkEnd w:id="97"/>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Adjusted EBITDA and Adjusted EBITDA Margin</w:t>
      </w:r>
    </w:p>
    <w:p>
      <w:pPr>
        <w:spacing w:after="0" w:line="17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define adjusted EBITDA as net income (loss), adjusted for (i) depreciation and amortization expense, (ii) other income (expense), net, (iii) provision (benefit) for income taxes, (iv) stock-based compensation expense, and (v) certain expenses that do not reflect our core operations and may vary significantly from period to period, including restructuring charges, impairment charges, and certain legal and regulatory charges. We define adjusted EBITDA margin as adjusted EBITDA divided by revenue. We believe that adjusted EBITDA and adjusted EBITDA margin are key measures of our operating performance, and management uses these measures to formulate business plans, prepare budgets and forecasts, and make strategic decisions, including those relating to operating expenses and the allocation of internal resources. We have increased our adjusted EBITDA margin as a result of Active Member and Purchase Volume growth, realized operating leverage through increased scale, and from efficiently managing our operating costs. We improved adjusted EBITDA Margin from (40)% in 2022 to approximately breakeven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99060</wp:posOffset>
            </wp:positionV>
            <wp:extent cx="5349240" cy="30086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20"/>
          </w:cols>
          <w:pgMar w:left="320" w:top="124" w:right="45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a reconciliation of net loss to adjusted EBITDA for each of the periods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0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94"/>
        </w:trPr>
        <w:tc>
          <w:tcPr>
            <w:tcW w:w="60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96"/>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(470,254)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(203,202)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(25,344)</w:t>
            </w:r>
          </w:p>
        </w:tc>
      </w:tr>
      <w:tr>
        <w:trPr>
          <w:trHeight w:val="23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margin</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for:</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400" w:type="dxa"/>
            <w:vAlign w:val="bottom"/>
          </w:tcPr>
          <w:p>
            <w:pPr>
              <w:spacing w:after="0"/>
              <w:rPr>
                <w:sz w:val="19"/>
                <w:szCs w:val="19"/>
                <w:color w:val="auto"/>
              </w:rPr>
            </w:pP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7,300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12,937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25,370</w:t>
            </w:r>
          </w:p>
        </w:tc>
      </w:tr>
      <w:tr>
        <w:trPr>
          <w:trHeight w:val="230"/>
        </w:trPr>
        <w:tc>
          <w:tcPr>
            <w:tcW w:w="60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(income) expense, net</w:t>
            </w:r>
            <w:r>
              <w:rPr>
                <w:rFonts w:ascii="Times New Roman" w:cs="Times New Roman" w:eastAsia="Times New Roman" w:hAnsi="Times New Roman"/>
                <w:sz w:val="23"/>
                <w:szCs w:val="23"/>
                <w:color w:val="auto"/>
                <w:vertAlign w:val="superscript"/>
              </w:rPr>
              <w:t>(1)</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(8,111)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(32,817)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(39,465)</w:t>
            </w:r>
          </w:p>
        </w:tc>
      </w:tr>
      <w:tr>
        <w:trPr>
          <w:trHeight w:val="22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400" w:type="dxa"/>
            <w:vAlign w:val="bottom"/>
          </w:tcPr>
          <w:p>
            <w:pPr>
              <w:spacing w:after="0"/>
              <w:rPr>
                <w:sz w:val="19"/>
                <w:szCs w:val="19"/>
                <w:color w:val="auto"/>
              </w:rPr>
            </w:pP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2,610</w:t>
            </w: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28,350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26,035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29,845</w:t>
            </w:r>
          </w:p>
        </w:tc>
      </w:tr>
      <w:tr>
        <w:trPr>
          <w:trHeight w:val="229"/>
        </w:trPr>
        <w:tc>
          <w:tcPr>
            <w:tcW w:w="60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Impairment charge</w:t>
            </w:r>
            <w:r>
              <w:rPr>
                <w:rFonts w:ascii="Times New Roman" w:cs="Times New Roman" w:eastAsia="Times New Roman" w:hAnsi="Times New Roman"/>
                <w:sz w:val="23"/>
                <w:szCs w:val="23"/>
                <w:color w:val="auto"/>
                <w:vertAlign w:val="superscript"/>
              </w:rPr>
              <w:t>(2)</w:t>
            </w:r>
          </w:p>
        </w:tc>
        <w:tc>
          <w:tcPr>
            <w:tcW w:w="400" w:type="dxa"/>
            <w:vAlign w:val="bottom"/>
          </w:tcPr>
          <w:p>
            <w:pPr>
              <w:spacing w:after="0"/>
              <w:rPr>
                <w:sz w:val="19"/>
                <w:szCs w:val="19"/>
                <w:color w:val="auto"/>
              </w:rPr>
            </w:pP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18,271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0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Restructuring charges</w:t>
            </w:r>
            <w:r>
              <w:rPr>
                <w:rFonts w:ascii="Times New Roman" w:cs="Times New Roman" w:eastAsia="Times New Roman" w:hAnsi="Times New Roman"/>
                <w:sz w:val="23"/>
                <w:szCs w:val="23"/>
                <w:color w:val="auto"/>
                <w:vertAlign w:val="superscript"/>
              </w:rPr>
              <w:t>(3)</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14,383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Certain legal and regulatory charges</w:t>
            </w:r>
            <w:r>
              <w:rPr>
                <w:rFonts w:ascii="Times New Roman" w:cs="Times New Roman" w:eastAsia="Times New Roman" w:hAnsi="Times New Roman"/>
                <w:sz w:val="23"/>
                <w:szCs w:val="23"/>
                <w:color w:val="auto"/>
                <w:vertAlign w:val="superscript"/>
              </w:rPr>
              <w:t>(4)</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4,275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(406,123)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(189,313)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(6,984)</w:t>
            </w:r>
          </w:p>
        </w:tc>
      </w:tr>
      <w:tr>
        <w:trPr>
          <w:trHeight w:val="22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Relates primarily to interest income, which consists of interest and dividends earned on our cash and cash equivalents and marketable securities.</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2022, relates to the impairment of certain real estate assets.</w:t>
      </w:r>
    </w:p>
    <w:p>
      <w:pPr>
        <w:spacing w:after="0" w:line="14" w:lineRule="exact"/>
        <w:rPr>
          <w:rFonts w:ascii="Times New Roman" w:cs="Times New Roman" w:eastAsia="Times New Roman" w:hAnsi="Times New Roman"/>
          <w:sz w:val="14"/>
          <w:szCs w:val="14"/>
          <w:color w:val="auto"/>
        </w:rPr>
      </w:pPr>
    </w:p>
    <w:p>
      <w:pPr>
        <w:ind w:left="340" w:right="100" w:hanging="332"/>
        <w:spacing w:after="0" w:line="257" w:lineRule="auto"/>
        <w:tabs>
          <w:tab w:leader="none" w:pos="332"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For 2022, includes $7.8 million of cash charges for employee-related wages, benefits and severance, $4.0 million in previously capitalized deferred offering costs and $2.6 million of impairment related to internal-use software due to the restructuring that occurred in November 2022. The restructuring charges are recorded on our consolidated statements of operations as follows: $6.6 million in general and administrative, $5.9 million in technology and development, $1.4 million in member support and operations, and $0.5 million in sales and marketing. See Note 16 – </w:t>
      </w:r>
      <w:r>
        <w:rPr>
          <w:rFonts w:ascii="Times New Roman" w:cs="Times New Roman" w:eastAsia="Times New Roman" w:hAnsi="Times New Roman"/>
          <w:sz w:val="14"/>
          <w:szCs w:val="14"/>
          <w:i w:val="1"/>
          <w:iCs w:val="1"/>
          <w:color w:val="auto"/>
        </w:rPr>
        <w:t>Restructuring</w:t>
      </w:r>
      <w:r>
        <w:rPr>
          <w:rFonts w:ascii="Times New Roman" w:cs="Times New Roman" w:eastAsia="Times New Roman" w:hAnsi="Times New Roman"/>
          <w:sz w:val="14"/>
          <w:szCs w:val="14"/>
          <w:color w:val="auto"/>
        </w:rPr>
        <w:t xml:space="preserve"> within the notes to our consolidated financial statements included elsewhere in this prospectus. Restructuring related charges for stock-based compensation of $0.2 million incurred in 2022 are included on its respective line item.</w:t>
      </w:r>
    </w:p>
    <w:p>
      <w:pPr>
        <w:spacing w:after="0" w:line="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2022, relates to a settlement amount regarding a mass arbitration matter. For 2023, relates to the CFPB Consent Order and related redress payments and the DFPI Consent Order.</w:t>
      </w:r>
    </w:p>
    <w:p>
      <w:pPr>
        <w:spacing w:after="0" w:line="221"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0"/>
          <w:szCs w:val="10"/>
          <w:b w:val="1"/>
          <w:bCs w:val="1"/>
          <w:color w:val="auto"/>
        </w:rPr>
        <w:t>Three Months Ended</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i w:val="1"/>
          <w:iCs w:val="1"/>
          <w:color w:val="auto"/>
        </w:rPr>
        <w:t>(unaudited,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-75565</wp:posOffset>
            </wp:positionV>
            <wp:extent cx="64979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ind w:left="20"/>
        <w:spacing w:after="0" w:line="204" w:lineRule="auto"/>
        <w:rPr>
          <w:sz w:val="20"/>
          <w:szCs w:val="20"/>
          <w:color w:val="auto"/>
        </w:rPr>
      </w:pPr>
      <w:r>
        <w:rPr>
          <w:rFonts w:ascii="Times New Roman" w:cs="Times New Roman" w:eastAsia="Times New Roman" w:hAnsi="Times New Roman"/>
          <w:sz w:val="11"/>
          <w:szCs w:val="11"/>
          <w:i w:val="1"/>
          <w:iCs w:val="1"/>
          <w:color w:val="auto"/>
        </w:rPr>
        <w:t>thousands, except</w:t>
      </w:r>
    </w:p>
    <w:tbl>
      <w:tblPr>
        <w:tblLayout w:type="fixed"/>
        <w:tblInd w:w="0" w:type="dxa"/>
        <w:tblCellMar>
          <w:top w:w="0" w:type="dxa"/>
          <w:left w:w="0" w:type="dxa"/>
          <w:bottom w:w="0" w:type="dxa"/>
          <w:right w:w="0" w:type="dxa"/>
        </w:tblCellMar>
      </w:tblPr>
      <w:tr>
        <w:trPr>
          <w:trHeight w:val="146"/>
        </w:trPr>
        <w:tc>
          <w:tcPr>
            <w:tcW w:w="100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percentages)</w:t>
            </w:r>
          </w:p>
        </w:tc>
        <w:tc>
          <w:tcPr>
            <w:tcW w:w="100" w:type="dxa"/>
            <w:vAlign w:val="bottom"/>
          </w:tcPr>
          <w:p>
            <w:pPr>
              <w:spacing w:after="0"/>
              <w:rPr>
                <w:sz w:val="12"/>
                <w:szCs w:val="12"/>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Mar 31, 2022</w:t>
            </w:r>
          </w:p>
        </w:tc>
        <w:tc>
          <w:tcPr>
            <w:tcW w:w="80" w:type="dxa"/>
            <w:vAlign w:val="bottom"/>
          </w:tcPr>
          <w:p>
            <w:pPr>
              <w:spacing w:after="0"/>
              <w:rPr>
                <w:sz w:val="12"/>
                <w:szCs w:val="12"/>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Jun 30, 2022</w:t>
            </w:r>
          </w:p>
        </w:tc>
        <w:tc>
          <w:tcPr>
            <w:tcW w:w="100" w:type="dxa"/>
            <w:vAlign w:val="bottom"/>
          </w:tcPr>
          <w:p>
            <w:pPr>
              <w:spacing w:after="0"/>
              <w:rPr>
                <w:sz w:val="12"/>
                <w:szCs w:val="12"/>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Sep 30, 2022</w:t>
            </w:r>
          </w:p>
        </w:tc>
        <w:tc>
          <w:tcPr>
            <w:tcW w:w="80" w:type="dxa"/>
            <w:vAlign w:val="bottom"/>
          </w:tcPr>
          <w:p>
            <w:pPr>
              <w:spacing w:after="0"/>
              <w:rPr>
                <w:sz w:val="12"/>
                <w:szCs w:val="12"/>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Dec 31, 2022</w:t>
            </w:r>
          </w:p>
        </w:tc>
        <w:tc>
          <w:tcPr>
            <w:tcW w:w="80" w:type="dxa"/>
            <w:vAlign w:val="bottom"/>
          </w:tcPr>
          <w:p>
            <w:pPr>
              <w:spacing w:after="0"/>
              <w:rPr>
                <w:sz w:val="12"/>
                <w:szCs w:val="12"/>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Mar 31, 2023</w:t>
            </w:r>
          </w:p>
        </w:tc>
        <w:tc>
          <w:tcPr>
            <w:tcW w:w="100" w:type="dxa"/>
            <w:vAlign w:val="bottom"/>
          </w:tcPr>
          <w:p>
            <w:pPr>
              <w:spacing w:after="0"/>
              <w:rPr>
                <w:sz w:val="12"/>
                <w:szCs w:val="12"/>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Jun 30, 2023</w:t>
            </w:r>
          </w:p>
        </w:tc>
        <w:tc>
          <w:tcPr>
            <w:tcW w:w="100" w:type="dxa"/>
            <w:vAlign w:val="bottom"/>
          </w:tcPr>
          <w:p>
            <w:pPr>
              <w:spacing w:after="0"/>
              <w:rPr>
                <w:sz w:val="12"/>
                <w:szCs w:val="12"/>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Sep 30, 2023</w:t>
            </w:r>
          </w:p>
        </w:tc>
        <w:tc>
          <w:tcPr>
            <w:tcW w:w="100" w:type="dxa"/>
            <w:vAlign w:val="bottom"/>
          </w:tcPr>
          <w:p>
            <w:pPr>
              <w:spacing w:after="0"/>
              <w:rPr>
                <w:sz w:val="12"/>
                <w:szCs w:val="12"/>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Dec 31, 2023</w:t>
            </w:r>
          </w:p>
        </w:tc>
        <w:tc>
          <w:tcPr>
            <w:tcW w:w="80" w:type="dxa"/>
            <w:vAlign w:val="bottom"/>
          </w:tcPr>
          <w:p>
            <w:pPr>
              <w:spacing w:after="0"/>
              <w:rPr>
                <w:sz w:val="12"/>
                <w:szCs w:val="12"/>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Mar 31, 2024</w:t>
            </w:r>
          </w:p>
        </w:tc>
        <w:tc>
          <w:tcPr>
            <w:tcW w:w="100" w:type="dxa"/>
            <w:vAlign w:val="bottom"/>
          </w:tcPr>
          <w:p>
            <w:pPr>
              <w:spacing w:after="0"/>
              <w:rPr>
                <w:sz w:val="12"/>
                <w:szCs w:val="12"/>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Jun 30, 2024</w:t>
            </w:r>
          </w:p>
        </w:tc>
        <w:tc>
          <w:tcPr>
            <w:tcW w:w="100" w:type="dxa"/>
            <w:vAlign w:val="bottom"/>
          </w:tcPr>
          <w:p>
            <w:pPr>
              <w:spacing w:after="0"/>
              <w:rPr>
                <w:sz w:val="12"/>
                <w:szCs w:val="12"/>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Sep 30, 2024</w:t>
            </w:r>
          </w:p>
        </w:tc>
        <w:tc>
          <w:tcPr>
            <w:tcW w:w="100" w:type="dxa"/>
            <w:vAlign w:val="bottom"/>
          </w:tcPr>
          <w:p>
            <w:pPr>
              <w:spacing w:after="0"/>
              <w:rPr>
                <w:sz w:val="12"/>
                <w:szCs w:val="12"/>
                <w:color w:val="auto"/>
              </w:rPr>
            </w:pPr>
          </w:p>
        </w:tc>
        <w:tc>
          <w:tcPr>
            <w:tcW w:w="680" w:type="dxa"/>
            <w:vAlign w:val="bottom"/>
          </w:tcPr>
          <w:p>
            <w:pPr>
              <w:jc w:val="right"/>
              <w:ind w:right="71"/>
              <w:spacing w:after="0"/>
              <w:rPr>
                <w:sz w:val="20"/>
                <w:szCs w:val="20"/>
                <w:color w:val="auto"/>
              </w:rPr>
            </w:pPr>
            <w:r>
              <w:rPr>
                <w:rFonts w:ascii="Times New Roman" w:cs="Times New Roman" w:eastAsia="Times New Roman" w:hAnsi="Times New Roman"/>
                <w:sz w:val="10"/>
                <w:szCs w:val="10"/>
                <w:b w:val="1"/>
                <w:bCs w:val="1"/>
                <w:color w:val="auto"/>
              </w:rPr>
              <w:t>Dec 31, 2024</w:t>
            </w:r>
          </w:p>
        </w:tc>
      </w:tr>
      <w:tr>
        <w:trPr>
          <w:trHeight w:val="146"/>
        </w:trPr>
        <w:tc>
          <w:tcPr>
            <w:tcW w:w="1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Net loss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(127,892)</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(130,431)</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(109,509)</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(102,422)</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(52,359)</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(48,758)</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(68,546)</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(33,539)</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rPr>
              <w:t>15,903</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385</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(22,026)</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(19,606)</w:t>
            </w:r>
          </w:p>
        </w:tc>
      </w:tr>
      <w:tr>
        <w:trPr>
          <w:trHeight w:val="143"/>
        </w:trPr>
        <w:tc>
          <w:tcPr>
            <w:tcW w:w="1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Net margin</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4 %</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0"/>
                <w:szCs w:val="10"/>
                <w:color w:val="auto"/>
              </w:rPr>
              <w:t>— %</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w:t>
            </w:r>
          </w:p>
        </w:tc>
      </w:tr>
      <w:tr>
        <w:trPr>
          <w:trHeight w:val="154"/>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Adjusted for:</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08"/>
        </w:trPr>
        <w:tc>
          <w:tcPr>
            <w:tcW w:w="1000" w:type="dxa"/>
            <w:vAlign w:val="bottom"/>
          </w:tcPr>
          <w:p>
            <w:pPr>
              <w:ind w:left="20"/>
              <w:spacing w:after="0" w:line="108" w:lineRule="exact"/>
              <w:rPr>
                <w:sz w:val="20"/>
                <w:szCs w:val="20"/>
                <w:color w:val="auto"/>
              </w:rPr>
            </w:pPr>
            <w:r>
              <w:rPr>
                <w:rFonts w:ascii="Times New Roman" w:cs="Times New Roman" w:eastAsia="Times New Roman" w:hAnsi="Times New Roman"/>
                <w:sz w:val="10"/>
                <w:szCs w:val="10"/>
                <w:color w:val="auto"/>
              </w:rPr>
              <w:t>Depreciation and</w:t>
            </w: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r>
      <w:tr>
        <w:trPr>
          <w:trHeight w:val="95"/>
        </w:trPr>
        <w:tc>
          <w:tcPr>
            <w:tcW w:w="1000" w:type="dxa"/>
            <w:vAlign w:val="bottom"/>
          </w:tcPr>
          <w:p>
            <w:pPr>
              <w:ind w:left="180"/>
              <w:spacing w:after="0" w:line="95" w:lineRule="exact"/>
              <w:rPr>
                <w:sz w:val="20"/>
                <w:szCs w:val="20"/>
                <w:color w:val="auto"/>
              </w:rPr>
            </w:pPr>
            <w:r>
              <w:rPr>
                <w:rFonts w:ascii="Times New Roman" w:cs="Times New Roman" w:eastAsia="Times New Roman" w:hAnsi="Times New Roman"/>
                <w:sz w:val="10"/>
                <w:szCs w:val="10"/>
                <w:color w:val="auto"/>
              </w:rPr>
              <w:t>amortization</w:t>
            </w: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r>
      <w:tr>
        <w:trPr>
          <w:trHeight w:val="143"/>
        </w:trPr>
        <w:tc>
          <w:tcPr>
            <w:tcW w:w="100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expense</w:t>
            </w:r>
          </w:p>
        </w:tc>
        <w:tc>
          <w:tcPr>
            <w:tcW w:w="100" w:type="dxa"/>
            <w:vAlign w:val="bottom"/>
          </w:tcPr>
          <w:p>
            <w:pPr>
              <w:spacing w:after="0"/>
              <w:rPr>
                <w:sz w:val="12"/>
                <w:szCs w:val="12"/>
                <w:color w:val="auto"/>
              </w:rPr>
            </w:pPr>
          </w:p>
        </w:tc>
        <w:tc>
          <w:tcPr>
            <w:tcW w:w="6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1,018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1,371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2,262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2,649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2,722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2,898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3,603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3,714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5,234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6,117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6,897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7,122</w:t>
            </w:r>
          </w:p>
        </w:tc>
      </w:tr>
      <w:tr>
        <w:trPr>
          <w:trHeight w:val="113"/>
        </w:trPr>
        <w:tc>
          <w:tcPr>
            <w:tcW w:w="1000" w:type="dxa"/>
            <w:vAlign w:val="bottom"/>
            <w:shd w:val="clear" w:color="auto" w:fill="CCEEFF"/>
          </w:tcPr>
          <w:p>
            <w:pPr>
              <w:ind w:left="20"/>
              <w:spacing w:after="0" w:line="114" w:lineRule="exact"/>
              <w:rPr>
                <w:sz w:val="20"/>
                <w:szCs w:val="20"/>
                <w:color w:val="auto"/>
              </w:rPr>
            </w:pPr>
            <w:r>
              <w:rPr>
                <w:rFonts w:ascii="Times New Roman" w:cs="Times New Roman" w:eastAsia="Times New Roman" w:hAnsi="Times New Roman"/>
                <w:sz w:val="10"/>
                <w:szCs w:val="10"/>
                <w:color w:val="auto"/>
              </w:rPr>
              <w:t>Other (income)</w:t>
            </w: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r>
      <w:tr>
        <w:trPr>
          <w:trHeight w:val="148"/>
        </w:trPr>
        <w:tc>
          <w:tcPr>
            <w:tcW w:w="1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expense, net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(536)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(1,427)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(2,129)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(4,019)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(5,497)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(7,605)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(9,794)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(9,921)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(10,509)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(9,904)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(10,817)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(8,235)</w:t>
            </w:r>
          </w:p>
        </w:tc>
      </w:tr>
      <w:tr>
        <w:trPr>
          <w:trHeight w:val="108"/>
        </w:trPr>
        <w:tc>
          <w:tcPr>
            <w:tcW w:w="1000" w:type="dxa"/>
            <w:vAlign w:val="bottom"/>
          </w:tcPr>
          <w:p>
            <w:pPr>
              <w:ind w:left="20"/>
              <w:spacing w:after="0" w:line="108" w:lineRule="exact"/>
              <w:rPr>
                <w:sz w:val="20"/>
                <w:szCs w:val="20"/>
                <w:color w:val="auto"/>
              </w:rPr>
            </w:pPr>
            <w:r>
              <w:rPr>
                <w:rFonts w:ascii="Times New Roman" w:cs="Times New Roman" w:eastAsia="Times New Roman" w:hAnsi="Times New Roman"/>
                <w:sz w:val="10"/>
                <w:szCs w:val="10"/>
                <w:color w:val="auto"/>
              </w:rPr>
              <w:t>Provision (benefit) for</w:t>
            </w: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r>
      <w:tr>
        <w:trPr>
          <w:trHeight w:val="143"/>
        </w:trPr>
        <w:tc>
          <w:tcPr>
            <w:tcW w:w="100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income taxes</w:t>
            </w:r>
          </w:p>
        </w:tc>
        <w:tc>
          <w:tcPr>
            <w:tcW w:w="100" w:type="dxa"/>
            <w:vAlign w:val="bottom"/>
          </w:tcPr>
          <w:p>
            <w:pPr>
              <w:spacing w:after="0"/>
              <w:rPr>
                <w:sz w:val="12"/>
                <w:szCs w:val="12"/>
                <w:color w:val="auto"/>
              </w:rPr>
            </w:pPr>
          </w:p>
        </w:tc>
        <w:tc>
          <w:tcPr>
            <w:tcW w:w="6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138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(612)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54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83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117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70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68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47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(362)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78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2,199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695</w:t>
            </w:r>
          </w:p>
        </w:tc>
      </w:tr>
      <w:tr>
        <w:trPr>
          <w:trHeight w:val="113"/>
        </w:trPr>
        <w:tc>
          <w:tcPr>
            <w:tcW w:w="1000" w:type="dxa"/>
            <w:vAlign w:val="bottom"/>
            <w:shd w:val="clear" w:color="auto" w:fill="CCEEFF"/>
          </w:tcPr>
          <w:p>
            <w:pPr>
              <w:ind w:left="20"/>
              <w:spacing w:after="0" w:line="114" w:lineRule="exact"/>
              <w:rPr>
                <w:sz w:val="20"/>
                <w:szCs w:val="20"/>
                <w:color w:val="auto"/>
              </w:rPr>
            </w:pPr>
            <w:r>
              <w:rPr>
                <w:rFonts w:ascii="Times New Roman" w:cs="Times New Roman" w:eastAsia="Times New Roman" w:hAnsi="Times New Roman"/>
                <w:sz w:val="10"/>
                <w:szCs w:val="10"/>
                <w:color w:val="auto"/>
              </w:rPr>
              <w:t>Stock-based</w:t>
            </w: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r>
      <w:tr>
        <w:trPr>
          <w:trHeight w:val="95"/>
        </w:trPr>
        <w:tc>
          <w:tcPr>
            <w:tcW w:w="1000" w:type="dxa"/>
            <w:vAlign w:val="bottom"/>
            <w:shd w:val="clear" w:color="auto" w:fill="CCEEFF"/>
          </w:tcPr>
          <w:p>
            <w:pPr>
              <w:ind w:left="180"/>
              <w:spacing w:after="0" w:line="95" w:lineRule="exact"/>
              <w:rPr>
                <w:sz w:val="20"/>
                <w:szCs w:val="20"/>
                <w:color w:val="auto"/>
              </w:rPr>
            </w:pPr>
            <w:r>
              <w:rPr>
                <w:rFonts w:ascii="Times New Roman" w:cs="Times New Roman" w:eastAsia="Times New Roman" w:hAnsi="Times New Roman"/>
                <w:sz w:val="10"/>
                <w:szCs w:val="10"/>
                <w:color w:val="auto"/>
              </w:rPr>
              <w:t>compensation</w:t>
            </w: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r>
      <w:tr>
        <w:trPr>
          <w:trHeight w:val="148"/>
        </w:trPr>
        <w:tc>
          <w:tcPr>
            <w:tcW w:w="1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expense</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7,463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rPr>
              <w:t>6,973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rPr>
              <w:t>7,012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rPr>
              <w:t>6,902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rPr>
              <w:t>9,540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rPr>
              <w:t>5,901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5,587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5,007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rPr>
              <w:t>5,175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6,419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rPr>
              <w:t>10,134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rPr>
              <w:t>8,117</w:t>
            </w:r>
          </w:p>
        </w:tc>
      </w:tr>
      <w:tr>
        <w:trPr>
          <w:trHeight w:val="162"/>
        </w:trPr>
        <w:tc>
          <w:tcPr>
            <w:tcW w:w="1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Impairment charge</w:t>
            </w:r>
            <w:r>
              <w:rPr>
                <w:rFonts w:ascii="Times New Roman" w:cs="Times New Roman" w:eastAsia="Times New Roman" w:hAnsi="Times New Roman"/>
                <w:sz w:val="12"/>
                <w:szCs w:val="12"/>
                <w:color w:val="auto"/>
                <w:vertAlign w:val="superscript"/>
              </w:rPr>
              <w:t>(1)</w:t>
            </w:r>
          </w:p>
        </w:tc>
        <w:tc>
          <w:tcPr>
            <w:tcW w:w="10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4"/>
                <w:szCs w:val="14"/>
                <w:color w:val="auto"/>
              </w:rPr>
            </w:pPr>
          </w:p>
        </w:tc>
        <w:tc>
          <w:tcPr>
            <w:tcW w:w="68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18,271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4"/>
                <w:szCs w:val="14"/>
                <w:color w:val="auto"/>
              </w:rPr>
            </w:pPr>
          </w:p>
        </w:tc>
        <w:tc>
          <w:tcPr>
            <w:tcW w:w="68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r>
      <w:tr>
        <w:trPr>
          <w:trHeight w:val="162"/>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99"/>
              </w:rPr>
              <w:t>Restructuring charges</w:t>
            </w:r>
            <w:r>
              <w:rPr>
                <w:rFonts w:ascii="Times New Roman" w:cs="Times New Roman" w:eastAsia="Times New Roman" w:hAnsi="Times New Roman"/>
                <w:sz w:val="12"/>
                <w:szCs w:val="12"/>
                <w:color w:val="auto"/>
                <w:w w:val="99"/>
                <w:vertAlign w:val="superscript"/>
              </w:rPr>
              <w:t>(2)</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rPr>
              <w:t>14,383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r>
      <w:tr>
        <w:trPr>
          <w:trHeight w:val="108"/>
        </w:trPr>
        <w:tc>
          <w:tcPr>
            <w:tcW w:w="1000" w:type="dxa"/>
            <w:vAlign w:val="bottom"/>
          </w:tcPr>
          <w:p>
            <w:pPr>
              <w:ind w:left="20"/>
              <w:spacing w:after="0" w:line="108" w:lineRule="exact"/>
              <w:rPr>
                <w:sz w:val="20"/>
                <w:szCs w:val="20"/>
                <w:color w:val="auto"/>
              </w:rPr>
            </w:pPr>
            <w:r>
              <w:rPr>
                <w:rFonts w:ascii="Times New Roman" w:cs="Times New Roman" w:eastAsia="Times New Roman" w:hAnsi="Times New Roman"/>
                <w:sz w:val="10"/>
                <w:szCs w:val="10"/>
                <w:color w:val="auto"/>
              </w:rPr>
              <w:t>Certain legal and</w:t>
            </w: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r>
      <w:tr>
        <w:trPr>
          <w:trHeight w:val="143"/>
        </w:trPr>
        <w:tc>
          <w:tcPr>
            <w:tcW w:w="100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regulatory charges</w:t>
            </w:r>
          </w:p>
        </w:tc>
        <w:tc>
          <w:tcPr>
            <w:tcW w:w="10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68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4,275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68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7,500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68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r>
      <w:tr>
        <w:trPr>
          <w:trHeight w:val="147"/>
        </w:trPr>
        <w:tc>
          <w:tcPr>
            <w:tcW w:w="1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Adjusted EBITDA</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(119,809)</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(101,580)</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(102,310)</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(82,424)</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(45,477)</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(47,494)</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(69,150)</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(27,192)</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rPr>
              <w:t>15,441</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3,095</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(13,613)</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(11,907)</w:t>
            </w:r>
          </w:p>
        </w:tc>
      </w:tr>
      <w:tr>
        <w:trPr>
          <w:trHeight w:val="88"/>
        </w:trPr>
        <w:tc>
          <w:tcPr>
            <w:tcW w:w="1000" w:type="dxa"/>
            <w:vAlign w:val="bottom"/>
          </w:tcPr>
          <w:p>
            <w:pPr>
              <w:ind w:left="20"/>
              <w:spacing w:after="0" w:line="88" w:lineRule="exact"/>
              <w:rPr>
                <w:sz w:val="20"/>
                <w:szCs w:val="20"/>
                <w:color w:val="auto"/>
              </w:rPr>
            </w:pPr>
            <w:r>
              <w:rPr>
                <w:rFonts w:ascii="Times New Roman" w:cs="Times New Roman" w:eastAsia="Times New Roman" w:hAnsi="Times New Roman"/>
                <w:sz w:val="10"/>
                <w:szCs w:val="10"/>
                <w:color w:val="auto"/>
              </w:rPr>
              <w:t>Adjusted EBITDA</w:t>
            </w: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r>
      <w:tr>
        <w:trPr>
          <w:trHeight w:val="143"/>
        </w:trPr>
        <w:tc>
          <w:tcPr>
            <w:tcW w:w="100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margin</w:t>
            </w: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(50)%</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(41)%</w:t>
            </w: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(41)%</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(31)%</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w:t>
            </w: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(22)%</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4 %</w:t>
            </w: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1 %</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months ended June 30, 2022, relates to the impairment of certain real estate assets.</w:t>
      </w:r>
    </w:p>
    <w:p>
      <w:pPr>
        <w:spacing w:after="0" w:line="14" w:lineRule="exact"/>
        <w:rPr>
          <w:rFonts w:ascii="Times New Roman" w:cs="Times New Roman" w:eastAsia="Times New Roman" w:hAnsi="Times New Roman"/>
          <w:sz w:val="14"/>
          <w:szCs w:val="14"/>
          <w:color w:val="auto"/>
        </w:rPr>
      </w:pPr>
    </w:p>
    <w:p>
      <w:pPr>
        <w:ind w:left="340" w:right="200" w:hanging="332"/>
        <w:spacing w:after="0" w:line="262" w:lineRule="auto"/>
        <w:tabs>
          <w:tab w:leader="none" w:pos="332"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months ended December 31, 2022, includes $7.8 million of cash charges for employee-related wages, benefits and severance, $4.0 million in previously capitalized deferred offering costs and $2.6 million of impairment related to internal-use software due to the restructuring that occurred in November 2022. The restructuring charges are recorded on our consolidated statements of operations as follows: $6.6 million in general and administrative, $5.9 million in technology and development, $1.4 million in member support and operations, and $0.5 million in sales and marketing. See Note 16 – Restructuring within the notes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240"/>
          </w:cols>
          <w:pgMar w:left="320" w:top="124" w:right="339" w:bottom="1440" w:gutter="0" w:footer="0" w:header="0"/>
        </w:sectPr>
      </w:pPr>
    </w:p>
    <w:bookmarkStart w:id="99" w:name="page100"/>
    <w:bookmarkEnd w:id="99"/>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included elsewhere in this prospectus. Restructuring related charges for stock-based compensation of $0.2 million incurred in 2022 are included on its respective line item.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Attractive Cohort Trends</w:t>
      </w:r>
    </w:p>
    <w:p>
      <w:pPr>
        <w:spacing w:after="0" w:line="175" w:lineRule="exact"/>
        <w:rPr>
          <w:sz w:val="20"/>
          <w:szCs w:val="20"/>
          <w:color w:val="auto"/>
        </w:rPr>
      </w:pPr>
    </w:p>
    <w:p>
      <w:pPr>
        <w:ind w:firstLine="324"/>
        <w:spacing w:after="0" w:line="245" w:lineRule="auto"/>
        <w:rPr>
          <w:sz w:val="20"/>
          <w:szCs w:val="20"/>
          <w:color w:val="auto"/>
        </w:rPr>
      </w:pPr>
      <w:r>
        <w:rPr>
          <w:rFonts w:ascii="Times New Roman" w:cs="Times New Roman" w:eastAsia="Times New Roman" w:hAnsi="Times New Roman"/>
          <w:sz w:val="18"/>
          <w:szCs w:val="18"/>
          <w:color w:val="auto"/>
        </w:rPr>
        <w:t>Since our founding, our member cohorts have generated sustained transaction profit each year of their life, which has enabled us to durably accumulate transaction profit with each new cohort.</w:t>
      </w:r>
      <w:r>
        <w:rPr>
          <w:rFonts w:ascii="Times New Roman" w:cs="Times New Roman" w:eastAsia="Times New Roman" w:hAnsi="Times New Roman"/>
          <w:sz w:val="23"/>
          <w:szCs w:val="23"/>
          <w:color w:val="auto"/>
          <w:vertAlign w:val="superscript"/>
        </w:rPr>
        <w:t>52</w:t>
      </w:r>
      <w:r>
        <w:rPr>
          <w:rFonts w:ascii="Times New Roman" w:cs="Times New Roman" w:eastAsia="Times New Roman" w:hAnsi="Times New Roman"/>
          <w:sz w:val="18"/>
          <w:szCs w:val="18"/>
          <w:color w:val="auto"/>
        </w:rPr>
        <w:t xml:space="preserve"> Our oldest cohorts, which are over eight years old, have continued to generate transaction profit at levels consistent with their earliest years. This cohort performance is powered by the long-lasting primary account relationships we have established with our Active Members that have enabled us to sustain their Purchase Volume over time. As we have expanded a suite of free or low-cost product offerings, we have seen our members adopt products at higher rates, which has further strengthened cohort financial performance. We have been able to efficiently acquire and then establish trusted primary account relationships with our Active Members, enabling us to drive strong transaction profit returns on our investments in new member acquisition. We believe that the historical performance of our member cohorts supports our strategy of investing in new member acquisition and in developing new products to enhance our value to members.</w:t>
      </w:r>
    </w:p>
    <w:p>
      <w:pPr>
        <w:spacing w:after="0" w:line="1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historical member cohorts showcase the predictable and resilient Purchase Volume behavior that drives the majority of our revenue today.</w:t>
      </w:r>
    </w:p>
    <w:p>
      <w:pPr>
        <w:spacing w:after="0" w:line="175" w:lineRule="exact"/>
        <w:rPr>
          <w:sz w:val="20"/>
          <w:szCs w:val="20"/>
          <w:color w:val="auto"/>
        </w:rPr>
      </w:pPr>
    </w:p>
    <w:p>
      <w:pPr>
        <w:ind w:right="60" w:firstLine="324"/>
        <w:spacing w:after="0" w:line="243" w:lineRule="auto"/>
        <w:rPr>
          <w:sz w:val="20"/>
          <w:szCs w:val="20"/>
          <w:color w:val="auto"/>
        </w:rPr>
      </w:pPr>
      <w:r>
        <w:rPr>
          <w:rFonts w:ascii="Times New Roman" w:cs="Times New Roman" w:eastAsia="Times New Roman" w:hAnsi="Times New Roman"/>
          <w:sz w:val="18"/>
          <w:szCs w:val="18"/>
          <w:color w:val="auto"/>
        </w:rPr>
        <w:t>When Active Members establish a primary account relationship with Chime, they primarily use their Chime-branded debit or credit cards to pay for their everyday, largely non-discretionary items, such as food and groceries, gas, and utilities. This recurring, “top-of-wallet” card spend drives predictable and resilient Purchase Volume across our cohorts. In 2024, our net dollar Purchase Volume retention was approximately 97%.</w:t>
      </w:r>
      <w:r>
        <w:rPr>
          <w:rFonts w:ascii="Times New Roman" w:cs="Times New Roman" w:eastAsia="Times New Roman" w:hAnsi="Times New Roman"/>
          <w:sz w:val="23"/>
          <w:szCs w:val="23"/>
          <w:color w:val="auto"/>
          <w:vertAlign w:val="superscript"/>
        </w:rPr>
        <w:t>53</w:t>
      </w:r>
      <w:r>
        <w:rPr>
          <w:rFonts w:ascii="Times New Roman" w:cs="Times New Roman" w:eastAsia="Times New Roman" w:hAnsi="Times New Roman"/>
          <w:sz w:val="18"/>
          <w:szCs w:val="18"/>
          <w:color w:val="auto"/>
        </w:rPr>
        <w:t xml:space="preserve"> Purchase Volume retention behavior has been similar over time except for a significant rise in Purchase Volume during the COVID-19 pandemic, as government stimulus programs provided spending power to our members, which normalized following the conclusion of such programs. Our cohort Purchase Volume retention pattern creates a layering effect through which successive member cohorts build on the continued robust Purchase Volume activity of prior cohorts.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17145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39" w:lineRule="exact"/>
        <w:rPr>
          <w:sz w:val="20"/>
          <w:szCs w:val="20"/>
          <w:color w:val="auto"/>
        </w:rPr>
      </w:pPr>
    </w:p>
    <w:p>
      <w:pPr>
        <w:ind w:left="340" w:right="180" w:hanging="332"/>
        <w:spacing w:after="0" w:line="230" w:lineRule="auto"/>
        <w:tabs>
          <w:tab w:leader="none" w:pos="343" w:val="left"/>
        </w:tabs>
        <w:numPr>
          <w:ilvl w:val="0"/>
          <w:numId w:val="5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We refer to member cohorts as groups of members who first became active in a given period. A “quarterly cohort” refers to all members who first became active in a fiscal quarter and an “annual cohort” refers to all members who first became active in a fiscal year.</w:t>
      </w:r>
    </w:p>
    <w:p>
      <w:pPr>
        <w:jc w:val="both"/>
        <w:ind w:left="340" w:right="260" w:hanging="332"/>
        <w:spacing w:after="0" w:line="227" w:lineRule="auto"/>
        <w:tabs>
          <w:tab w:leader="none" w:pos="343" w:val="left"/>
        </w:tabs>
        <w:numPr>
          <w:ilvl w:val="0"/>
          <w:numId w:val="5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We calculate net dollar Purchase Volume retention by dividing Purchase Volume in the current period from all members that first became active at least one year prior to such period, by Purchase Volume from those same members in the prior period, inclusive of any members that have churned. We only include members that first became active at least one year prior to avoid comparing a full period of Purchase Volume in the current period to a partial period of Purchase Volume in the prior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220"/>
          </w:cols>
          <w:pgMar w:left="320" w:top="124" w:right="359" w:bottom="1440" w:gutter="0" w:footer="0" w:header="0"/>
        </w:sectPr>
      </w:pPr>
    </w:p>
    <w:bookmarkStart w:id="100" w:name="page101"/>
    <w:bookmarkEnd w:id="100"/>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chart below illustrates Purchase Volume by annual cohort on a trailing 12 month basis for each quarter in the years presented, with each cohort representing members by the year in which they first engaged in a transaction on Chime. For example, the 2019 cohort represents members who made their first transaction between January 1, 2019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88900</wp:posOffset>
            </wp:positionV>
            <wp:extent cx="5349240" cy="30086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4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Active Members adopt more products over time, which improves cohort performance through greater Purchase Volume, higher ARPAM, stronger member retention, and efficient member acquisition.</w:t>
      </w:r>
    </w:p>
    <w:p>
      <w:pPr>
        <w:spacing w:after="0" w:line="105"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We have been able to leverage the benefits of our primary account relationships to develop and cross-sell new products at high attach rates across our historical member cohorts. Our monthly attach rates across the most used products for December 2024 are: 91 % for debit cards, 69% for High Yield Savings, 53% for SpotMe, 51% for Pay Anyone, 36% for Credit Builder, and 28% for MyPay. We define monthly attach rates as the percentage of Active Members who used a given product in a month.</w:t>
      </w:r>
    </w:p>
    <w:p>
      <w:pPr>
        <w:spacing w:after="0" w:line="126" w:lineRule="exact"/>
        <w:rPr>
          <w:sz w:val="20"/>
          <w:szCs w:val="20"/>
          <w:color w:val="auto"/>
        </w:rPr>
      </w:pPr>
    </w:p>
    <w:p>
      <w:pPr>
        <w:ind w:right="20" w:firstLine="324"/>
        <w:spacing w:after="0" w:line="239" w:lineRule="auto"/>
        <w:rPr>
          <w:sz w:val="20"/>
          <w:szCs w:val="20"/>
          <w:color w:val="auto"/>
        </w:rPr>
      </w:pPr>
      <w:r>
        <w:rPr>
          <w:rFonts w:ascii="Times New Roman" w:cs="Times New Roman" w:eastAsia="Times New Roman" w:hAnsi="Times New Roman"/>
          <w:sz w:val="18"/>
          <w:szCs w:val="18"/>
          <w:color w:val="auto"/>
        </w:rPr>
        <w:t>The chart below shows the average number of products that our Active Members have used each month, since the origination of their cohort, for quarterly cohorts for the first quarter of each year since 2016.</w:t>
      </w:r>
      <w:r>
        <w:rPr>
          <w:rFonts w:ascii="Times New Roman" w:cs="Times New Roman" w:eastAsia="Times New Roman" w:hAnsi="Times New Roman"/>
          <w:sz w:val="23"/>
          <w:szCs w:val="23"/>
          <w:color w:val="auto"/>
          <w:vertAlign w:val="superscript"/>
        </w:rPr>
        <w:t>54</w:t>
      </w:r>
      <w:r>
        <w:rPr>
          <w:rFonts w:ascii="Times New Roman" w:cs="Times New Roman" w:eastAsia="Times New Roman" w:hAnsi="Times New Roman"/>
          <w:sz w:val="18"/>
          <w:szCs w:val="18"/>
          <w:color w:val="auto"/>
        </w:rPr>
        <w:t xml:space="preserve"> New product launches that gain significant traction with our members have generally increased the number of products used each month, including most recently our July 2024 launch of MyPay. Newer cohorts are using more products earlier in their tenure than older cohorts, demonstrating broader engagement across our platform as our product offerings have expanded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7145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41" w:lineRule="exact"/>
        <w:rPr>
          <w:sz w:val="20"/>
          <w:szCs w:val="20"/>
          <w:color w:val="auto"/>
        </w:rPr>
      </w:pPr>
    </w:p>
    <w:p>
      <w:pPr>
        <w:ind w:left="340" w:right="140" w:hanging="332"/>
        <w:spacing w:after="0" w:line="239" w:lineRule="auto"/>
        <w:tabs>
          <w:tab w:leader="none" w:pos="343" w:val="left"/>
        </w:tabs>
        <w:numPr>
          <w:ilvl w:val="0"/>
          <w:numId w:val="5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products counted towards this measure are: Chime-branded debit cards (including purchases, ATM withdrawals with the debit card and cash deposits), Credit Builder (including purchases and ATM withdrawals with the Credit Builder secured credit card), Pay Anyone, High Yield Savings (with a balance), SpotMe, Tax Filing, MyPay, Credit Tracking, and Chime Deals &amp; Offers.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200"/>
          </w:cols>
          <w:pgMar w:left="320" w:top="124" w:right="379" w:bottom="1440" w:gutter="0" w:footer="0" w:header="0"/>
        </w:sectPr>
      </w:pPr>
    </w:p>
    <w:bookmarkStart w:id="101" w:name="page102"/>
    <w:bookmarkEnd w:id="101"/>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686435</wp:posOffset>
            </wp:positionV>
            <wp:extent cx="5349240" cy="30086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firstLine="324"/>
        <w:spacing w:after="0" w:line="268" w:lineRule="auto"/>
        <w:rPr>
          <w:sz w:val="20"/>
          <w:szCs w:val="20"/>
          <w:color w:val="auto"/>
        </w:rPr>
      </w:pPr>
      <w:r>
        <w:rPr>
          <w:rFonts w:ascii="Times New Roman" w:cs="Times New Roman" w:eastAsia="Times New Roman" w:hAnsi="Times New Roman"/>
          <w:sz w:val="18"/>
          <w:szCs w:val="18"/>
          <w:color w:val="auto"/>
        </w:rPr>
        <w:t>As members use more products each month and make Chime a more central part of their financial lives, their Purchase Volume and ARPAM have increased. Active Members who used six or more products in December 2024 generated 1.8 times as much Purchase Volume, on average, in 2024 and 1.8 times as much ARPAM, on average, in the fourth quarter of 2024 compared to all Active Members, on average, across the same period.</w:t>
      </w:r>
      <w:r>
        <w:rPr>
          <w:rFonts w:ascii="Times New Roman" w:cs="Times New Roman" w:eastAsia="Times New Roman" w:hAnsi="Times New Roman"/>
          <w:sz w:val="23"/>
          <w:szCs w:val="23"/>
          <w:color w:val="auto"/>
          <w:vertAlign w:val="superscript"/>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6240780" cy="31889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40780" cy="3188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40" w:right="20" w:hanging="332"/>
        <w:spacing w:after="0" w:line="233" w:lineRule="auto"/>
        <w:tabs>
          <w:tab w:leader="none" w:pos="343" w:val="left"/>
        </w:tabs>
        <w:numPr>
          <w:ilvl w:val="0"/>
          <w:numId w:val="6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products counted towards this measure are: Chime-branded debit cards (including purchases, ATM withdrawals with the debit card and cash deposits), Credit Builder (including purchases and ATM withdrawals with the Credit Builder secured credit card), Pay Anyone, High Yield Savings (with a balance), SpotMe, Tax Filing, MyPay, Credit Tracking, and Chime Deals &amp; Offers.</w:t>
      </w:r>
    </w:p>
    <w:p>
      <w:pPr>
        <w:sectPr>
          <w:pgSz w:w="11900" w:h="16838" w:orient="portrait"/>
          <w:cols w:equalWidth="0" w:num="1">
            <w:col w:w="11080"/>
          </w:cols>
          <w:pgMar w:left="320" w:top="124"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080"/>
          </w:cols>
          <w:pgMar w:left="320" w:top="124" w:right="499" w:bottom="1440" w:gutter="0" w:footer="0" w:header="0"/>
          <w:type w:val="continuous"/>
        </w:sectPr>
      </w:pPr>
    </w:p>
    <w:bookmarkStart w:id="102" w:name="page103"/>
    <w:bookmarkEnd w:id="102"/>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00" w:firstLine="324"/>
        <w:spacing w:after="0" w:line="239" w:lineRule="auto"/>
        <w:rPr>
          <w:sz w:val="20"/>
          <w:szCs w:val="20"/>
          <w:color w:val="auto"/>
        </w:rPr>
      </w:pPr>
      <w:r>
        <w:rPr>
          <w:rFonts w:ascii="Times New Roman" w:cs="Times New Roman" w:eastAsia="Times New Roman" w:hAnsi="Times New Roman"/>
          <w:sz w:val="18"/>
          <w:szCs w:val="18"/>
          <w:color w:val="auto"/>
        </w:rPr>
        <w:t>Product adoption also increases member retention and growth through referrals. Our annual member retention rate for 2024 for Active Members who used six or more products in December 2023 was 14% higher than the average annual retention rate for all Active Members across the same period.</w:t>
      </w:r>
      <w:r>
        <w:rPr>
          <w:rFonts w:ascii="Times New Roman" w:cs="Times New Roman" w:eastAsia="Times New Roman" w:hAnsi="Times New Roman"/>
          <w:sz w:val="23"/>
          <w:szCs w:val="23"/>
          <w:color w:val="auto"/>
          <w:vertAlign w:val="superscript"/>
        </w:rPr>
        <w:t>56</w:t>
      </w:r>
      <w:r>
        <w:rPr>
          <w:rFonts w:ascii="Times New Roman" w:cs="Times New Roman" w:eastAsia="Times New Roman" w:hAnsi="Times New Roman"/>
          <w:sz w:val="18"/>
          <w:szCs w:val="18"/>
          <w:color w:val="auto"/>
        </w:rPr>
        <w:t xml:space="preserve"> As our members adopt more products, they also drive more referrals. Active Members who used six or more products in December 2024 referred 1.8 times as many new members, on average, to Chime in 2024 as the average across all Active Members.</w:t>
      </w:r>
    </w:p>
    <w:p>
      <w:pPr>
        <w:spacing w:after="0" w:line="144" w:lineRule="exact"/>
        <w:rPr>
          <w:sz w:val="20"/>
          <w:szCs w:val="20"/>
          <w:color w:val="auto"/>
        </w:rPr>
      </w:pPr>
    </w:p>
    <w:p>
      <w:pPr>
        <w:ind w:right="560" w:firstLine="324"/>
        <w:spacing w:after="0" w:line="283" w:lineRule="auto"/>
        <w:rPr>
          <w:sz w:val="20"/>
          <w:szCs w:val="20"/>
          <w:color w:val="auto"/>
        </w:rPr>
      </w:pPr>
      <w:r>
        <w:rPr>
          <w:rFonts w:ascii="Times New Roman" w:cs="Times New Roman" w:eastAsia="Times New Roman" w:hAnsi="Times New Roman"/>
          <w:sz w:val="18"/>
          <w:szCs w:val="18"/>
          <w:color w:val="auto"/>
        </w:rPr>
        <w:t>As product adoption has increased, ARPAM has improved across member cohorts over time. The chart below shows the ARPAM of our Active Members each year since the origination of their quarterly cohort, for quarterly cohorts for the first quarter of each year since 2016.</w:t>
      </w:r>
      <w:r>
        <w:rPr>
          <w:rFonts w:ascii="Times New Roman" w:cs="Times New Roman" w:eastAsia="Times New Roman" w:hAnsi="Times New Roman"/>
          <w:sz w:val="23"/>
          <w:szCs w:val="23"/>
          <w:color w:val="auto"/>
          <w:vertAlign w:val="superscript"/>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35560</wp:posOffset>
            </wp:positionV>
            <wp:extent cx="5349240" cy="30086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cohorts yield durable ROI in new member acquisition</w:t>
      </w:r>
    </w:p>
    <w:p>
      <w:pPr>
        <w:spacing w:after="0" w:line="175" w:lineRule="exact"/>
        <w:rPr>
          <w:sz w:val="20"/>
          <w:szCs w:val="20"/>
          <w:color w:val="auto"/>
        </w:rPr>
      </w:pPr>
    </w:p>
    <w:p>
      <w:pPr>
        <w:ind w:right="20" w:firstLine="324"/>
        <w:spacing w:after="0" w:line="263" w:lineRule="auto"/>
        <w:rPr>
          <w:sz w:val="20"/>
          <w:szCs w:val="20"/>
          <w:color w:val="auto"/>
        </w:rPr>
      </w:pPr>
      <w:r>
        <w:rPr>
          <w:rFonts w:ascii="Times New Roman" w:cs="Times New Roman" w:eastAsia="Times New Roman" w:hAnsi="Times New Roman"/>
          <w:sz w:val="18"/>
          <w:szCs w:val="18"/>
          <w:color w:val="auto"/>
        </w:rPr>
        <w:t>Our “top-of-wallet” card spend combined with members’ strong adoption of our growing suite of products have enabled us to generate sustained Purchase Volume and revenue by cohort over time. In addition, we have benefited from economies of scale and improved our management of transaction and risk losses, resulting in higher transaction margins. As a result, while we achieved approximately 97% net dollar Purchase Volume retention among our cohorts comparing 2024 to 2023, we achieved approximately 107% net dollar transaction profit retention over the same period.</w:t>
      </w:r>
      <w:r>
        <w:rPr>
          <w:rFonts w:ascii="Times New Roman" w:cs="Times New Roman" w:eastAsia="Times New Roman" w:hAnsi="Times New Roman"/>
          <w:sz w:val="23"/>
          <w:szCs w:val="23"/>
          <w:color w:val="auto"/>
          <w:vertAlign w:val="superscript"/>
        </w:rPr>
        <w:t>58</w:t>
      </w:r>
    </w:p>
    <w:p>
      <w:pPr>
        <w:spacing w:after="0" w:line="5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acquire members — with the intention to establish enduring primary account relationships over time — through a mix of organic and member-driven channels as well as paid media channels, with referrals reflecting our single largest channel to acquire new Active Members in 2024. In 2024, our acquisition cost per new Active Member acquired was $109, which includes advertising, brand marketing, referral bonuses, and other marketing incentives. Without brand marketing expenses, the impact of which is more challenging to attribute directly to new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17145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23" w:lineRule="exact"/>
        <w:rPr>
          <w:sz w:val="20"/>
          <w:szCs w:val="20"/>
          <w:color w:val="auto"/>
        </w:rPr>
      </w:pPr>
    </w:p>
    <w:p>
      <w:pPr>
        <w:ind w:left="340" w:right="220" w:hanging="332"/>
        <w:spacing w:after="0" w:line="230" w:lineRule="auto"/>
        <w:tabs>
          <w:tab w:leader="none" w:pos="343" w:val="left"/>
        </w:tabs>
        <w:numPr>
          <w:ilvl w:val="0"/>
          <w:numId w:val="6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We calculate annual member retention rates by product attachment by comparing the number of Active Members who used the specified number of products in a month to the number of such members who remained active in the same month in the following year.</w:t>
      </w:r>
    </w:p>
    <w:p>
      <w:pPr>
        <w:ind w:left="340" w:right="160" w:hanging="332"/>
        <w:spacing w:after="0" w:line="227" w:lineRule="auto"/>
        <w:tabs>
          <w:tab w:leader="none" w:pos="343" w:val="left"/>
        </w:tabs>
        <w:numPr>
          <w:ilvl w:val="0"/>
          <w:numId w:val="6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products counted towards this measure are: Chime-branded debit cards (including purchases, ATM withdrawals with the debit card and cash deposits), Credit Builder (including purchases and ATM withdrawals with the Credit Builder secured credit card), Pay Anyone, High Yield Savings (with a balance), SpotMe, Tax Filing, MyPay, Credit Tracking, and Chime Deals &amp; Offers.</w:t>
      </w:r>
    </w:p>
    <w:p>
      <w:pPr>
        <w:spacing w:after="0" w:line="1" w:lineRule="exact"/>
        <w:rPr>
          <w:rFonts w:ascii="Times New Roman" w:cs="Times New Roman" w:eastAsia="Times New Roman" w:hAnsi="Times New Roman"/>
          <w:sz w:val="19"/>
          <w:szCs w:val="19"/>
          <w:color w:val="auto"/>
          <w:vertAlign w:val="superscript"/>
        </w:rPr>
      </w:pPr>
    </w:p>
    <w:p>
      <w:pPr>
        <w:jc w:val="both"/>
        <w:ind w:left="340" w:right="280" w:hanging="332"/>
        <w:spacing w:after="0" w:line="233" w:lineRule="auto"/>
        <w:tabs>
          <w:tab w:leader="none" w:pos="343" w:val="left"/>
        </w:tabs>
        <w:numPr>
          <w:ilvl w:val="0"/>
          <w:numId w:val="6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We calculate net dollar transaction profit retention by dividing transaction profit in the current period from all members that first became active at least one year prior to such period, by transaction profit from those same members in the prior period, inclusive of any members that have churned. We only include members that first became active at least one year prior to avoid comparing a full period of transaction profit in the current period to a partial period of transaction profit in the prior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220"/>
          </w:cols>
          <w:pgMar w:left="320" w:top="124" w:right="359" w:bottom="1440" w:gutter="0" w:footer="0" w:header="0"/>
        </w:sectPr>
      </w:pPr>
    </w:p>
    <w:bookmarkStart w:id="103" w:name="page104"/>
    <w:bookmarkEnd w:id="103"/>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member acquisition, our acquisition cost per new Active Member in 2024 was $91. Our member acquisition cost is influenced by the channels we select to pursue marketing strategies, changes in advertising costs, and the size of the member cohorts we acquire. Since 2022, our quarterly cohorts have exhibited similar acquisition costs per new Active Member, including brand marketing costs, staying within a range of $93 to $130.</w:t>
      </w:r>
    </w:p>
    <w:p>
      <w:pPr>
        <w:spacing w:after="0" w:line="122" w:lineRule="exact"/>
        <w:rPr>
          <w:sz w:val="20"/>
          <w:szCs w:val="20"/>
          <w:color w:val="auto"/>
        </w:rPr>
      </w:pPr>
    </w:p>
    <w:p>
      <w:pPr>
        <w:ind w:firstLine="324"/>
        <w:spacing w:after="0" w:line="246" w:lineRule="auto"/>
        <w:rPr>
          <w:sz w:val="20"/>
          <w:szCs w:val="20"/>
          <w:color w:val="auto"/>
        </w:rPr>
      </w:pPr>
      <w:r>
        <w:rPr>
          <w:rFonts w:ascii="Times New Roman" w:cs="Times New Roman" w:eastAsia="Times New Roman" w:hAnsi="Times New Roman"/>
          <w:sz w:val="18"/>
          <w:szCs w:val="18"/>
          <w:color w:val="auto"/>
        </w:rPr>
        <w:t>We have driven strong and sustained returns on our investments in new customer acquisition. Based on the performance of our cohorts, on average, our 2022 quarterly cohorts reached transaction profit payback within approximately 7 quarters.</w:t>
      </w:r>
      <w:r>
        <w:rPr>
          <w:rFonts w:ascii="Times New Roman" w:cs="Times New Roman" w:eastAsia="Times New Roman" w:hAnsi="Times New Roman"/>
          <w:sz w:val="23"/>
          <w:szCs w:val="23"/>
          <w:color w:val="auto"/>
          <w:vertAlign w:val="superscript"/>
        </w:rPr>
        <w:t>59</w:t>
      </w:r>
      <w:r>
        <w:rPr>
          <w:rFonts w:ascii="Times New Roman" w:cs="Times New Roman" w:eastAsia="Times New Roman" w:hAnsi="Times New Roman"/>
          <w:sz w:val="18"/>
          <w:szCs w:val="18"/>
          <w:color w:val="auto"/>
        </w:rPr>
        <w:t xml:space="preserve"> Our Q1 2023 cohort reached payback in less time. More importantly, we have observed that our cohorts have consistently generated transaction profit many years into their lives, enabling us to drive returns far beyond the point of payback. Our oldest cohorts — those that are over six years old — still generate transaction profit at levels consistent with their earliest years. We have driven these strong returns as a result of our ability to efficiently acquire members, establish trusted primary account relationships, and deliver additional products with high attach rates. The chart below approximates our cumulative transaction profit per original Active Member by quarterly cohort since 2016, displaying the consistent and ongoing growth in cumulative transaction profit across cohorts over time.</w:t>
      </w:r>
      <w:r>
        <w:rPr>
          <w:rFonts w:ascii="Times New Roman" w:cs="Times New Roman" w:eastAsia="Times New Roman" w:hAnsi="Times New Roman"/>
          <w:sz w:val="23"/>
          <w:szCs w:val="23"/>
          <w:color w:val="auto"/>
          <w:vertAlign w:val="superscript"/>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56515</wp:posOffset>
            </wp:positionV>
            <wp:extent cx="5349240" cy="30086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Factors Affecting Our Revenue</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Our Ability to Attract New Active Members</w:t>
      </w:r>
    </w:p>
    <w:p>
      <w:pPr>
        <w:spacing w:after="0" w:line="173"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We grow our business in part by attracting new Active Members to our platform. Since 2022, over half of our new Active Members are acquired through organic and member-driven channels, which include word-of-mouth, referrals, and peer-to-peer payments received through Pay Anyone. We also acquire new Active Members through paid media channels, which consist of digital marketing channels and partnership arrangements. In 2024, we established Chime Enterprise in order to offer a suite of innovative products, including MyPay, through employers via an employee financial wellness solution. We believe that through the employer channel, we can access a large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17145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27" w:lineRule="exact"/>
        <w:rPr>
          <w:sz w:val="20"/>
          <w:szCs w:val="20"/>
          <w:color w:val="auto"/>
        </w:rPr>
      </w:pPr>
    </w:p>
    <w:p>
      <w:pPr>
        <w:ind w:left="340" w:right="240" w:hanging="332"/>
        <w:spacing w:after="0" w:line="230" w:lineRule="auto"/>
        <w:tabs>
          <w:tab w:leader="none" w:pos="343" w:val="left"/>
        </w:tabs>
        <w:numPr>
          <w:ilvl w:val="0"/>
          <w:numId w:val="6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We refer to reaching payback for a cohort as the point at which cumulative transaction profit for such cohort has met the acquisition costs incurred related to such cohort when the cohort first became active.</w:t>
      </w:r>
    </w:p>
    <w:p>
      <w:pPr>
        <w:ind w:left="340" w:right="300" w:hanging="332"/>
        <w:spacing w:after="0" w:line="213" w:lineRule="auto"/>
        <w:tabs>
          <w:tab w:leader="none" w:pos="343" w:val="left"/>
        </w:tabs>
        <w:numPr>
          <w:ilvl w:val="0"/>
          <w:numId w:val="6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We measure the cumulative transaction profit of quarterly cohorts by measuring the transaction profit of each member who was originally an Active Member of such cohort through the entire length of such member’s relationship with Chime.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240"/>
          </w:cols>
          <w:pgMar w:left="320" w:top="124"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pipeline of new members at an efficient cost to drive continued Active Member growth. The number of new Active Members we attract in future periods will be impacted by the effectiveness of our organic, member-driven, and paid media channels.</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Our Ability to Retain Existing Active Members</w:t>
      </w:r>
    </w:p>
    <w:p>
      <w:pPr>
        <w:spacing w:after="0" w:line="173" w:lineRule="exact"/>
        <w:rPr>
          <w:sz w:val="20"/>
          <w:szCs w:val="20"/>
          <w:color w:val="auto"/>
        </w:rPr>
      </w:pPr>
    </w:p>
    <w:p>
      <w:pPr>
        <w:ind w:right="60" w:firstLine="324"/>
        <w:spacing w:after="0" w:line="239" w:lineRule="auto"/>
        <w:rPr>
          <w:sz w:val="20"/>
          <w:szCs w:val="20"/>
          <w:color w:val="auto"/>
        </w:rPr>
      </w:pPr>
      <w:r>
        <w:rPr>
          <w:rFonts w:ascii="Times New Roman" w:cs="Times New Roman" w:eastAsia="Times New Roman" w:hAnsi="Times New Roman"/>
          <w:sz w:val="18"/>
          <w:szCs w:val="18"/>
          <w:color w:val="auto"/>
        </w:rPr>
        <w:t>We designed a convenient enrollment process to allow new members to create an account in as little as two minutes, enabling easy initial adoption and trial use in the first year a member is on our platform. As we establish primary account relationships with our members, we have seen substantial growth in Active Member annual retention rates in a member’s second year and beyond.</w:t>
      </w:r>
      <w:r>
        <w:rPr>
          <w:rFonts w:ascii="Times New Roman" w:cs="Times New Roman" w:eastAsia="Times New Roman" w:hAnsi="Times New Roman"/>
          <w:sz w:val="23"/>
          <w:szCs w:val="23"/>
          <w:color w:val="auto"/>
          <w:vertAlign w:val="superscript"/>
        </w:rPr>
        <w:t>61</w:t>
      </w:r>
      <w:r>
        <w:rPr>
          <w:rFonts w:ascii="Times New Roman" w:cs="Times New Roman" w:eastAsia="Times New Roman" w:hAnsi="Times New Roman"/>
          <w:sz w:val="18"/>
          <w:szCs w:val="18"/>
          <w:color w:val="auto"/>
        </w:rPr>
        <w:t xml:space="preserve"> For members who became active from 2016 through 2023, we have retained:</w:t>
      </w:r>
    </w:p>
    <w:p>
      <w:pPr>
        <w:spacing w:after="0" w:line="144" w:lineRule="exact"/>
        <w:rPr>
          <w:sz w:val="20"/>
          <w:szCs w:val="20"/>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50% of our Active Members on average through their first year;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90% of remaining Active Members on average each year from their second year and thereafter.</w:t>
      </w:r>
    </w:p>
    <w:p>
      <w:pPr>
        <w:spacing w:after="0" w:line="171"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Importantly, we have expanded our relationships with retained Active Members over time, driving higher product attach rates while benefiting from economies of scale, which led to approximately 107% net dollar transaction profit retention in 2024.</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Our Ability to Capture and Retain “Top-of-Wallet” Card Spend</w:t>
      </w:r>
    </w:p>
    <w:p>
      <w:pPr>
        <w:spacing w:after="0" w:line="17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benefit from highly recurring Purchase Volume when members make their Chime-branded debit or credit cards their “top-of-wallet” card, which often occurs when we develop primary account relationships. Our members primarily use these cards to pay for their everyday, largely non-discretionary items such as food and groceries, gas, and utilities, which drives more predictable and resilient Purchase Volume compared to discretionary spending. Our ability to increase revenue over time will be influenced in part by our ability to capture the “top-of-wallet” card position for additional Active Members and to retain that position for new and existing Active Members.</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Our Ability to Increase Existing and New Product Adoption With Our Active Members</w:t>
      </w:r>
    </w:p>
    <w:p>
      <w:pPr>
        <w:spacing w:after="0" w:line="173"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As Active Members engage with more products, they demonstrate increased Purchase Volume and greater platform-related revenue, both of which drive higher ARPAM. Active Members who used six or more products in December 2024 generated 1.8 times more ARPAM, on average, in the fourth quarter of 2024 than the ARPAM generated by all Active Members in the same period. Our ARPAM has continued to grow over time alongside the growth of our product adoption rate. Greater product adoption also increases member retention and member growth through referrals. Our annual member retention rate in 2024 for Active Members who used six or more products in December 2023 is 14% higher than the average annual retention rate for all Active Members across the same period. Active Members who used six or more products in December 2024 referred 1.8 times as many new members, on average, to Chime in 2024 as the average across all Active Members. The long-term growth of our business depends in part on maintaining high levels of product engagement as we innovate and introduce new products. While we seek to drive engagement across all of our products, adoption of Credit Builder in particular impacts our ARPAM because credit card purchase transactions monetize at higher rates of interchange compared to debit cards and therefore we expect to pursue further Credit Builder growth in future periods. Interchange-based fees from credit card transactions tend to be higher than interchange-based fees from debit card transactions, resulting in higher payments revenue recognized from the same amount of Purchase Volume. Card networks set the rates for interchange fees, which may be influenced by competitive and regulatory factors. For example, we believe Regulation II, which requires debit card issuers to enable at least two card networks to process all debit card transactions, negatively impacted rates for debit card transactions. In 2024, Credit Builder generated $18.4 billion in Purchase Volume and $358.4 million in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7145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40" w:lineRule="exact"/>
        <w:rPr>
          <w:sz w:val="20"/>
          <w:szCs w:val="20"/>
          <w:color w:val="auto"/>
        </w:rPr>
      </w:pPr>
    </w:p>
    <w:p>
      <w:pPr>
        <w:ind w:left="340" w:right="60" w:hanging="332"/>
        <w:spacing w:after="0" w:line="281" w:lineRule="auto"/>
        <w:tabs>
          <w:tab w:leader="none" w:pos="320" w:val="left"/>
        </w:tabs>
        <w:numPr>
          <w:ilvl w:val="0"/>
          <w:numId w:val="6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We calculate annual member retention rates by comparing the number of members who first become active in a month to the number of such members who remain active in the same month in the following year. For subsequent years, we compare the number of remaining members at the start of the applicable measurement period with those who remain active in the same month in the following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240"/>
          </w:cols>
          <w:pgMar w:left="320" w:top="124" w:right="339" w:bottom="1440" w:gutter="0" w:footer="0" w:header="0"/>
        </w:sectPr>
      </w:pPr>
    </w:p>
    <w:bookmarkStart w:id="105" w:name="page106"/>
    <w:bookmarkEnd w:id="105"/>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Factors Affecting our Expenses and Margins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Our Investments in Transaction and Risk Loss Management</w:t>
      </w:r>
    </w:p>
    <w:p>
      <w:pPr>
        <w:spacing w:after="0" w:line="173"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We believe that strong risk management is critical to driving sustainable growth and maintaining member trust. We have made significant investments to build an effective risk management capability through our risk decisioning platform, which is powered by first-party member transaction and engagement data. For example, we utilize our platform to help underwrite limits on SpotMe and MyPay, as well as detect fraud in real-time to decrease the risks of transaction-related losses. We expect transaction and risk losses to increase on an absolute basis as our business scales, and our transaction profit margins may vary as a percentage of revenue from period to period as we tailor our risk posture and introduce new products.</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Our Investments in Growth</w:t>
      </w:r>
    </w:p>
    <w:p>
      <w:pPr>
        <w:spacing w:after="0" w:line="173"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Our continued investments in technology and development drive our growth. Over the years, we have built the underlying technology platform that powers our member offerings, enabling us to scale and introduce new products efficiently. To continue to increase revenue, we must maintain and advance our technology platform and drive product innovation to meet the evolving needs of our business and the members we serve.</w:t>
      </w:r>
    </w:p>
    <w:p>
      <w:pPr>
        <w:spacing w:after="0" w:line="122"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We also invest in the growth of our Active Member base through sales and marketing activities, including through the employer channel with Chime Enterprise. Depending on the expected return on investment of these programs, we may adjust our spending to achieve a targeted return over time, which can impact near term margins and long term growth rates. We will continue to strategically invest in sales and marketing to drive Active Member acquisition.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Products</w:t>
      </w:r>
    </w:p>
    <w:p>
      <w:pPr>
        <w:spacing w:after="0" w:line="175"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We complement and reinforce our payments-driven revenue model by offering our members access to short-term liquidity through MyPay and SpotMe. We are strongly positioned to deliver these liquidity products at scale in a low-cost, low-risk, and asset-light way because of the primary account relationships we have developed with our members. Our primary account relationships provide rich, first-party data regarding our members’ income and spending behavior as well as a privileged repayment advantage from paycheck direct depositors, which reduces the risk profile of these liquidity products. Outstanding balances related to MyPay and SpotMe have very short durations, which allows us to facilitate the origination of large volumes with only modest balance sheet needs, and nimbly adjust our risk exposure. Our bank partners fund these liquidity products and maintain the ongoing account relationships with members.</w:t>
      </w:r>
    </w:p>
    <w:p>
      <w:pPr>
        <w:spacing w:after="0" w:line="13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From full product launch in July 2024 through the end of 2024, risk losses related to MyPay have been below 1.75% of the total dollars advanced since July 2024, while risk losses related to SpotMe from 2022 through the end of 2024 have been below 0.40% of total dollars overdrawn since 2022. Advances related to MyPay are typically repaid in under 14 days, while negative account balances related to SpotMe are typically repaid in under 7 days. As of December 31, 2024, the total outstanding balances related to MyPay and SpotMe were $380.4 million and $149.6 million. Through December 31, 2024, the aggregate origination volumes since full product launch for MyPay in July 2024 and SpotMe in 2019 were $5.3 billion and $38.7 billion.</w:t>
      </w:r>
    </w:p>
    <w:p>
      <w:pPr>
        <w:spacing w:after="0" w:line="129" w:lineRule="exact"/>
        <w:rPr>
          <w:sz w:val="20"/>
          <w:szCs w:val="20"/>
          <w:color w:val="auto"/>
        </w:rPr>
      </w:pPr>
    </w:p>
    <w:p>
      <w:pPr>
        <w:ind w:right="80" w:firstLine="324"/>
        <w:spacing w:after="0" w:line="244" w:lineRule="auto"/>
        <w:rPr>
          <w:sz w:val="20"/>
          <w:szCs w:val="20"/>
          <w:color w:val="auto"/>
        </w:rPr>
      </w:pPr>
      <w:r>
        <w:rPr>
          <w:rFonts w:ascii="Times New Roman" w:cs="Times New Roman" w:eastAsia="Times New Roman" w:hAnsi="Times New Roman"/>
          <w:sz w:val="18"/>
          <w:szCs w:val="18"/>
          <w:color w:val="auto"/>
        </w:rPr>
        <w:t>Our bank partners make advances available to our members through MyPay and allow our members to draw negative account balances through SpotMe. Pursuant to the Bancorp MSA, Bancorp committed to retain receivables on its balance sheet related to MyPay, SpotMe, and Credit Builder, not to exceed, on an aggregate basis, 200% of its tier 1 capital, with such amount in connection with liquidity products excluding Credit Builder not to exceed 125% of its tier 1 capital (each as measured on the last day of each calendar quarter).</w:t>
      </w:r>
      <w:r>
        <w:rPr>
          <w:rFonts w:ascii="Times New Roman" w:cs="Times New Roman" w:eastAsia="Times New Roman" w:hAnsi="Times New Roman"/>
          <w:sz w:val="23"/>
          <w:szCs w:val="23"/>
          <w:color w:val="auto"/>
          <w:vertAlign w:val="superscript"/>
        </w:rPr>
        <w:t>62</w:t>
      </w:r>
      <w:r>
        <w:rPr>
          <w:rFonts w:ascii="Times New Roman" w:cs="Times New Roman" w:eastAsia="Times New Roman" w:hAnsi="Times New Roman"/>
          <w:sz w:val="18"/>
          <w:szCs w:val="18"/>
          <w:color w:val="auto"/>
        </w:rPr>
        <w:t xml:space="preserve"> Based on Bancorp’s tier 1 capital as of December 31, 2024, the amount of this commitment would have been approximately $1.8 billion (with such amount in connection with liquidity products excluding Credit Builder not to exceed approximately $1.1 billion). We pay Bancorp a fee based on the outstanding balance of uncollateralized receivables that they hold under this commitment, excluding receivables related to Credit Builder. For the years ended December 31, 2023 and 2024, we paid $0.2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7145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40" w:lineRule="exact"/>
        <w:rPr>
          <w:sz w:val="20"/>
          <w:szCs w:val="20"/>
          <w:color w:val="auto"/>
        </w:rPr>
      </w:pPr>
    </w:p>
    <w:p>
      <w:pPr>
        <w:ind w:left="340" w:right="500" w:hanging="332"/>
        <w:spacing w:after="0" w:line="302" w:lineRule="auto"/>
        <w:tabs>
          <w:tab w:leader="none" w:pos="320" w:val="left"/>
        </w:tabs>
        <w:numPr>
          <w:ilvl w:val="0"/>
          <w:numId w:val="6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Bancorp's tier 1 capital includes common shareholders’ equity, certain qualifying perpetual preferred stock and minority interests in equity accounts of consolidated subsidiaries, less intangibles.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240"/>
          </w:cols>
          <w:pgMar w:left="320" w:top="124"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million and $4.3 million in fees to Bancorp with respect to such outstanding balance of uncollateralized receivables. These fees are based on a specified percentage, linked to the Federal Funds Rate, of the daily average outstanding balance of receivables that Bancorp holds under its commitment to originate and hold MyPay, SpotMe, and other lending advances to the extent balances are uncollateralized.</w:t>
      </w:r>
    </w:p>
    <w:p>
      <w:pPr>
        <w:spacing w:after="0" w:line="122"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Historically, we have elected to fund a cash collateral account at Bancorp and pledge certain accounts receivable due from Bancorp to be used as collateral against all negative account balances through SpotMe or other transaction activity with respect to Bancorp. Similarly, we have historically fully secured all negative account balances through SpotMe or other transaction activity with respect to Stride by funding a reserve account and pledging certain accounts receivable due from Stride in a combined amount that collateralizes the total of such negative account balances. Pursuant to the Stride Agreements, we are required to ensure that negative account balances are fully secured and to at all times keep a minimum of $5 million in such reserve account as cash collateral. The cash balance in these accounts is included within product collateral on our consolidated balance sheets.</w:t>
      </w:r>
    </w:p>
    <w:p>
      <w:pPr>
        <w:spacing w:after="0" w:line="133"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Upon the official launch of MyPay in 2024, Stride was provided with a contractual option to sell individual MyPay receivables to us once such receivables had aged two days beyond their origination date. As of December 31, 2024, Chime had an aggregate outstanding amount of receivables purchased from Stride of $130.4 million, which are included within loans held for investment, net on our consolidated balance sheets. Additionally, under the Stride Agreements, we are required to maintain an account at Stride that is used to fund our purchases of such receivables, with a minimum balance amount based on historical MyPay amounts originated by Stride, but not to be less than $10 million, which is reflected as restricted cash on our consolidated balance sheets.</w:t>
      </w:r>
    </w:p>
    <w:p>
      <w:pPr>
        <w:spacing w:after="0" w:line="133"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Pursuant to the Bancorp MSA, we are required to maintain a reserve account at Bancorp to provide Bancorp with protection against losses from MyPay in an amount based on historical origination volume and performance, which is included within product collateral on our consolidated balance sheets. Product collateral increases when we fund the accounts per each bank partner’s individual requirements, and it decreases when we settle losses for any defaults by our members with each respective bank partner. The timing of settlement varies depending on the product. Collateral funding requirements vary by product and bank partner and do not represent the total value of the product obligation.</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a rollforward of our product collateral for each of the years presented: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60" w:type="dxa"/>
            <w:vAlign w:val="bottom"/>
          </w:tcPr>
          <w:p>
            <w:pPr>
              <w:spacing w:after="0"/>
              <w:rPr>
                <w:sz w:val="13"/>
                <w:szCs w:val="13"/>
                <w:color w:val="auto"/>
              </w:rPr>
            </w:pPr>
          </w:p>
        </w:tc>
      </w:tr>
      <w:tr>
        <w:trPr>
          <w:trHeight w:val="194"/>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96"/>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Balance, beginning of the period</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126,906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center"/>
              <w:ind w:left="234"/>
              <w:spacing w:after="0"/>
              <w:rPr>
                <w:sz w:val="20"/>
                <w:szCs w:val="20"/>
                <w:color w:val="auto"/>
              </w:rPr>
            </w:pPr>
            <w:r>
              <w:rPr>
                <w:rFonts w:ascii="Times New Roman" w:cs="Times New Roman" w:eastAsia="Times New Roman" w:hAnsi="Times New Roman"/>
                <w:sz w:val="18"/>
                <w:szCs w:val="18"/>
                <w:color w:val="auto"/>
                <w:w w:val="99"/>
              </w:rPr>
              <w:t>138,704</w:t>
            </w: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Funded amounts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88,584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center"/>
              <w:ind w:left="234"/>
              <w:spacing w:after="0"/>
              <w:rPr>
                <w:sz w:val="20"/>
                <w:szCs w:val="20"/>
                <w:color w:val="auto"/>
              </w:rPr>
            </w:pPr>
            <w:r>
              <w:rPr>
                <w:rFonts w:ascii="Times New Roman" w:cs="Times New Roman" w:eastAsia="Times New Roman" w:hAnsi="Times New Roman"/>
                <w:sz w:val="18"/>
                <w:szCs w:val="18"/>
                <w:color w:val="auto"/>
                <w:w w:val="99"/>
              </w:rPr>
              <w:t>154,682</w:t>
            </w: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Settlements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(76,786)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234"/>
              <w:spacing w:after="0"/>
              <w:rPr>
                <w:sz w:val="20"/>
                <w:szCs w:val="20"/>
                <w:color w:val="auto"/>
              </w:rPr>
            </w:pPr>
            <w:r>
              <w:rPr>
                <w:rFonts w:ascii="Times New Roman" w:cs="Times New Roman" w:eastAsia="Times New Roman" w:hAnsi="Times New Roman"/>
                <w:sz w:val="18"/>
                <w:szCs w:val="18"/>
                <w:color w:val="auto"/>
                <w:w w:val="99"/>
              </w:rPr>
              <w:t>(111,663)</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Balance, end of the period</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138,704</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center"/>
              <w:ind w:left="234"/>
              <w:spacing w:after="0"/>
              <w:rPr>
                <w:sz w:val="20"/>
                <w:szCs w:val="20"/>
                <w:color w:val="auto"/>
              </w:rPr>
            </w:pPr>
            <w:r>
              <w:rPr>
                <w:rFonts w:ascii="Times New Roman" w:cs="Times New Roman" w:eastAsia="Times New Roman" w:hAnsi="Times New Roman"/>
                <w:sz w:val="18"/>
                <w:szCs w:val="18"/>
                <w:color w:val="auto"/>
                <w:w w:val="99"/>
              </w:rPr>
              <w:t>181,723</w:t>
            </w: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In addition, as of December 31, 2023 and 2024, $75.3 million and $42.8 million of gross receivables due from bank partners were pledged as collateral to our bank partners. Further, as of December 31, 2024, $12.3 million of restricted cash was also pledged in a reserve account to our bank partners. No restricted cash was pledged as of December 31, 2023.</w:t>
      </w:r>
    </w:p>
    <w:p>
      <w:pPr>
        <w:spacing w:after="0" w:line="122"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Pursuant to the terms of our contractual agreements with our bank partners, we bear certain risk of loss from on- and off-balance sheet MyPay and SpotMe receivables as we are financially liable to our bank partners for any defaults by our members on the unpaid balances in their account. Expected losses relating to on-balance sheet MyPay receivables are recorded as an allowance for expected credit losses. The expected remaining cash flows relating to off-balance sheet MyPay and SpotMe receivables held by our bank partners, which are inclusive of expected credit losses and revenue based on instant transfer fees, are recognized in product obligation on our consolidated balance sheets. We account for product obligation at fair value. The product obligation is reduced when cash settlements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240"/>
          </w:cols>
          <w:pgMar w:left="320" w:top="124"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a reconciliation of our product obligation for each of the years presented:</w:t>
      </w:r>
    </w:p>
    <w:p>
      <w:pPr>
        <w:spacing w:after="0" w:line="205" w:lineRule="exact"/>
        <w:rPr>
          <w:sz w:val="20"/>
          <w:szCs w:val="20"/>
          <w:color w:val="auto"/>
        </w:rPr>
      </w:pPr>
    </w:p>
    <w:p>
      <w:pPr>
        <w:jc w:val="center"/>
        <w:ind w:left="800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jc w:val="center"/>
        <w:ind w:left="80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02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the period</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center"/>
              <w:ind w:left="474"/>
              <w:spacing w:after="0"/>
              <w:rPr>
                <w:sz w:val="20"/>
                <w:szCs w:val="20"/>
                <w:color w:val="auto"/>
              </w:rPr>
            </w:pPr>
            <w:r>
              <w:rPr>
                <w:rFonts w:ascii="Times New Roman" w:cs="Times New Roman" w:eastAsia="Times New Roman" w:hAnsi="Times New Roman"/>
                <w:sz w:val="18"/>
                <w:szCs w:val="18"/>
                <w:color w:val="auto"/>
                <w:w w:val="96"/>
              </w:rPr>
              <w:t>79,878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88,600</w:t>
            </w:r>
          </w:p>
        </w:tc>
      </w:tr>
      <w:tr>
        <w:trPr>
          <w:trHeight w:val="229"/>
        </w:trPr>
        <w:tc>
          <w:tcPr>
            <w:tcW w:w="802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Change in fair value of product obligation</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19"/>
                <w:szCs w:val="19"/>
                <w:color w:val="auto"/>
              </w:rPr>
            </w:pPr>
          </w:p>
        </w:tc>
        <w:tc>
          <w:tcPr>
            <w:tcW w:w="1200" w:type="dxa"/>
            <w:vAlign w:val="bottom"/>
          </w:tcPr>
          <w:p>
            <w:pPr>
              <w:jc w:val="center"/>
              <w:ind w:left="474"/>
              <w:spacing w:after="0"/>
              <w:rPr>
                <w:sz w:val="20"/>
                <w:szCs w:val="20"/>
                <w:color w:val="auto"/>
              </w:rPr>
            </w:pPr>
            <w:r>
              <w:rPr>
                <w:rFonts w:ascii="Times New Roman" w:cs="Times New Roman" w:eastAsia="Times New Roman" w:hAnsi="Times New Roman"/>
                <w:sz w:val="18"/>
                <w:szCs w:val="18"/>
                <w:color w:val="auto"/>
                <w:w w:val="96"/>
              </w:rPr>
              <w:t>84,996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59,354</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Settlements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center"/>
              <w:ind w:left="454"/>
              <w:spacing w:after="0"/>
              <w:rPr>
                <w:sz w:val="20"/>
                <w:szCs w:val="20"/>
                <w:color w:val="auto"/>
              </w:rPr>
            </w:pPr>
            <w:r>
              <w:rPr>
                <w:rFonts w:ascii="Times New Roman" w:cs="Times New Roman" w:eastAsia="Times New Roman" w:hAnsi="Times New Roman"/>
                <w:sz w:val="18"/>
                <w:szCs w:val="18"/>
                <w:color w:val="auto"/>
              </w:rPr>
              <w:t>(76,274)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(33,577)</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the period</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center"/>
              <w:ind w:left="474"/>
              <w:spacing w:after="0"/>
              <w:rPr>
                <w:sz w:val="20"/>
                <w:szCs w:val="20"/>
                <w:color w:val="auto"/>
              </w:rPr>
            </w:pPr>
            <w:r>
              <w:rPr>
                <w:rFonts w:ascii="Times New Roman" w:cs="Times New Roman" w:eastAsia="Times New Roman" w:hAnsi="Times New Roman"/>
                <w:sz w:val="18"/>
                <w:szCs w:val="18"/>
                <w:color w:val="auto"/>
                <w:w w:val="96"/>
              </w:rPr>
              <w:t>88,600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114,377</w:t>
            </w:r>
          </w:p>
        </w:tc>
      </w:tr>
      <w:tr>
        <w:trPr>
          <w:trHeight w:val="21"/>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40" w:hanging="332"/>
        <w:spacing w:after="0" w:line="270" w:lineRule="auto"/>
        <w:tabs>
          <w:tab w:leader="none" w:pos="332"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year ended December 31, 2023, the change in fair value of the product obligation was recorded as transaction and risk losses. In the year ended December 31, 2024, $85.1 million was recorded as transaction and risk losses for SpotMe and other member negative balances, $50.4 million was recorded as transaction and risk losses for off-balance sheet MyPay receivables, and $76.2 million was recorded as revenue related to off-balance sheet MyPay receivables on the consolidated statements of operations.</w:t>
      </w:r>
    </w:p>
    <w:p>
      <w:pPr>
        <w:spacing w:after="0" w:line="134"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In the future, we expect our bank partners to continue to originate and hold receivables related to MyPay, SpotMe, and Credit Builder. Furthermore, we may seek to increase the size of Bancorp’s commitment to hold receivables on its balance sheet, as well as secure additional financing structures with other third parties, to expand the amount and diversification of the capital commitments available to support the continued growth of the credit and liquidity products offered through our platform.</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Payments Revenue</w:t>
      </w:r>
    </w:p>
    <w:p>
      <w:pPr>
        <w:spacing w:after="0" w:line="173"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We recognize payments revenue based on interchange fees generated from purchase transactions made by members using their Chime-branded debit and credit cards. Our bank partners, as issuing banks, collect the interchange fees from these transactions, and pass amounts onto us based on these fees. Our payments revenue reflects the gross amount of the interchange fees. Interchange fees are generally determined as a percentage of the underlying transaction value plus a fixed amount per transaction based upon rates set by the card networks.</w:t>
      </w:r>
    </w:p>
    <w:p>
      <w:pPr>
        <w:spacing w:after="0" w:line="126"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To deliver payment services to members, we contract with our bank partners to provide Chime members with access to deposit products and services such as full-featured, FDIC-insured checking accounts, debit cards, and secured credit cards.</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Platform-Related Revenue</w:t>
      </w:r>
    </w:p>
    <w:p>
      <w:pPr>
        <w:spacing w:after="0" w:line="173"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We earn platform-related revenue from other products offered to our members that provide additional convenience, financial management tools, and access to liquidity. These products include access to ATMs, MyPay, high yield savings, third-party partnerships, SpotMe, and cash deposits.</w:t>
      </w:r>
    </w:p>
    <w:p>
      <w:pPr>
        <w:spacing w:after="0" w:line="108"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We offer our members access to over 50,000 fee-free ATMs. Each time members withdraw money at certain ATMs that are not in our network of fee-free ATMs, we charge them a fixed ATM fee in accordance with the terms and conditions in the member agreements. As we maintain control of the integrated transaction processing services before delivery to our members, we record revenue on a gross basis.</w:t>
      </w:r>
    </w:p>
    <w:p>
      <w:pPr>
        <w:spacing w:after="0" w:line="122"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offer our members access to MyPay, which enables members to receive money in advance of payday up to a predetermined limit for free within 24 hours, or instantly for a flat fee. We recognize the instant transfer fee net of fees paid to bank partners that are related to the product as revenue. We record on-balance sheet MyPay receivables as loans held for investment, net on the consolidated balance sheets and accrue instant transfer fee revenue for these loans using the effective interest rate method. For the off-balance sheet MyPay receivables that are retained by either of the bank partners, we recognize revenue based on the instant transfer fee, net of fees paid to bank partners, at an amount that approximates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240"/>
          </w:cols>
          <w:pgMar w:left="320" w:top="124" w:right="339" w:bottom="1440" w:gutter="0" w:footer="0" w:header="0"/>
        </w:sectPr>
      </w:pPr>
    </w:p>
    <w:bookmarkStart w:id="108" w:name="page109"/>
    <w:bookmarkEnd w:id="108"/>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We offer our members access to high yield savings accounts with no minimum deposit requirements. Member savings account balances are held in interest bearing deposit accounts offered through our bank partners. Under the terms of our applicable contractual agreements with each bank partner, member deposits are either placed in the community deposit sweep program or held by our bank partners. The earned interest is passed to us which we recognize as revenue, net of the interest paid to our members. Under the terms of our applicable contractual agreements, the interest rate paid to members by Bancorp is determined by us and the interest rate paid to members by Stride is determined by agreement between us and Stride.</w:t>
      </w:r>
    </w:p>
    <w:p>
      <w:pPr>
        <w:spacing w:after="0" w:line="1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also generate revenue from third-party partnership agreements through products where we receive payment from partners that offer products and services to members on the Chime app, such as Experian Boost, which provides an opportunity for members to raise their FICO scores by paying eligible bills through Chime, and our Offers Marketplace, where members can receive discounts on life, renters, pet, and car insurance, utilities, wireless plans, and other third-party products.</w:t>
      </w:r>
    </w:p>
    <w:p>
      <w:pPr>
        <w:spacing w:after="0" w:line="126"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We offer our members access to SpotMe, a fee-free overdraft protection product that allows enrolled members to overdraw their account up to a predetermined limit free of charge. Members may tip Chime, at their discretion, for the use of the feature once the overdraft is repaid and may rescind the tip during the specified refundable period as defined in the member agreement. We defer the recognition of revenue until the expiration of the refundable period.</w:t>
      </w:r>
    </w:p>
    <w:p>
      <w:pPr>
        <w:spacing w:after="0" w:line="126"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Members can deposit cash into their accounts for free at certain retail locations or for a fee at other retail locations. Through contracts with third party cash deposit networks, we earn revenue upon each qualifying cash deposit outside our free network at a rate that varies depending on the cash deposit network and retailer. We do not have the primary responsibility for fulfilling members’ cash deposit requests and we recognize revenue net of fees paid to our third-party cash deposit networks upon settlement of the cash deposit in the members’ accounts.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Cost of revenue consists primarily of transaction processing and bank partner costs, and card and ATM network costs, net of incentives.</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Transaction processing and bank partner costs</w:t>
      </w:r>
    </w:p>
    <w:p>
      <w:pPr>
        <w:spacing w:after="0" w:line="17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Transaction processing and bank partner costs include expenses incurred related to our third-party processor, which processes transactions and provides a ledger for member accounts. These third-party processor costs are generally equal to a fixed amount per transaction coupled with a large-volume discount factor. Transaction processing and bank partner costs also include hosting and software costs, including the amortization of internal-use software, related to ChimeCore, our proprietary payment processor and ledger that launched in 2024, and the internal-use software supporting the MyPay product and others.. Our third-party processor, which processed transactions and provided a ledger for member accounts prior to the launch of ChimeCore, continues to do so for member accounts not yet migrated to ChimeCore. Additionally, transaction processing and bank partner costs include payments to bank partners, including fees paid for serving as our card issuing bank and for card network sponsorship. These expenses are predominantly based on a specified percentage of the Purchase Volume at each respective bank partner.</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Card and ATM network costs, net of incentives</w:t>
      </w:r>
    </w:p>
    <w:p>
      <w:pPr>
        <w:spacing w:after="0" w:line="17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pay card and ATM networks for providing the worldwide networks through which card payment and ATM transactions are authorized, processed, and settled. These fees are generally based on the Purchase Volume and the total number of transactions in the period, and vary by network and transaction type. As part of our overall agreements with card networks, we also have marketing and incentive arrangements that provide us with certain incentives on a periodic basis, including quarterly and annual incentives based on transaction volumes in the period, contract signing bonus, and other marketing incentives. We record these incentives as a reduction to the cost of revenue as they are earned.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220"/>
          </w:cols>
          <w:pgMar w:left="320" w:top="124" w:right="35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Gross profit consists of our total revenue minus total cost of revenue.</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Transaction and Risk Losses</w:t>
      </w:r>
    </w:p>
    <w:p>
      <w:pPr>
        <w:spacing w:after="0" w:line="173"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Transaction and risk losses primarily consist of losses relating to liquidity products both on- and off-balance sheet, overdrawn member accounts, and transaction dispute losses.</w:t>
      </w:r>
    </w:p>
    <w:p>
      <w:pPr>
        <w:spacing w:after="0" w:line="108"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Losses relating to our off-balance sheet receivables that are retained by bank partners and relate to MyPay and SpotMe, as well as other instances where a member’s account is overdrawn, are estimated at each period end and recognized on our consolidated balance sheets as our product obligation. This obligation is measured at fair value, using a discounted cash flow model to calculate the present value of future cash flows, estimated for the discount rate and expected loss rates based on current period data and historical trends. Changes in fair value of the product obligation related to credit exposure are recorded as transaction and risk losses for the period.</w:t>
      </w:r>
    </w:p>
    <w:p>
      <w:pPr>
        <w:spacing w:after="0" w:line="12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Our credit obligations relating to MyPay receivables we purchase, which are reflected on our balance sheet as loans held for investment, are recorded as a provision for credit losses within transaction and risk losses.</w:t>
      </w:r>
    </w:p>
    <w:p>
      <w:pPr>
        <w:spacing w:after="0" w:line="108"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auto"/>
        </w:rPr>
        <w:t>Transaction dispute losses result from member-initiated disputes with merchants or due to processing fraudulent transactions. We estimate the provision for transaction dispute losses each period based on current period data points and historical trends related to loss rates.</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Member Support and Operations</w:t>
      </w:r>
    </w:p>
    <w:p>
      <w:pPr>
        <w:spacing w:after="0" w:line="173"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Member support and operations expenses include the costs of the third-party vendors we use for certain member support and loss prevention services, the costs of physical debit and credit card issuance, software to help manage member interactions, and member onboarding and account verification expenses. Member support and operations also includes personnel-related expenses including salaries, employee benefit costs, and stock-based compensation for employees engaged in member support, risk, and operations functions, and allocated overhead.</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73"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Sales and marketing expenses consist primarily of general marketing and promotional activities, including advertising costs associated with the production and communication of advertisements in various media outlets, referral bonuses given to members who refer another member to Chime with certain qualifying conditions, and other marketing incentives. Sales and marketing expenses also include personnel-related expenses including salaries, employee benefit costs, and stock-based compensation for employees engaged in marketing functions and allocated overhead.</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Technology and Development</w:t>
      </w:r>
    </w:p>
    <w:p>
      <w:pPr>
        <w:spacing w:after="0" w:line="173"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Technology and development expenses primarily consist of personnel-related expenses including salaries, employee benefit costs, and stock-based compensation for employees engaged in the engineering, product management, data science, and design functions and allocated overhead, as well as certain costs for cloud infrastructure, and other costs to support and improve our platform.</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73" w:lineRule="exact"/>
        <w:rPr>
          <w:sz w:val="20"/>
          <w:szCs w:val="20"/>
          <w:color w:val="auto"/>
        </w:rPr>
      </w:pPr>
    </w:p>
    <w:p>
      <w:pPr>
        <w:jc w:val="both"/>
        <w:ind w:right="480"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primarily consist of personnel-related expenses, including salaries, employee benefit costs, and stock-based compensation for employees engaged in the security, legal, compliance, human resources and finance functions, and allocated overhead. General and administrative also includes professional services fees, business software, and legal and regulatory settlements.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240"/>
          </w:cols>
          <w:pgMar w:left="320" w:top="124"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Depreciation and amortization expenses primarily consist of amortization of our capitalized software and depreciation on our property and equipment.</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73"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Other income, net primarily includes interest income, which consists of interest and dividends earned on our cash and cash equivalents and marketable securities.</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Provision (Benefit) for Income Taxes</w:t>
      </w:r>
    </w:p>
    <w:p>
      <w:pPr>
        <w:spacing w:after="0" w:line="173" w:lineRule="exact"/>
        <w:rPr>
          <w:sz w:val="20"/>
          <w:szCs w:val="20"/>
          <w:color w:val="auto"/>
        </w:rPr>
      </w:pPr>
    </w:p>
    <w:p>
      <w:pPr>
        <w:ind w:right="380" w:firstLine="324"/>
        <w:spacing w:after="0" w:line="266" w:lineRule="auto"/>
        <w:rPr>
          <w:sz w:val="20"/>
          <w:szCs w:val="20"/>
          <w:color w:val="auto"/>
        </w:rPr>
      </w:pPr>
      <w:r>
        <w:rPr>
          <w:rFonts w:ascii="Times New Roman" w:cs="Times New Roman" w:eastAsia="Times New Roman" w:hAnsi="Times New Roman"/>
          <w:sz w:val="18"/>
          <w:szCs w:val="18"/>
          <w:color w:val="auto"/>
        </w:rPr>
        <w:t>The provision (benefit) for income taxes consists primarily of income taxes in certain federal, state, local, and foreign jurisdictions in which we conduct business. Our effective tax rate will vary depending on the relative proportion of foreign to domestic income, use of tax credits, changes in the valuation of our deferred tax assets and liabilities, and changes in tax laws.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consolidated statements of operations data for each of the periods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94"/>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96"/>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amounts)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1,008,838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1,278,455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1,673,269</w:t>
            </w:r>
          </w:p>
        </w:tc>
      </w:tr>
      <w:tr>
        <w:trPr>
          <w:trHeight w:val="230"/>
        </w:trPr>
        <w:tc>
          <w:tcPr>
            <w:tcW w:w="63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23"/>
                <w:szCs w:val="23"/>
                <w:color w:val="auto"/>
                <w:vertAlign w:val="superscript"/>
              </w:rPr>
              <w:t>(1)</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214,686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219,737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207,511</w:t>
            </w:r>
          </w:p>
        </w:tc>
      </w:tr>
      <w:tr>
        <w:trPr>
          <w:trHeight w:val="223"/>
        </w:trPr>
        <w:tc>
          <w:tcPr>
            <w:tcW w:w="6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794,152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1,058,718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1,465,758</w:t>
            </w:r>
          </w:p>
        </w:tc>
      </w:tr>
      <w:tr>
        <w:trPr>
          <w:trHeight w:val="21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Transaction and risk losses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219,687</w:t>
            </w:r>
          </w:p>
        </w:tc>
      </w:tr>
      <w:tr>
        <w:trPr>
          <w:trHeight w:val="230"/>
        </w:trPr>
        <w:tc>
          <w:tcPr>
            <w:tcW w:w="636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Member support and operations</w:t>
            </w:r>
            <w:r>
              <w:rPr>
                <w:rFonts w:ascii="Times New Roman" w:cs="Times New Roman" w:eastAsia="Times New Roman" w:hAnsi="Times New Roman"/>
                <w:sz w:val="23"/>
                <w:szCs w:val="23"/>
                <w:color w:val="auto"/>
                <w:vertAlign w:val="superscript"/>
              </w:rPr>
              <w:t>(2)</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292,466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286,856</w:t>
            </w:r>
          </w:p>
        </w:tc>
      </w:tr>
      <w:tr>
        <w:trPr>
          <w:trHeight w:val="229"/>
        </w:trPr>
        <w:tc>
          <w:tcPr>
            <w:tcW w:w="636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3"/>
                <w:szCs w:val="23"/>
                <w:color w:val="auto"/>
                <w:vertAlign w:val="superscript"/>
              </w:rPr>
              <w:t>(2)</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434,225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519,760</w:t>
            </w:r>
          </w:p>
        </w:tc>
      </w:tr>
      <w:tr>
        <w:trPr>
          <w:trHeight w:val="230"/>
        </w:trPr>
        <w:tc>
          <w:tcPr>
            <w:tcW w:w="636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Technology and development</w:t>
            </w:r>
            <w:r>
              <w:rPr>
                <w:rFonts w:ascii="Times New Roman" w:cs="Times New Roman" w:eastAsia="Times New Roman" w:hAnsi="Times New Roman"/>
                <w:sz w:val="23"/>
                <w:szCs w:val="23"/>
                <w:color w:val="auto"/>
                <w:vertAlign w:val="superscript"/>
              </w:rPr>
              <w:t>(2)</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309,575</w:t>
            </w:r>
          </w:p>
        </w:tc>
      </w:tr>
      <w:tr>
        <w:trPr>
          <w:trHeight w:val="230"/>
        </w:trPr>
        <w:tc>
          <w:tcPr>
            <w:tcW w:w="636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(2)</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177,229</w:t>
            </w:r>
          </w:p>
        </w:tc>
      </w:tr>
      <w:tr>
        <w:trPr>
          <w:trHeight w:val="230"/>
        </w:trPr>
        <w:tc>
          <w:tcPr>
            <w:tcW w:w="636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3"/>
                <w:szCs w:val="23"/>
                <w:color w:val="auto"/>
                <w:vertAlign w:val="superscript"/>
              </w:rPr>
              <w:t>(1)</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14,850</w:t>
            </w:r>
          </w:p>
        </w:tc>
      </w:tr>
      <w:tr>
        <w:trPr>
          <w:trHeight w:val="223"/>
        </w:trPr>
        <w:tc>
          <w:tcPr>
            <w:tcW w:w="6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1,272,854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1,294,503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1,527,957</w:t>
            </w:r>
          </w:p>
        </w:tc>
      </w:tr>
      <w:tr>
        <w:trPr>
          <w:trHeight w:val="223"/>
        </w:trPr>
        <w:tc>
          <w:tcPr>
            <w:tcW w:w="6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(478,702)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(235,785)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(62,199)</w:t>
            </w: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39,465</w:t>
            </w:r>
          </w:p>
        </w:tc>
      </w:tr>
      <w:tr>
        <w:trPr>
          <w:trHeight w:val="223"/>
        </w:trPr>
        <w:tc>
          <w:tcPr>
            <w:tcW w:w="6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(470,591)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(22,734)</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w:t>
            </w:r>
          </w:p>
        </w:tc>
      </w:tr>
      <w:tr>
        <w:trPr>
          <w:trHeight w:val="223"/>
        </w:trPr>
        <w:tc>
          <w:tcPr>
            <w:tcW w:w="6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(470,254)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(203,202)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(25,344)</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r>
      <w:tr>
        <w:trPr>
          <w:trHeight w:val="175"/>
        </w:trPr>
        <w:tc>
          <w:tcPr>
            <w:tcW w:w="63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 average number of shares outstanding used to compute net loss per share</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43"/>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attributable to common stockholders, basic and diluted</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57,884,136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63,104,219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64,910,056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240"/>
          </w:cols>
          <w:pgMar w:left="320" w:top="124"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Total depreciation and amortization includes amounts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0" w:type="dxa"/>
            <w:vAlign w:val="bottom"/>
          </w:tcPr>
          <w:p>
            <w:pPr>
              <w:spacing w:after="0"/>
              <w:rPr>
                <w:sz w:val="2"/>
                <w:szCs w:val="2"/>
                <w:color w:val="auto"/>
              </w:rPr>
            </w:pPr>
          </w:p>
        </w:tc>
        <w:tc>
          <w:tcPr>
            <w:tcW w:w="5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40" w:type="dxa"/>
            <w:vAlign w:val="bottom"/>
          </w:tcPr>
          <w:p>
            <w:pPr>
              <w:spacing w:after="0"/>
              <w:rPr>
                <w:sz w:val="16"/>
                <w:szCs w:val="16"/>
                <w:color w:val="auto"/>
              </w:rPr>
            </w:pPr>
          </w:p>
        </w:tc>
        <w:tc>
          <w:tcPr>
            <w:tcW w:w="574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 recorded in cost of revenue</w:t>
            </w: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10,520</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 recorded as operating expense</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7,300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11,621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14,850</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7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depreciation and amortization</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12,937</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25,370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7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(2)  Amounts include stock-based compensation as follows:</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608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34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4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Member support and operations</w:t>
            </w: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3,620</w:t>
            </w: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1,356</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Technology and development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10,645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12,423</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10,608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9,198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12,446</w:t>
            </w:r>
          </w:p>
        </w:tc>
        <w:tc>
          <w:tcPr>
            <w:tcW w:w="0" w:type="dxa"/>
            <w:vAlign w:val="bottom"/>
          </w:tcPr>
          <w:p>
            <w:pPr>
              <w:spacing w:after="0"/>
              <w:rPr>
                <w:sz w:val="1"/>
                <w:szCs w:val="1"/>
                <w:color w:val="auto"/>
              </w:rPr>
            </w:pPr>
          </w:p>
        </w:tc>
      </w:tr>
      <w:tr>
        <w:trPr>
          <w:trHeight w:val="228"/>
        </w:trPr>
        <w:tc>
          <w:tcPr>
            <w:tcW w:w="340" w:type="dxa"/>
            <w:vAlign w:val="bottom"/>
          </w:tcPr>
          <w:p>
            <w:pPr>
              <w:spacing w:after="0"/>
              <w:rPr>
                <w:sz w:val="19"/>
                <w:szCs w:val="19"/>
                <w:color w:val="auto"/>
              </w:rPr>
            </w:pPr>
          </w:p>
        </w:tc>
        <w:tc>
          <w:tcPr>
            <w:tcW w:w="5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28,350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26,035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29,845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4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of our consolidated statements of operations data, for each of the periods presented, as a percent of revenue: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60" w:type="dxa"/>
            <w:vAlign w:val="bottom"/>
          </w:tcPr>
          <w:p>
            <w:pPr>
              <w:spacing w:after="0"/>
              <w:rPr>
                <w:sz w:val="13"/>
                <w:szCs w:val="13"/>
                <w:color w:val="auto"/>
              </w:rPr>
            </w:pPr>
          </w:p>
        </w:tc>
      </w:tr>
      <w:tr>
        <w:trPr>
          <w:trHeight w:val="196"/>
        </w:trPr>
        <w:tc>
          <w:tcPr>
            <w:tcW w:w="6100" w:type="dxa"/>
            <w:vAlign w:val="bottom"/>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60" w:type="dxa"/>
            <w:vAlign w:val="bottom"/>
            <w:tcBorders>
              <w:bottom w:val="single" w:sz="8" w:color="auto"/>
            </w:tcBorders>
          </w:tcPr>
          <w:p>
            <w:pPr>
              <w:spacing w:after="0"/>
              <w:rPr>
                <w:sz w:val="17"/>
                <w:szCs w:val="17"/>
                <w:color w:val="auto"/>
              </w:rPr>
            </w:pPr>
          </w:p>
        </w:tc>
      </w:tr>
      <w:tr>
        <w:trPr>
          <w:trHeight w:val="203"/>
        </w:trPr>
        <w:tc>
          <w:tcPr>
            <w:tcW w:w="6100" w:type="dxa"/>
            <w:vAlign w:val="bottom"/>
            <w:tcBorders>
              <w:bottom w:val="single" w:sz="8" w:color="CCEEFF"/>
            </w:tcBorders>
          </w:tcPr>
          <w:p>
            <w:pPr>
              <w:ind w:left="20"/>
              <w:spacing w:after="0" w:line="202" w:lineRule="exact"/>
              <w:rPr>
                <w:sz w:val="20"/>
                <w:szCs w:val="20"/>
                <w:color w:val="auto"/>
              </w:rPr>
            </w:pPr>
            <w:r>
              <w:rPr>
                <w:rFonts w:ascii="Times New Roman" w:cs="Times New Roman" w:eastAsia="Times New Roman" w:hAnsi="Times New Roman"/>
                <w:sz w:val="14"/>
                <w:szCs w:val="14"/>
                <w:i w:val="1"/>
                <w:iCs w:val="1"/>
                <w:color w:val="auto"/>
              </w:rPr>
              <w:t>(as a percentage of revenue</w:t>
            </w:r>
            <w:r>
              <w:rPr>
                <w:rFonts w:ascii="Times New Roman" w:cs="Times New Roman" w:eastAsia="Times New Roman" w:hAnsi="Times New Roman"/>
                <w:sz w:val="18"/>
                <w:szCs w:val="18"/>
                <w:i w:val="1"/>
                <w:iCs w:val="1"/>
                <w:color w:val="auto"/>
                <w:vertAlign w:val="superscript"/>
              </w:rPr>
              <w:t>(1)</w:t>
            </w:r>
            <w:r>
              <w:rPr>
                <w:rFonts w:ascii="Times New Roman" w:cs="Times New Roman" w:eastAsia="Times New Roman" w:hAnsi="Times New Roman"/>
                <w:sz w:val="14"/>
                <w:szCs w:val="14"/>
                <w:i w:val="1"/>
                <w:iCs w:val="1"/>
                <w:color w:val="auto"/>
              </w:rPr>
              <w:t>)</w:t>
            </w:r>
          </w:p>
        </w:tc>
        <w:tc>
          <w:tcPr>
            <w:tcW w:w="164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7"/>
                <w:szCs w:val="17"/>
                <w:color w:val="auto"/>
              </w:rPr>
            </w:pPr>
          </w:p>
        </w:tc>
        <w:tc>
          <w:tcPr>
            <w:tcW w:w="166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30"/>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23"/>
        </w:trPr>
        <w:tc>
          <w:tcPr>
            <w:tcW w:w="6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Gross profit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6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Transaction and risk losses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29"/>
        </w:trPr>
        <w:tc>
          <w:tcPr>
            <w:tcW w:w="6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Member support and operations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30"/>
        </w:trPr>
        <w:tc>
          <w:tcPr>
            <w:tcW w:w="6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30"/>
        </w:trPr>
        <w:tc>
          <w:tcPr>
            <w:tcW w:w="6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30"/>
        </w:trPr>
        <w:tc>
          <w:tcPr>
            <w:tcW w:w="6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30"/>
        </w:trPr>
        <w:tc>
          <w:tcPr>
            <w:tcW w:w="61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3"/>
        </w:trPr>
        <w:tc>
          <w:tcPr>
            <w:tcW w:w="6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10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10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r>
      <w:tr>
        <w:trPr>
          <w:trHeight w:val="223"/>
        </w:trPr>
        <w:tc>
          <w:tcPr>
            <w:tcW w:w="6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Loss from operations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23"/>
        </w:trPr>
        <w:tc>
          <w:tcPr>
            <w:tcW w:w="6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23"/>
        </w:trPr>
        <w:tc>
          <w:tcPr>
            <w:tcW w:w="6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loss</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Totals may not foot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240"/>
          </w:cols>
          <w:pgMar w:left="320" w:top="124"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 Ended December 31, 2023 and December 31, 2024</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8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80" w:type="dxa"/>
            <w:vAlign w:val="bottom"/>
            <w:vMerge w:val="restart"/>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4"/>
        </w:trPr>
        <w:tc>
          <w:tcPr>
            <w:tcW w:w="46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jc w:val="right"/>
              <w:ind w:right="697"/>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revenue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1,021,158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1,276,601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255,443</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Platform-related revenue</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257,297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396,668</w:t>
            </w:r>
          </w:p>
        </w:tc>
        <w:tc>
          <w:tcPr>
            <w:tcW w:w="400" w:type="dxa"/>
            <w:vAlign w:val="bottom"/>
            <w:tcBorders>
              <w:bottom w:val="single" w:sz="8" w:color="CCEEFF"/>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139,371</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1,278,455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1,673,269</w:t>
            </w:r>
          </w:p>
        </w:tc>
        <w:tc>
          <w:tcPr>
            <w:tcW w:w="40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394,814</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Total revenue for the year ended December 31, 2024 increased $394.8 million, or 31%, year over year, primarily driven by the growth of our total Active Members and the associated increase in Purchase Volume and the launch of MyPay.</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Payments revenue</w:t>
      </w:r>
    </w:p>
    <w:p>
      <w:pPr>
        <w:spacing w:after="0" w:line="173"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Payments revenue increased by $255.4 million, or 25%, for 2024 compared to 2023, which reflected a $136.6 million, or 17%, increase in revenue from interchange-based fees from debit card transactions and a $118.9 million, or 50%, increase in revenue from interchange-based fees from credit card transactions. The increase in payments revenue was driven by a $22.8 billion, or 25%, increase in Purchase Volume for 2024 compared to 2023. The increase in Purchase Volume was driven, in part, by a 1.4 million, or 21%, increase in Active Members for 2024 compared to 2023. Increasing the number of Active Members on our platform helps drive Purchase Volume, which increases the interchange-based fees generated and the payments revenue that we recognize.</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Platform-related revenue</w:t>
      </w:r>
    </w:p>
    <w:p>
      <w:pPr>
        <w:spacing w:after="0" w:line="173"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Platform-related revenue for the year ended December 31, 2024 increased $139.4 million, or 54%, year over year. The increase was primarily driven by a $106.0 million increase from the launch of MyPay and a $16.5 million increase in out-of-network ATM revenue due to the increase in Active Members.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2140" w:type="dxa"/>
            <w:vAlign w:val="bottom"/>
            <w:gridSpan w:val="3"/>
          </w:tcPr>
          <w:p>
            <w:pPr>
              <w:jc w:val="center"/>
              <w:ind w:left="96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4620" w:type="dxa"/>
            <w:vAlign w:val="bottom"/>
          </w:tcPr>
          <w:p>
            <w:pPr>
              <w:spacing w:after="0"/>
              <w:rPr>
                <w:sz w:val="17"/>
                <w:szCs w:val="17"/>
                <w:color w:val="auto"/>
              </w:rPr>
            </w:pPr>
          </w:p>
        </w:tc>
        <w:tc>
          <w:tcPr>
            <w:tcW w:w="2140" w:type="dxa"/>
            <w:vAlign w:val="bottom"/>
            <w:tcBorders>
              <w:bottom w:val="single" w:sz="8" w:color="auto"/>
            </w:tcBorders>
            <w:gridSpan w:val="3"/>
          </w:tcPr>
          <w:p>
            <w:pPr>
              <w:jc w:val="center"/>
              <w:ind w:left="98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1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154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1700" w:type="dxa"/>
            <w:vAlign w:val="bottom"/>
            <w:tcBorders>
              <w:bottom w:val="single" w:sz="8" w:color="auto"/>
            </w:tcBorders>
          </w:tcPr>
          <w:p>
            <w:pPr>
              <w:jc w:val="right"/>
              <w:ind w:right="70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219,737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207,511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(12,226)</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Cost of revenue for the year ended December 31, 2024 decreased $12.2 million, or 6%, year over year driven by a $56.6 million decrease in card and ATM network expenses, net of incentives. This decrease was due to the full year benefit in 2024 of cost savings due to favorable renegotiations to our existing arrangements with our principal card network partner, which included higher card network incentives, and one bank partner in 2023. This was partially offset by a $44.4 million increase in transaction processing and bank partner costs driven by the increase in Active Members and related increase in Purchase Volume.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240"/>
          </w:cols>
          <w:pgMar w:left="320" w:top="124"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8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vMerge w:val="restart"/>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3"/>
                <w:szCs w:val="13"/>
                <w:color w:val="auto"/>
              </w:rPr>
            </w:pPr>
          </w:p>
        </w:tc>
        <w:tc>
          <w:tcPr>
            <w:tcW w:w="1680" w:type="dxa"/>
            <w:vAlign w:val="bottom"/>
            <w:vMerge w:val="restart"/>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4"/>
        </w:trPr>
        <w:tc>
          <w:tcPr>
            <w:tcW w:w="46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360" w:type="dxa"/>
            <w:vAlign w:val="bottom"/>
          </w:tcPr>
          <w:p>
            <w:pPr>
              <w:spacing w:after="0"/>
              <w:rPr>
                <w:sz w:val="17"/>
                <w:szCs w:val="17"/>
                <w:color w:val="auto"/>
              </w:rPr>
            </w:pPr>
          </w:p>
        </w:tc>
        <w:tc>
          <w:tcPr>
            <w:tcW w:w="118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w:t>
            </w:r>
          </w:p>
        </w:tc>
        <w:tc>
          <w:tcPr>
            <w:tcW w:w="1780" w:type="dxa"/>
            <w:vAlign w:val="bottom"/>
            <w:gridSpan w:val="2"/>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and risk losses</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152,375</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219,687</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67,312</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Member support and operations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272,755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286,856</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14,101</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443,806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519,760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75,954</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259,001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309,575</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50,574</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154,945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177,229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22,284</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17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23"/>
        </w:trPr>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1,294,503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1,527,957</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233,454</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Operating expenses increased by $233.5 million, or 18%, for the year ended December 31, 2024 compared to the year ended December 31, 2023 driven by the following changes: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Transaction and risk losses</w:t>
      </w:r>
    </w:p>
    <w:p>
      <w:pPr>
        <w:spacing w:after="0" w:line="17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Transaction and risk losses for the year ended December 31, 2024, increased $67.3 million, or 44% year over year. The increase was driven by the full launch of MyPay, which was the primary driver of a $50.5 million increase in expected credit obligations relating to off-balance sheet outstanding receivables from members and a $30.6 million increase in the provision for credit losses relating to on-balance sheet MyPay receivables, which the Company began purchasing in 2024. This was partially offset by a decrease of $16.8 million in transaction dispute losses due to improved fraud mitigation efforts.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Member support and operations</w:t>
      </w:r>
    </w:p>
    <w:p>
      <w:pPr>
        <w:spacing w:after="0" w:line="175"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Member support and operations expenses for the year ended December 31, 2024 increased by $14.1 million, or 5%, year over year driven by a $13.5 million increase in personnel-related expenses primarily attributable to increased headcount, a $5.0 million increase in physical debit and credit card production and fulfillment costs, and a $2.5 million increase in software costs to help manage member interactions. This was partially offset by a $7.7 million decrease in third-party member support and loss prevention expenses.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75" w:lineRule="exact"/>
        <w:rPr>
          <w:sz w:val="20"/>
          <w:szCs w:val="20"/>
          <w:color w:val="auto"/>
        </w:rPr>
      </w:pPr>
    </w:p>
    <w:p>
      <w:pPr>
        <w:jc w:val="both"/>
        <w:ind w:right="600" w:firstLine="324"/>
        <w:spacing w:after="0" w:line="266" w:lineRule="auto"/>
        <w:rPr>
          <w:sz w:val="20"/>
          <w:szCs w:val="20"/>
          <w:color w:val="auto"/>
        </w:rPr>
      </w:pPr>
      <w:r>
        <w:rPr>
          <w:rFonts w:ascii="Times New Roman" w:cs="Times New Roman" w:eastAsia="Times New Roman" w:hAnsi="Times New Roman"/>
          <w:sz w:val="18"/>
          <w:szCs w:val="18"/>
          <w:color w:val="auto"/>
        </w:rPr>
        <w:t>Sales and marketing expenses for the year ended December 31, 2024 increased by $76.0 million, or 17%, year over year primarily driven by an increase of $68.7 million in marketing and promotional activities and a $5.7 million increase in personnel-related expenses primarily attributable to increased headcount.</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Technology and development</w:t>
      </w:r>
    </w:p>
    <w:p>
      <w:pPr>
        <w:spacing w:after="0" w:line="17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Technology and development expenses for the year ended December 31, 2024 increased by $50.6 million, or 20%, year over year due to an increase of $28.5 million in personnel-related expenses primarily attributable to increased headcount, an increase of software and cloud infrastructure expenses of $12.5 million, and an increase of professional services costs, including third-party consulting costs, of $6.5 million to support the growth of our Active Members.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75"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for the year ended December 31, 2024 increased by $22.3 million, or 14%, year over year, primarily driven by a $15.6 million increase in personnel-related expenses primarily attributable to increased headcount and a $10.9 million increase in legal and other professional services expenses. This was partially offset by a decrease of $7.5 million due to regulatory settlements accrued for in 2023 while no such similar matters occurred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240"/>
          </w:cols>
          <w:pgMar w:left="320" w:top="124"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80" w:type="dxa"/>
            <w:vAlign w:val="bottom"/>
            <w:gridSpan w:val="3"/>
          </w:tcPr>
          <w:p>
            <w:pPr>
              <w:jc w:val="center"/>
              <w:ind w:left="58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4"/>
        </w:trPr>
        <w:tc>
          <w:tcPr>
            <w:tcW w:w="46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left="58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1700" w:type="dxa"/>
            <w:vAlign w:val="bottom"/>
            <w:tcBorders>
              <w:bottom w:val="single" w:sz="8" w:color="auto"/>
            </w:tcBorders>
          </w:tcPr>
          <w:p>
            <w:pPr>
              <w:jc w:val="right"/>
              <w:ind w:right="70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32,817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6,648</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Other income, net for the year ended December 31, 2024 increased by $6.6 million, or 20%, year over year primarily attributable to a $2.6 million increase in interest income.</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 Ended December 31, 2022 and December 31, 2023</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8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vMerge w:val="restart"/>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3"/>
                <w:szCs w:val="13"/>
                <w:color w:val="auto"/>
              </w:rPr>
            </w:pPr>
          </w:p>
        </w:tc>
        <w:tc>
          <w:tcPr>
            <w:tcW w:w="1680" w:type="dxa"/>
            <w:vAlign w:val="bottom"/>
            <w:vMerge w:val="restart"/>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46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360" w:type="dxa"/>
            <w:vAlign w:val="bottom"/>
          </w:tcPr>
          <w:p>
            <w:pPr>
              <w:spacing w:after="0"/>
              <w:rPr>
                <w:sz w:val="17"/>
                <w:szCs w:val="17"/>
                <w:color w:val="auto"/>
              </w:rPr>
            </w:pPr>
          </w:p>
        </w:tc>
        <w:tc>
          <w:tcPr>
            <w:tcW w:w="118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w:t>
            </w:r>
          </w:p>
        </w:tc>
        <w:tc>
          <w:tcPr>
            <w:tcW w:w="1780" w:type="dxa"/>
            <w:vAlign w:val="bottom"/>
            <w:gridSpan w:val="2"/>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revenue</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806,929</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1,021,158</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214,229</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29"/>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Platform-related revenue</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201,909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257,297</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55,388</w:t>
            </w:r>
          </w:p>
        </w:tc>
        <w:tc>
          <w:tcPr>
            <w:tcW w:w="17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1,008,838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1,278,455</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269,617</w:t>
            </w:r>
          </w:p>
        </w:tc>
        <w:tc>
          <w:tcPr>
            <w:tcW w:w="1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Total revenue for the year ended December 31, 2023 increased $269.6 million, or 27%, year over year, primarily driven by the growth of our total Active Members and the associated increase in Purchase Volume.</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Payments revenue</w:t>
      </w:r>
    </w:p>
    <w:p>
      <w:pPr>
        <w:spacing w:after="0" w:line="173"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Payments revenue increased by $214.2 million, or 27%, for 2023 compared to 2022, which reflected a $149.3 million, or 24%, increase in revenue from interchange-based fees from debit card transactions and a $64.9 million, or 37%, increase in revenue from interchange-based fees from credit card transactions. The increase in payments revenue was driven by a $20.9 billion, or 29%, increase in Purchase Volume for 2023 compared to 2022. The increase in Purchase Volume was driven, in part, by a 1.3 million, or 25%, increase in Active Members for 2023 compared to 2022. Increasing the number of Active Members on our platform helps drive Purchase Volume, which increases the interchange-based fees generated and the payments revenue that we recognize.</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Platform-related revenue</w:t>
      </w:r>
    </w:p>
    <w:p>
      <w:pPr>
        <w:spacing w:after="0" w:line="173" w:lineRule="exact"/>
        <w:rPr>
          <w:sz w:val="20"/>
          <w:szCs w:val="20"/>
          <w:color w:val="auto"/>
        </w:rPr>
      </w:pPr>
    </w:p>
    <w:p>
      <w:pPr>
        <w:jc w:val="both"/>
        <w:ind w:right="80" w:firstLine="324"/>
        <w:spacing w:after="0" w:line="289" w:lineRule="auto"/>
        <w:rPr>
          <w:sz w:val="20"/>
          <w:szCs w:val="20"/>
          <w:color w:val="auto"/>
        </w:rPr>
      </w:pPr>
      <w:r>
        <w:rPr>
          <w:rFonts w:ascii="Times New Roman" w:cs="Times New Roman" w:eastAsia="Times New Roman" w:hAnsi="Times New Roman"/>
          <w:sz w:val="17"/>
          <w:szCs w:val="17"/>
          <w:color w:val="auto"/>
        </w:rPr>
        <w:t>Platform-related revenue for the year ended December 31, 2023 increased $55.4 million, or 27%, year over year. The increase was primarily driven by a $20.6 million increase in high-yield savings revenue due in part to increased interest rates and growth in Active Members, a $15.0 million increase from the beta launch of a predecessor product to MyPay, and a $14.0 million increase in out-of-network ATM revenue due to the increase in Active Members.</w:t>
      </w:r>
    </w:p>
    <w:p>
      <w:pPr>
        <w:spacing w:after="0" w:line="1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2140" w:type="dxa"/>
            <w:vAlign w:val="bottom"/>
            <w:gridSpan w:val="3"/>
          </w:tcPr>
          <w:p>
            <w:pPr>
              <w:jc w:val="center"/>
              <w:ind w:left="98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4"/>
        </w:trPr>
        <w:tc>
          <w:tcPr>
            <w:tcW w:w="4620" w:type="dxa"/>
            <w:vAlign w:val="bottom"/>
          </w:tcPr>
          <w:p>
            <w:pPr>
              <w:spacing w:after="0"/>
              <w:rPr>
                <w:sz w:val="16"/>
                <w:szCs w:val="16"/>
                <w:color w:val="auto"/>
              </w:rPr>
            </w:pPr>
          </w:p>
        </w:tc>
        <w:tc>
          <w:tcPr>
            <w:tcW w:w="2140" w:type="dxa"/>
            <w:vAlign w:val="bottom"/>
            <w:tcBorders>
              <w:bottom w:val="single" w:sz="8" w:color="auto"/>
            </w:tcBorders>
            <w:gridSpan w:val="3"/>
          </w:tcPr>
          <w:p>
            <w:pPr>
              <w:jc w:val="center"/>
              <w:ind w:left="98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1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154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1700" w:type="dxa"/>
            <w:vAlign w:val="bottom"/>
            <w:tcBorders>
              <w:bottom w:val="single" w:sz="8" w:color="auto"/>
            </w:tcBorders>
          </w:tcPr>
          <w:p>
            <w:pPr>
              <w:jc w:val="right"/>
              <w:ind w:right="70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214,686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219,737</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5,051</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40" w:firstLine="324"/>
        <w:spacing w:after="0" w:line="281" w:lineRule="auto"/>
        <w:rPr>
          <w:sz w:val="20"/>
          <w:szCs w:val="20"/>
          <w:color w:val="auto"/>
        </w:rPr>
      </w:pPr>
      <w:r>
        <w:rPr>
          <w:rFonts w:ascii="Times New Roman" w:cs="Times New Roman" w:eastAsia="Times New Roman" w:hAnsi="Times New Roman"/>
          <w:sz w:val="17"/>
          <w:szCs w:val="17"/>
          <w:color w:val="auto"/>
        </w:rPr>
        <w:t>Cost of revenue for the year ended December 31, 2023 increased $5.1 million, or 2%, year over year driven by the increase in Active Members and the related increase in Purchase Volume, substantially offset by cost savings due to favorable renegotiations to our existing arrangements with our principal card network partner, which included higher card network incentives in 2023, and both bank partners. As a result, transaction processing and bank partner costs increased by $19.2 million year-over-year, while card and ATM network costs, net of incentives decreased by $14.1 million year-over-year.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240"/>
          </w:cols>
          <w:pgMar w:left="320" w:top="124" w:right="3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78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vMerge w:val="restart"/>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3"/>
                <w:szCs w:val="13"/>
                <w:color w:val="auto"/>
              </w:rPr>
            </w:pPr>
          </w:p>
        </w:tc>
        <w:tc>
          <w:tcPr>
            <w:tcW w:w="1680" w:type="dxa"/>
            <w:vAlign w:val="bottom"/>
            <w:vMerge w:val="restart"/>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4"/>
        </w:trPr>
        <w:tc>
          <w:tcPr>
            <w:tcW w:w="46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380" w:type="dxa"/>
            <w:vAlign w:val="bottom"/>
          </w:tcPr>
          <w:p>
            <w:pPr>
              <w:spacing w:after="0"/>
              <w:rPr>
                <w:sz w:val="17"/>
                <w:szCs w:val="17"/>
                <w:color w:val="auto"/>
              </w:rPr>
            </w:pPr>
          </w:p>
        </w:tc>
        <w:tc>
          <w:tcPr>
            <w:tcW w:w="118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w:t>
            </w:r>
          </w:p>
        </w:tc>
        <w:tc>
          <w:tcPr>
            <w:tcW w:w="1780" w:type="dxa"/>
            <w:vAlign w:val="bottom"/>
            <w:gridSpan w:val="2"/>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and risk losses</w:t>
            </w: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126,714</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152,375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25,661</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Member support and operations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292,466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(19,711)</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434,225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9,581</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242,433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16,568</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169,716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(14,771)</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4,321</w:t>
            </w:r>
          </w:p>
        </w:tc>
        <w:tc>
          <w:tcPr>
            <w:tcW w:w="17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23"/>
        </w:trPr>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1,272,854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1,294,503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21,649</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Operating expenses increased by $21.6 million, or 2%, for the year ended December 31, 2023 compared to the year ended December 31, 2022 driven by the following changes: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Transaction and risk losses</w:t>
      </w:r>
    </w:p>
    <w:p>
      <w:pPr>
        <w:spacing w:after="0" w:line="175"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Transaction and risk losses for the year ended December 31, 2023, increased $25.7 million, or 20% year over year. The increase was primarily driven by an increase of $21.2 million in transaction dispute losses due to the growth of transaction volume and a $4.5 million increase in the fair value of our product obligation, primarily due to the beta launch of a predecessor product to MyPay.</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Member support and operations</w:t>
      </w:r>
    </w:p>
    <w:p>
      <w:pPr>
        <w:spacing w:after="0" w:line="17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Member support and operations expenses for the year ended December 31, 2023 decreased by $19.7 million, or 7%, year over year primarily driven by cost savings of $44.8 million in third-party member support and loss prevention operations, offset by an $8.5 million increase in software costs to improve agent efficiency. This decrease was also offset by a $9.0 million increase in physical debit and credit card production and fulfillment costs, and a $7.0 million increase in personnel-related expenses.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75"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Sales and marketing expenses for the year ended December 31, 2023 increased by $9.6 million, or 2%, year over year primarily driven by an increase of $7.8 million in marketing and promotional activities.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Technology and development</w:t>
      </w:r>
    </w:p>
    <w:p>
      <w:pPr>
        <w:spacing w:after="0" w:line="175"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Technology and development expenses for the year ended December 31, 2023 increased by $16.6 million, or 7%, year over year due to an increase of $26.7 million in personnel-related expenses, offset by $5.9 million in restructuring charges recognized in 2022 that did not recur for 2023 and a $3.1 million decrease in software and cloud infrastructure expenses.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75"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for the year ended December 31, 2023 decreased by $14.8 million, or 9%, year over year. The decrease was primarily attributable to $18.3 million of impairment on real estate assets that was recognized for 2022 that did not recur for 2023. This was partially offset by an increase of $5.0 million in regulatory and legal and other professional services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240"/>
          </w:cols>
          <w:pgMar w:left="320" w:top="124"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2140" w:type="dxa"/>
            <w:vAlign w:val="bottom"/>
            <w:gridSpan w:val="3"/>
          </w:tcPr>
          <w:p>
            <w:pPr>
              <w:jc w:val="center"/>
              <w:ind w:left="98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4"/>
        </w:trPr>
        <w:tc>
          <w:tcPr>
            <w:tcW w:w="4620" w:type="dxa"/>
            <w:vAlign w:val="bottom"/>
          </w:tcPr>
          <w:p>
            <w:pPr>
              <w:spacing w:after="0"/>
              <w:rPr>
                <w:sz w:val="16"/>
                <w:szCs w:val="16"/>
                <w:color w:val="auto"/>
              </w:rPr>
            </w:pPr>
          </w:p>
        </w:tc>
        <w:tc>
          <w:tcPr>
            <w:tcW w:w="2140" w:type="dxa"/>
            <w:vAlign w:val="bottom"/>
            <w:tcBorders>
              <w:bottom w:val="single" w:sz="8" w:color="auto"/>
            </w:tcBorders>
            <w:gridSpan w:val="3"/>
          </w:tcPr>
          <w:p>
            <w:pPr>
              <w:jc w:val="center"/>
              <w:ind w:left="98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154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jc w:val="right"/>
              <w:ind w:right="70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24,706</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305 %</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Other income, net for the year ended December 31, 2023 increased by $24.7 million, or 305%, year over year primarily attributable to a $24.3 million increase in interest income due to increased interest rates on corporate cash and cash equivalents and marketable securities.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Results of Operations</w:t>
      </w:r>
    </w:p>
    <w:p>
      <w:pPr>
        <w:spacing w:after="0" w:line="175"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The following tables summarize our unaudited quarterly consolidated statements of operations data for each of the quarters in the years ended December 31, 2022, 2023, and 2024. The information for each of these quarters has been prepared on the same basis as our audited annual consolidated financial statements included elsewhere in this prospectus and, in the opinion of management, reflects all adjustments of a normal, recurring nature that are necessary for the fair statement of the results of operations for these periods. This data should be read in conjunction with our consolidated financial statements included elsewhere in this prospectus and the remainder of this “Management’s Discussion and Analysis of Financial Condition and Results of Operations” section.</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consolidated statements of operations data for each of the periods indicated:</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5"/>
          </w:tcPr>
          <w:p>
            <w:pPr>
              <w:ind w:left="22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660" w:type="dxa"/>
            <w:vAlign w:val="bottom"/>
            <w:vMerge w:val="restart"/>
          </w:tcPr>
          <w:p>
            <w:pPr>
              <w:ind w:left="20"/>
              <w:spacing w:after="0"/>
              <w:rPr>
                <w:sz w:val="20"/>
                <w:szCs w:val="20"/>
                <w:color w:val="auto"/>
              </w:rPr>
            </w:pPr>
            <w:r>
              <w:rPr>
                <w:rFonts w:ascii="Times New Roman" w:cs="Times New Roman" w:eastAsia="Times New Roman" w:hAnsi="Times New Roman"/>
                <w:sz w:val="11"/>
                <w:szCs w:val="11"/>
                <w:i w:val="1"/>
                <w:iCs w:val="1"/>
                <w:color w:val="auto"/>
              </w:rPr>
              <w:t>(unaudited, in thousands)</w:t>
            </w:r>
          </w:p>
        </w:tc>
        <w:tc>
          <w:tcPr>
            <w:tcW w:w="800" w:type="dxa"/>
            <w:vAlign w:val="bottom"/>
            <w:tcBorders>
              <w:bottom w:val="single" w:sz="8" w:color="auto"/>
            </w:tcBorders>
            <w:gridSpan w:val="3"/>
          </w:tcPr>
          <w:p>
            <w:pPr>
              <w:spacing w:after="0" w:line="20" w:lineRule="exact"/>
              <w:rPr>
                <w:sz w:val="1"/>
                <w:szCs w:val="1"/>
                <w:color w:val="auto"/>
              </w:rPr>
            </w:pPr>
          </w:p>
        </w:tc>
        <w:tc>
          <w:tcPr>
            <w:tcW w:w="780" w:type="dxa"/>
            <w:vAlign w:val="bottom"/>
            <w:tcBorders>
              <w:bottom w:val="single" w:sz="8" w:color="auto"/>
            </w:tcBorders>
            <w:gridSpan w:val="3"/>
          </w:tcPr>
          <w:p>
            <w:pPr>
              <w:spacing w:after="0" w:line="20" w:lineRule="exact"/>
              <w:rPr>
                <w:sz w:val="1"/>
                <w:szCs w:val="1"/>
                <w:color w:val="auto"/>
              </w:rPr>
            </w:pPr>
          </w:p>
        </w:tc>
        <w:tc>
          <w:tcPr>
            <w:tcW w:w="80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80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80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1660" w:type="dxa"/>
            <w:vAlign w:val="bottom"/>
            <w:vMerge w:val="continue"/>
          </w:tcPr>
          <w:p>
            <w:pPr>
              <w:spacing w:after="0"/>
              <w:rPr>
                <w:sz w:val="12"/>
                <w:szCs w:val="12"/>
                <w:color w:val="auto"/>
              </w:rPr>
            </w:pP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Mar 31, 2022</w:t>
            </w:r>
          </w:p>
        </w:tc>
        <w:tc>
          <w:tcPr>
            <w:tcW w:w="78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Jun 30, 2022</w:t>
            </w:r>
          </w:p>
        </w:tc>
        <w:tc>
          <w:tcPr>
            <w:tcW w:w="800" w:type="dxa"/>
            <w:vAlign w:val="bottom"/>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Sep 30, 2022</w:t>
            </w:r>
          </w:p>
        </w:tc>
        <w:tc>
          <w:tcPr>
            <w:tcW w:w="80" w:type="dxa"/>
            <w:vAlign w:val="bottom"/>
          </w:tcPr>
          <w:p>
            <w:pPr>
              <w:spacing w:after="0"/>
              <w:rPr>
                <w:sz w:val="12"/>
                <w:szCs w:val="12"/>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Dec 31, 2022</w:t>
            </w: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Mar 31, 2023</w:t>
            </w:r>
          </w:p>
        </w:tc>
        <w:tc>
          <w:tcPr>
            <w:tcW w:w="80" w:type="dxa"/>
            <w:vAlign w:val="bottom"/>
          </w:tcPr>
          <w:p>
            <w:pPr>
              <w:spacing w:after="0"/>
              <w:rPr>
                <w:sz w:val="12"/>
                <w:szCs w:val="12"/>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Jun 30, 2023</w:t>
            </w:r>
          </w:p>
        </w:tc>
        <w:tc>
          <w:tcPr>
            <w:tcW w:w="60" w:type="dxa"/>
            <w:vAlign w:val="bottom"/>
          </w:tcPr>
          <w:p>
            <w:pPr>
              <w:spacing w:after="0"/>
              <w:rPr>
                <w:sz w:val="12"/>
                <w:szCs w:val="12"/>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Sep 30, 2023</w:t>
            </w:r>
          </w:p>
        </w:tc>
        <w:tc>
          <w:tcPr>
            <w:tcW w:w="80" w:type="dxa"/>
            <w:vAlign w:val="bottom"/>
          </w:tcPr>
          <w:p>
            <w:pPr>
              <w:spacing w:after="0"/>
              <w:rPr>
                <w:sz w:val="12"/>
                <w:szCs w:val="12"/>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Dec 31, 2023</w:t>
            </w: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Mar 31, 2024</w:t>
            </w:r>
          </w:p>
        </w:tc>
        <w:tc>
          <w:tcPr>
            <w:tcW w:w="80" w:type="dxa"/>
            <w:vAlign w:val="bottom"/>
          </w:tcPr>
          <w:p>
            <w:pPr>
              <w:spacing w:after="0"/>
              <w:rPr>
                <w:sz w:val="12"/>
                <w:szCs w:val="12"/>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Jun 30, 2024</w:t>
            </w:r>
          </w:p>
        </w:tc>
        <w:tc>
          <w:tcPr>
            <w:tcW w:w="60" w:type="dxa"/>
            <w:vAlign w:val="bottom"/>
          </w:tcPr>
          <w:p>
            <w:pPr>
              <w:spacing w:after="0"/>
              <w:rPr>
                <w:sz w:val="12"/>
                <w:szCs w:val="12"/>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Sep 30, 2024</w:t>
            </w:r>
          </w:p>
        </w:tc>
        <w:tc>
          <w:tcPr>
            <w:tcW w:w="80" w:type="dxa"/>
            <w:vAlign w:val="bottom"/>
          </w:tcPr>
          <w:p>
            <w:pPr>
              <w:spacing w:after="0"/>
              <w:rPr>
                <w:sz w:val="12"/>
                <w:szCs w:val="12"/>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1"/>
                <w:szCs w:val="11"/>
                <w:b w:val="1"/>
                <w:bCs w:val="1"/>
                <w:color w:val="auto"/>
                <w:w w:val="94"/>
              </w:rPr>
              <w:t>Dec 31, 2024</w:t>
            </w:r>
          </w:p>
        </w:tc>
        <w:tc>
          <w:tcPr>
            <w:tcW w:w="0" w:type="dxa"/>
            <w:vAlign w:val="bottom"/>
          </w:tcPr>
          <w:p>
            <w:pPr>
              <w:spacing w:after="0"/>
              <w:rPr>
                <w:sz w:val="1"/>
                <w:szCs w:val="1"/>
                <w:color w:val="auto"/>
              </w:rPr>
            </w:pPr>
          </w:p>
        </w:tc>
      </w:tr>
      <w:tr>
        <w:trPr>
          <w:trHeight w:val="149"/>
        </w:trPr>
        <w:tc>
          <w:tcPr>
            <w:tcW w:w="1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Revenue</w:t>
            </w:r>
          </w:p>
        </w:tc>
        <w:tc>
          <w:tcPr>
            <w:tcW w:w="1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239,761</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248,272</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251,126</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269,679</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310,471</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307,570</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318,821</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341,593</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391,972</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384,214</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421,871</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475,212</w:t>
            </w:r>
          </w:p>
        </w:tc>
        <w:tc>
          <w:tcPr>
            <w:tcW w:w="0" w:type="dxa"/>
            <w:vAlign w:val="bottom"/>
          </w:tcPr>
          <w:p>
            <w:pPr>
              <w:spacing w:after="0"/>
              <w:rPr>
                <w:sz w:val="1"/>
                <w:szCs w:val="1"/>
                <w:color w:val="auto"/>
              </w:rPr>
            </w:pPr>
          </w:p>
        </w:tc>
      </w:tr>
      <w:tr>
        <w:trPr>
          <w:trHeight w:val="162"/>
        </w:trPr>
        <w:tc>
          <w:tcPr>
            <w:tcW w:w="1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0"/>
                <w:szCs w:val="10"/>
                <w:color w:val="auto"/>
              </w:rPr>
              <w:t>Cost of revenue</w:t>
            </w:r>
            <w:r>
              <w:rPr>
                <w:rFonts w:ascii="Times New Roman" w:cs="Times New Roman" w:eastAsia="Times New Roman" w:hAnsi="Times New Roman"/>
                <w:sz w:val="12"/>
                <w:szCs w:val="12"/>
                <w:color w:val="auto"/>
                <w:vertAlign w:val="superscript"/>
              </w:rPr>
              <w:t>(1)</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43,510</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63,255</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55,486</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0"/>
                <w:szCs w:val="10"/>
                <w:color w:val="auto"/>
              </w:rPr>
              <w:t>52,435</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55,888</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0"/>
                <w:szCs w:val="10"/>
                <w:color w:val="auto"/>
              </w:rPr>
              <w:t>59,277</w:t>
            </w: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65,471</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0"/>
                <w:szCs w:val="10"/>
                <w:color w:val="auto"/>
              </w:rPr>
              <w:t>39,101</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47,447</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0"/>
                <w:szCs w:val="10"/>
                <w:color w:val="auto"/>
              </w:rPr>
              <w:t>50,504</w:t>
            </w: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53,516</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0"/>
                <w:szCs w:val="10"/>
                <w:color w:val="auto"/>
              </w:rPr>
              <w:t>56,044</w:t>
            </w:r>
          </w:p>
        </w:tc>
        <w:tc>
          <w:tcPr>
            <w:tcW w:w="0" w:type="dxa"/>
            <w:vAlign w:val="bottom"/>
          </w:tcPr>
          <w:p>
            <w:pPr>
              <w:spacing w:after="0"/>
              <w:rPr>
                <w:sz w:val="1"/>
                <w:szCs w:val="1"/>
                <w:color w:val="auto"/>
              </w:rPr>
            </w:pPr>
          </w:p>
        </w:tc>
      </w:tr>
      <w:tr>
        <w:trPr>
          <w:trHeight w:val="142"/>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Gross profit</w:t>
            </w:r>
          </w:p>
        </w:tc>
        <w:tc>
          <w:tcPr>
            <w:tcW w:w="1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196,251</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185,017</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195,640</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217,244</w:t>
            </w: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254,583</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248,293</w:t>
            </w:r>
          </w:p>
        </w:tc>
        <w:tc>
          <w:tcPr>
            <w:tcW w:w="1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253,350</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302,492</w:t>
            </w: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344,525</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333,710</w:t>
            </w:r>
          </w:p>
        </w:tc>
        <w:tc>
          <w:tcPr>
            <w:tcW w:w="1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368,355</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419,168</w:t>
            </w:r>
          </w:p>
        </w:tc>
        <w:tc>
          <w:tcPr>
            <w:tcW w:w="0" w:type="dxa"/>
            <w:vAlign w:val="bottom"/>
          </w:tcPr>
          <w:p>
            <w:pPr>
              <w:spacing w:after="0"/>
              <w:rPr>
                <w:sz w:val="1"/>
                <w:szCs w:val="1"/>
                <w:color w:val="auto"/>
              </w:rPr>
            </w:pPr>
          </w:p>
        </w:tc>
      </w:tr>
      <w:tr>
        <w:trPr>
          <w:trHeight w:val="123"/>
        </w:trPr>
        <w:tc>
          <w:tcPr>
            <w:tcW w:w="16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Operating expenses:</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1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Transaction and risk losses</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31,677</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32,161</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33,047</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29,829</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27,586</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34,846</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52,423</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37,520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36,038</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35,000</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55,159</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93,490</w:t>
            </w:r>
          </w:p>
        </w:tc>
        <w:tc>
          <w:tcPr>
            <w:tcW w:w="0" w:type="dxa"/>
            <w:vAlign w:val="bottom"/>
          </w:tcPr>
          <w:p>
            <w:pPr>
              <w:spacing w:after="0"/>
              <w:rPr>
                <w:sz w:val="1"/>
                <w:szCs w:val="1"/>
                <w:color w:val="auto"/>
              </w:rPr>
            </w:pPr>
          </w:p>
        </w:tc>
      </w:tr>
      <w:tr>
        <w:trPr>
          <w:trHeight w:val="162"/>
        </w:trPr>
        <w:tc>
          <w:tcPr>
            <w:tcW w:w="166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Member support and operations</w:t>
            </w:r>
            <w:r>
              <w:rPr>
                <w:rFonts w:ascii="Times New Roman" w:cs="Times New Roman" w:eastAsia="Times New Roman" w:hAnsi="Times New Roman"/>
                <w:sz w:val="12"/>
                <w:szCs w:val="12"/>
                <w:color w:val="auto"/>
                <w:vertAlign w:val="superscript"/>
              </w:rPr>
              <w:t>(2)</w:t>
            </w:r>
          </w:p>
        </w:tc>
        <w:tc>
          <w:tcPr>
            <w:tcW w:w="140" w:type="dxa"/>
            <w:vAlign w:val="bottom"/>
          </w:tcPr>
          <w:p>
            <w:pPr>
              <w:spacing w:after="0"/>
              <w:rPr>
                <w:sz w:val="14"/>
                <w:szCs w:val="14"/>
                <w:color w:val="auto"/>
              </w:rPr>
            </w:pP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71,604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75,072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73,850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71,940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69,353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67,501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68,826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67,075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68,068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69,821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70,054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78,913</w:t>
            </w:r>
          </w:p>
        </w:tc>
        <w:tc>
          <w:tcPr>
            <w:tcW w:w="0" w:type="dxa"/>
            <w:vAlign w:val="bottom"/>
          </w:tcPr>
          <w:p>
            <w:pPr>
              <w:spacing w:after="0"/>
              <w:rPr>
                <w:sz w:val="1"/>
                <w:szCs w:val="1"/>
                <w:color w:val="auto"/>
              </w:rPr>
            </w:pPr>
          </w:p>
        </w:tc>
      </w:tr>
      <w:tr>
        <w:trPr>
          <w:trHeight w:val="162"/>
        </w:trPr>
        <w:tc>
          <w:tcPr>
            <w:tcW w:w="1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Sales and marketing</w:t>
            </w:r>
            <w:r>
              <w:rPr>
                <w:rFonts w:ascii="Times New Roman" w:cs="Times New Roman" w:eastAsia="Times New Roman" w:hAnsi="Times New Roman"/>
                <w:sz w:val="12"/>
                <w:szCs w:val="12"/>
                <w:color w:val="auto"/>
                <w:vertAlign w:val="superscript"/>
              </w:rPr>
              <w:t>(2)</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131,724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92,669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102,954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106,878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106,754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100,994</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112,823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123,235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117,047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118,021</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143,123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141,569</w:t>
            </w:r>
          </w:p>
        </w:tc>
        <w:tc>
          <w:tcPr>
            <w:tcW w:w="0" w:type="dxa"/>
            <w:vAlign w:val="bottom"/>
          </w:tcPr>
          <w:p>
            <w:pPr>
              <w:spacing w:after="0"/>
              <w:rPr>
                <w:sz w:val="1"/>
                <w:szCs w:val="1"/>
                <w:color w:val="auto"/>
              </w:rPr>
            </w:pPr>
          </w:p>
        </w:tc>
      </w:tr>
      <w:tr>
        <w:trPr>
          <w:trHeight w:val="162"/>
        </w:trPr>
        <w:tc>
          <w:tcPr>
            <w:tcW w:w="166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Technology and development</w:t>
            </w:r>
            <w:r>
              <w:rPr>
                <w:rFonts w:ascii="Times New Roman" w:cs="Times New Roman" w:eastAsia="Times New Roman" w:hAnsi="Times New Roman"/>
                <w:sz w:val="12"/>
                <w:szCs w:val="12"/>
                <w:color w:val="auto"/>
                <w:vertAlign w:val="superscript"/>
              </w:rPr>
              <w:t>(2)</w:t>
            </w:r>
          </w:p>
        </w:tc>
        <w:tc>
          <w:tcPr>
            <w:tcW w:w="140" w:type="dxa"/>
            <w:vAlign w:val="bottom"/>
          </w:tcPr>
          <w:p>
            <w:pPr>
              <w:spacing w:after="0"/>
              <w:rPr>
                <w:sz w:val="14"/>
                <w:szCs w:val="14"/>
                <w:color w:val="auto"/>
              </w:rPr>
            </w:pP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54,876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58,465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60,483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68,609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67,090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61,754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61,707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68,450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74,930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75,371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80,400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78,874</w:t>
            </w:r>
          </w:p>
        </w:tc>
        <w:tc>
          <w:tcPr>
            <w:tcW w:w="0" w:type="dxa"/>
            <w:vAlign w:val="bottom"/>
          </w:tcPr>
          <w:p>
            <w:pPr>
              <w:spacing w:after="0"/>
              <w:rPr>
                <w:sz w:val="1"/>
                <w:szCs w:val="1"/>
                <w:color w:val="auto"/>
              </w:rPr>
            </w:pPr>
          </w:p>
        </w:tc>
      </w:tr>
      <w:tr>
        <w:trPr>
          <w:trHeight w:val="162"/>
        </w:trPr>
        <w:tc>
          <w:tcPr>
            <w:tcW w:w="1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General and administrative</w:t>
            </w:r>
            <w:r>
              <w:rPr>
                <w:rFonts w:ascii="Times New Roman" w:cs="Times New Roman" w:eastAsia="Times New Roman" w:hAnsi="Times New Roman"/>
                <w:sz w:val="12"/>
                <w:szCs w:val="12"/>
                <w:color w:val="auto"/>
                <w:vertAlign w:val="superscript"/>
              </w:rPr>
              <w:t>(2)</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33,642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57,749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34,628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43,697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39,054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36,830</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32,558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46,503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39,252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41,638</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46,645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49,694</w:t>
            </w:r>
          </w:p>
        </w:tc>
        <w:tc>
          <w:tcPr>
            <w:tcW w:w="0" w:type="dxa"/>
            <w:vAlign w:val="bottom"/>
          </w:tcPr>
          <w:p>
            <w:pPr>
              <w:spacing w:after="0"/>
              <w:rPr>
                <w:sz w:val="1"/>
                <w:szCs w:val="1"/>
                <w:color w:val="auto"/>
              </w:rPr>
            </w:pPr>
          </w:p>
        </w:tc>
      </w:tr>
      <w:tr>
        <w:trPr>
          <w:trHeight w:val="162"/>
        </w:trPr>
        <w:tc>
          <w:tcPr>
            <w:tcW w:w="1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0"/>
                <w:szCs w:val="10"/>
                <w:color w:val="auto"/>
              </w:rPr>
              <w:t>Depreciation and amortization</w:t>
            </w:r>
            <w:r>
              <w:rPr>
                <w:rFonts w:ascii="Times New Roman" w:cs="Times New Roman" w:eastAsia="Times New Roman" w:hAnsi="Times New Roman"/>
                <w:sz w:val="12"/>
                <w:szCs w:val="12"/>
                <w:color w:val="auto"/>
                <w:vertAlign w:val="superscript"/>
              </w:rPr>
              <w:t>(1)</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1,018</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1,371</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2,262</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0"/>
                <w:szCs w:val="10"/>
                <w:color w:val="auto"/>
              </w:rPr>
              <w:t>2,649</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2,485</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0"/>
                <w:szCs w:val="10"/>
                <w:color w:val="auto"/>
              </w:rPr>
              <w:t>2,661</w:t>
            </w: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3,353</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0"/>
                <w:szCs w:val="10"/>
                <w:color w:val="auto"/>
              </w:rPr>
              <w:t>3,122</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4,158</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0"/>
                <w:szCs w:val="10"/>
                <w:color w:val="auto"/>
              </w:rPr>
              <w:t>3,300</w:t>
            </w: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3,618</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0"/>
                <w:szCs w:val="10"/>
                <w:color w:val="auto"/>
              </w:rPr>
              <w:t>3,774</w:t>
            </w:r>
          </w:p>
        </w:tc>
        <w:tc>
          <w:tcPr>
            <w:tcW w:w="0" w:type="dxa"/>
            <w:vAlign w:val="bottom"/>
          </w:tcPr>
          <w:p>
            <w:pPr>
              <w:spacing w:after="0"/>
              <w:rPr>
                <w:sz w:val="1"/>
                <w:szCs w:val="1"/>
                <w:color w:val="auto"/>
              </w:rPr>
            </w:pPr>
          </w:p>
        </w:tc>
      </w:tr>
      <w:tr>
        <w:trPr>
          <w:trHeight w:val="137"/>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Total operating expenses</w:t>
            </w:r>
          </w:p>
        </w:tc>
        <w:tc>
          <w:tcPr>
            <w:tcW w:w="14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324,541</w:t>
            </w: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317,487</w:t>
            </w:r>
          </w:p>
        </w:tc>
        <w:tc>
          <w:tcPr>
            <w:tcW w:w="8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307,224</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323,602</w:t>
            </w:r>
          </w:p>
        </w:tc>
        <w:tc>
          <w:tcPr>
            <w:tcW w:w="1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312,322</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304,586</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331,690</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345,905</w:t>
            </w:r>
          </w:p>
        </w:tc>
        <w:tc>
          <w:tcPr>
            <w:tcW w:w="1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339,493</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343,151</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398,999</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446,314</w:t>
            </w:r>
          </w:p>
        </w:tc>
        <w:tc>
          <w:tcPr>
            <w:tcW w:w="0" w:type="dxa"/>
            <w:vAlign w:val="bottom"/>
          </w:tcPr>
          <w:p>
            <w:pPr>
              <w:spacing w:after="0"/>
              <w:rPr>
                <w:sz w:val="1"/>
                <w:szCs w:val="1"/>
                <w:color w:val="auto"/>
              </w:rPr>
            </w:pPr>
          </w:p>
        </w:tc>
      </w:tr>
      <w:tr>
        <w:trPr>
          <w:trHeight w:val="142"/>
        </w:trPr>
        <w:tc>
          <w:tcPr>
            <w:tcW w:w="16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Income (loss) from operations</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(128,290)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(132,470)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(111,584)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(106,358)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(57,739)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(56,293)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(78,340)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(43,413)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5,032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(9,441)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(30,644)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(27,146)</w:t>
            </w:r>
          </w:p>
        </w:tc>
        <w:tc>
          <w:tcPr>
            <w:tcW w:w="0" w:type="dxa"/>
            <w:vAlign w:val="bottom"/>
          </w:tcPr>
          <w:p>
            <w:pPr>
              <w:spacing w:after="0"/>
              <w:rPr>
                <w:sz w:val="1"/>
                <w:szCs w:val="1"/>
                <w:color w:val="auto"/>
              </w:rPr>
            </w:pPr>
          </w:p>
        </w:tc>
      </w:tr>
      <w:tr>
        <w:trPr>
          <w:trHeight w:val="148"/>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Other income, net</w:t>
            </w:r>
          </w:p>
        </w:tc>
        <w:tc>
          <w:tcPr>
            <w:tcW w:w="1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536</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1,427</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2,129</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4,019</w:t>
            </w: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5,497</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7,605</w:t>
            </w:r>
          </w:p>
        </w:tc>
        <w:tc>
          <w:tcPr>
            <w:tcW w:w="1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9,794</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9,921</w:t>
            </w: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10,509</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9,904</w:t>
            </w:r>
          </w:p>
        </w:tc>
        <w:tc>
          <w:tcPr>
            <w:tcW w:w="1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10,817</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8,235</w:t>
            </w:r>
          </w:p>
        </w:tc>
        <w:tc>
          <w:tcPr>
            <w:tcW w:w="0" w:type="dxa"/>
            <w:vAlign w:val="bottom"/>
          </w:tcPr>
          <w:p>
            <w:pPr>
              <w:spacing w:after="0"/>
              <w:rPr>
                <w:sz w:val="1"/>
                <w:szCs w:val="1"/>
                <w:color w:val="auto"/>
              </w:rPr>
            </w:pPr>
          </w:p>
        </w:tc>
      </w:tr>
      <w:tr>
        <w:trPr>
          <w:trHeight w:val="142"/>
        </w:trPr>
        <w:tc>
          <w:tcPr>
            <w:tcW w:w="16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Income (loss) before income taxes</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(127,754)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(131,043)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(109,455)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(102,339)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(52,242)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(48,688)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(68,546)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(33,492)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15,541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463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(19,827)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(18,911)</w:t>
            </w:r>
          </w:p>
        </w:tc>
        <w:tc>
          <w:tcPr>
            <w:tcW w:w="0" w:type="dxa"/>
            <w:vAlign w:val="bottom"/>
          </w:tcPr>
          <w:p>
            <w:pPr>
              <w:spacing w:after="0"/>
              <w:rPr>
                <w:sz w:val="1"/>
                <w:szCs w:val="1"/>
                <w:color w:val="auto"/>
              </w:rPr>
            </w:pPr>
          </w:p>
        </w:tc>
      </w:tr>
      <w:tr>
        <w:trPr>
          <w:trHeight w:val="148"/>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Provision (benefit) for income taxes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138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(612)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83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70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47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78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2,199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695</w:t>
            </w:r>
          </w:p>
        </w:tc>
        <w:tc>
          <w:tcPr>
            <w:tcW w:w="0" w:type="dxa"/>
            <w:vAlign w:val="bottom"/>
          </w:tcPr>
          <w:p>
            <w:pPr>
              <w:spacing w:after="0"/>
              <w:rPr>
                <w:sz w:val="1"/>
                <w:szCs w:val="1"/>
                <w:color w:val="auto"/>
              </w:rPr>
            </w:pPr>
          </w:p>
        </w:tc>
      </w:tr>
      <w:tr>
        <w:trPr>
          <w:trHeight w:val="142"/>
        </w:trPr>
        <w:tc>
          <w:tcPr>
            <w:tcW w:w="16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Net income (loss)</w:t>
            </w:r>
          </w:p>
        </w:tc>
        <w:tc>
          <w:tcPr>
            <w:tcW w:w="1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(127,892)</w:t>
            </w:r>
          </w:p>
        </w:tc>
        <w:tc>
          <w:tcPr>
            <w:tcW w:w="100" w:type="dxa"/>
            <w:vAlign w:val="bottom"/>
          </w:tcPr>
          <w:p>
            <w:pPr>
              <w:spacing w:after="0"/>
              <w:rPr>
                <w:sz w:val="12"/>
                <w:szCs w:val="12"/>
                <w:color w:val="auto"/>
              </w:rPr>
            </w:pPr>
          </w:p>
        </w:tc>
        <w:tc>
          <w:tcPr>
            <w:tcW w:w="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(130,431)</w:t>
            </w:r>
          </w:p>
        </w:tc>
        <w:tc>
          <w:tcPr>
            <w:tcW w:w="80" w:type="dxa"/>
            <w:vAlign w:val="bottom"/>
          </w:tcPr>
          <w:p>
            <w:pPr>
              <w:spacing w:after="0"/>
              <w:rPr>
                <w:sz w:val="12"/>
                <w:szCs w:val="12"/>
                <w:color w:val="auto"/>
              </w:rPr>
            </w:pPr>
          </w:p>
        </w:tc>
        <w:tc>
          <w:tcPr>
            <w:tcW w:w="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(109,509)</w:t>
            </w:r>
          </w:p>
        </w:tc>
        <w:tc>
          <w:tcPr>
            <w:tcW w:w="10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(102,422)</w:t>
            </w:r>
          </w:p>
        </w:tc>
        <w:tc>
          <w:tcPr>
            <w:tcW w:w="100" w:type="dxa"/>
            <w:vAlign w:val="bottom"/>
          </w:tcPr>
          <w:p>
            <w:pPr>
              <w:spacing w:after="0"/>
              <w:rPr>
                <w:sz w:val="12"/>
                <w:szCs w:val="12"/>
                <w:color w:val="auto"/>
              </w:rPr>
            </w:pPr>
          </w:p>
        </w:tc>
        <w:tc>
          <w:tcPr>
            <w:tcW w:w="1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(52,359)</w:t>
            </w:r>
          </w:p>
        </w:tc>
        <w:tc>
          <w:tcPr>
            <w:tcW w:w="10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(48,758)</w:t>
            </w:r>
          </w:p>
        </w:tc>
        <w:tc>
          <w:tcPr>
            <w:tcW w:w="10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(68,546)</w:t>
            </w:r>
          </w:p>
        </w:tc>
        <w:tc>
          <w:tcPr>
            <w:tcW w:w="10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(33,539)</w:t>
            </w:r>
          </w:p>
        </w:tc>
        <w:tc>
          <w:tcPr>
            <w:tcW w:w="100" w:type="dxa"/>
            <w:vAlign w:val="bottom"/>
          </w:tcPr>
          <w:p>
            <w:pPr>
              <w:spacing w:after="0"/>
              <w:rPr>
                <w:sz w:val="12"/>
                <w:szCs w:val="12"/>
                <w:color w:val="auto"/>
              </w:rPr>
            </w:pPr>
          </w:p>
        </w:tc>
        <w:tc>
          <w:tcPr>
            <w:tcW w:w="1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15,903</w:t>
            </w:r>
          </w:p>
        </w:tc>
        <w:tc>
          <w:tcPr>
            <w:tcW w:w="10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0"/>
                <w:szCs w:val="10"/>
                <w:color w:val="auto"/>
              </w:rPr>
              <w:t>385</w:t>
            </w:r>
          </w:p>
        </w:tc>
        <w:tc>
          <w:tcPr>
            <w:tcW w:w="10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(22,026)</w:t>
            </w:r>
          </w:p>
        </w:tc>
        <w:tc>
          <w:tcPr>
            <w:tcW w:w="10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(19,606)</w:t>
            </w:r>
          </w:p>
        </w:tc>
        <w:tc>
          <w:tcPr>
            <w:tcW w:w="0" w:type="dxa"/>
            <w:vAlign w:val="bottom"/>
          </w:tcPr>
          <w:p>
            <w:pPr>
              <w:spacing w:after="0"/>
              <w:rPr>
                <w:sz w:val="1"/>
                <w:szCs w:val="1"/>
                <w:color w:val="auto"/>
              </w:rPr>
            </w:pPr>
          </w:p>
        </w:tc>
      </w:tr>
      <w:tr>
        <w:trPr>
          <w:trHeight w:val="113"/>
        </w:trPr>
        <w:tc>
          <w:tcPr>
            <w:tcW w:w="1660" w:type="dxa"/>
            <w:vAlign w:val="bottom"/>
            <w:shd w:val="clear" w:color="auto" w:fill="CCEEFF"/>
          </w:tcPr>
          <w:p>
            <w:pPr>
              <w:ind w:left="20"/>
              <w:spacing w:after="0" w:line="114" w:lineRule="exact"/>
              <w:rPr>
                <w:sz w:val="20"/>
                <w:szCs w:val="20"/>
                <w:color w:val="auto"/>
              </w:rPr>
            </w:pPr>
            <w:r>
              <w:rPr>
                <w:rFonts w:ascii="Times New Roman" w:cs="Times New Roman" w:eastAsia="Times New Roman" w:hAnsi="Times New Roman"/>
                <w:sz w:val="10"/>
                <w:szCs w:val="10"/>
                <w:color w:val="auto"/>
              </w:rPr>
              <w:t>Net income (loss) attributable to</w:t>
            </w: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660" w:type="dxa"/>
            <w:vAlign w:val="bottom"/>
            <w:shd w:val="clear" w:color="auto" w:fill="CCEEFF"/>
          </w:tcPr>
          <w:p>
            <w:pPr>
              <w:ind w:left="180"/>
              <w:spacing w:after="0" w:line="95" w:lineRule="exact"/>
              <w:rPr>
                <w:sz w:val="20"/>
                <w:szCs w:val="20"/>
                <w:color w:val="auto"/>
              </w:rPr>
            </w:pPr>
            <w:r>
              <w:rPr>
                <w:rFonts w:ascii="Times New Roman" w:cs="Times New Roman" w:eastAsia="Times New Roman" w:hAnsi="Times New Roman"/>
                <w:sz w:val="10"/>
                <w:szCs w:val="10"/>
                <w:color w:val="auto"/>
              </w:rPr>
              <w:t>common stockholders, basic and</w:t>
            </w:r>
          </w:p>
        </w:tc>
        <w:tc>
          <w:tcPr>
            <w:tcW w:w="1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(127,892)</w:t>
            </w:r>
          </w:p>
        </w:tc>
        <w:tc>
          <w:tcPr>
            <w:tcW w:w="100" w:type="dxa"/>
            <w:vAlign w:val="bottom"/>
            <w:shd w:val="clear" w:color="auto" w:fill="CCEEFF"/>
          </w:tcPr>
          <w:p>
            <w:pPr>
              <w:spacing w:after="0"/>
              <w:rPr>
                <w:sz w:val="8"/>
                <w:szCs w:val="8"/>
                <w:color w:val="auto"/>
              </w:rPr>
            </w:pPr>
          </w:p>
        </w:tc>
        <w:tc>
          <w:tcPr>
            <w:tcW w:w="1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(130,431)</w:t>
            </w:r>
          </w:p>
        </w:tc>
        <w:tc>
          <w:tcPr>
            <w:tcW w:w="80" w:type="dxa"/>
            <w:vAlign w:val="bottom"/>
            <w:shd w:val="clear" w:color="auto" w:fill="CCEEFF"/>
          </w:tcPr>
          <w:p>
            <w:pPr>
              <w:spacing w:after="0"/>
              <w:rPr>
                <w:sz w:val="8"/>
                <w:szCs w:val="8"/>
                <w:color w:val="auto"/>
              </w:rPr>
            </w:pPr>
          </w:p>
        </w:tc>
        <w:tc>
          <w:tcPr>
            <w:tcW w:w="1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(109,509)</w:t>
            </w:r>
          </w:p>
        </w:tc>
        <w:tc>
          <w:tcPr>
            <w:tcW w:w="100" w:type="dxa"/>
            <w:vAlign w:val="bottom"/>
            <w:shd w:val="clear" w:color="auto" w:fill="CCEEFF"/>
          </w:tcPr>
          <w:p>
            <w:pPr>
              <w:spacing w:after="0"/>
              <w:rPr>
                <w:sz w:val="8"/>
                <w:szCs w:val="8"/>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(102,422)</w:t>
            </w:r>
          </w:p>
        </w:tc>
        <w:tc>
          <w:tcPr>
            <w:tcW w:w="100" w:type="dxa"/>
            <w:vAlign w:val="bottom"/>
            <w:shd w:val="clear" w:color="auto" w:fill="CCEEFF"/>
          </w:tcPr>
          <w:p>
            <w:pPr>
              <w:spacing w:after="0"/>
              <w:rPr>
                <w:sz w:val="8"/>
                <w:szCs w:val="8"/>
                <w:color w:val="auto"/>
              </w:rPr>
            </w:pPr>
          </w:p>
        </w:tc>
        <w:tc>
          <w:tcPr>
            <w:tcW w:w="1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(52,359)</w:t>
            </w:r>
          </w:p>
        </w:tc>
        <w:tc>
          <w:tcPr>
            <w:tcW w:w="100" w:type="dxa"/>
            <w:vAlign w:val="bottom"/>
            <w:shd w:val="clear" w:color="auto" w:fill="CCEEFF"/>
          </w:tcPr>
          <w:p>
            <w:pPr>
              <w:spacing w:after="0"/>
              <w:rPr>
                <w:sz w:val="8"/>
                <w:szCs w:val="8"/>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(48,758)</w:t>
            </w:r>
          </w:p>
        </w:tc>
        <w:tc>
          <w:tcPr>
            <w:tcW w:w="100" w:type="dxa"/>
            <w:vAlign w:val="bottom"/>
            <w:shd w:val="clear" w:color="auto" w:fill="CCEEFF"/>
          </w:tcPr>
          <w:p>
            <w:pPr>
              <w:spacing w:after="0"/>
              <w:rPr>
                <w:sz w:val="8"/>
                <w:szCs w:val="8"/>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(68,546)</w:t>
            </w:r>
          </w:p>
        </w:tc>
        <w:tc>
          <w:tcPr>
            <w:tcW w:w="100" w:type="dxa"/>
            <w:vAlign w:val="bottom"/>
            <w:shd w:val="clear" w:color="auto" w:fill="CCEEFF"/>
          </w:tcPr>
          <w:p>
            <w:pPr>
              <w:spacing w:after="0"/>
              <w:rPr>
                <w:sz w:val="8"/>
                <w:szCs w:val="8"/>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(33,539)</w:t>
            </w:r>
          </w:p>
        </w:tc>
        <w:tc>
          <w:tcPr>
            <w:tcW w:w="100" w:type="dxa"/>
            <w:vAlign w:val="bottom"/>
            <w:shd w:val="clear" w:color="auto" w:fill="CCEEFF"/>
          </w:tcPr>
          <w:p>
            <w:pPr>
              <w:spacing w:after="0"/>
              <w:rPr>
                <w:sz w:val="8"/>
                <w:szCs w:val="8"/>
                <w:color w:val="auto"/>
              </w:rPr>
            </w:pPr>
          </w:p>
        </w:tc>
        <w:tc>
          <w:tcPr>
            <w:tcW w:w="1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(22,026)</w:t>
            </w:r>
          </w:p>
        </w:tc>
        <w:tc>
          <w:tcPr>
            <w:tcW w:w="100" w:type="dxa"/>
            <w:vAlign w:val="bottom"/>
            <w:shd w:val="clear" w:color="auto" w:fill="CCEEFF"/>
          </w:tcPr>
          <w:p>
            <w:pPr>
              <w:spacing w:after="0"/>
              <w:rPr>
                <w:sz w:val="8"/>
                <w:szCs w:val="8"/>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(19,606)</w:t>
            </w:r>
          </w:p>
        </w:tc>
        <w:tc>
          <w:tcPr>
            <w:tcW w:w="0" w:type="dxa"/>
            <w:vAlign w:val="bottom"/>
          </w:tcPr>
          <w:p>
            <w:pPr>
              <w:spacing w:after="0"/>
              <w:rPr>
                <w:sz w:val="1"/>
                <w:szCs w:val="1"/>
                <w:color w:val="auto"/>
              </w:rPr>
            </w:pPr>
          </w:p>
        </w:tc>
      </w:tr>
      <w:tr>
        <w:trPr>
          <w:trHeight w:val="142"/>
        </w:trPr>
        <w:tc>
          <w:tcPr>
            <w:tcW w:w="1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diluted</w:t>
            </w:r>
          </w:p>
        </w:tc>
        <w:tc>
          <w:tcPr>
            <w:tcW w:w="140" w:type="dxa"/>
            <w:vAlign w:val="bottom"/>
            <w:vMerge w:val="continue"/>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740" w:type="dxa"/>
            <w:vAlign w:val="bottom"/>
            <w:gridSpan w:val="2"/>
            <w:vMerge w:val="continue"/>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bottom w:val="single" w:sz="8" w:color="CCEEFF"/>
            </w:tcBorders>
            <w:vMerge w:val="restart"/>
          </w:tcPr>
          <w:p>
            <w:pPr>
              <w:ind w:left="20"/>
              <w:spacing w:after="0" w:line="95" w:lineRule="exact"/>
              <w:rPr>
                <w:sz w:val="20"/>
                <w:szCs w:val="20"/>
                <w:color w:val="auto"/>
              </w:rPr>
            </w:pPr>
            <w:r>
              <w:rPr>
                <w:rFonts w:ascii="Times New Roman" w:cs="Times New Roman" w:eastAsia="Times New Roman" w:hAnsi="Times New Roman"/>
                <w:sz w:val="10"/>
                <w:szCs w:val="10"/>
                <w:color w:val="auto"/>
              </w:rPr>
              <w:t>Net income (loss) per share attributable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166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1660" w:type="dxa"/>
            <w:vAlign w:val="bottom"/>
          </w:tcPr>
          <w:p>
            <w:pPr>
              <w:ind w:left="180"/>
              <w:spacing w:after="0" w:line="95" w:lineRule="exact"/>
              <w:rPr>
                <w:sz w:val="20"/>
                <w:szCs w:val="20"/>
                <w:color w:val="auto"/>
              </w:rPr>
            </w:pPr>
            <w:r>
              <w:rPr>
                <w:rFonts w:ascii="Times New Roman" w:cs="Times New Roman" w:eastAsia="Times New Roman" w:hAnsi="Times New Roman"/>
                <w:sz w:val="10"/>
                <w:szCs w:val="10"/>
                <w:color w:val="auto"/>
              </w:rPr>
              <w:t>to common stockholders, basic and</w:t>
            </w:r>
          </w:p>
        </w:tc>
        <w:tc>
          <w:tcPr>
            <w:tcW w:w="140" w:type="dxa"/>
            <w:vAlign w:val="bottom"/>
            <w:vMerge w:val="restart"/>
          </w:tcPr>
          <w:p>
            <w:pPr>
              <w:jc w:val="right"/>
              <w:ind w:right="3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(2.31)</w:t>
            </w:r>
          </w:p>
        </w:tc>
        <w:tc>
          <w:tcPr>
            <w:tcW w:w="100" w:type="dxa"/>
            <w:vAlign w:val="bottom"/>
          </w:tcPr>
          <w:p>
            <w:pPr>
              <w:spacing w:after="0"/>
              <w:rPr>
                <w:sz w:val="8"/>
                <w:szCs w:val="8"/>
                <w:color w:val="auto"/>
              </w:rPr>
            </w:pPr>
          </w:p>
        </w:tc>
        <w:tc>
          <w:tcPr>
            <w:tcW w:w="120" w:type="dxa"/>
            <w:vAlign w:val="bottom"/>
            <w:vMerge w:val="restart"/>
          </w:tcPr>
          <w:p>
            <w:pPr>
              <w:jc w:val="right"/>
              <w:ind w:right="10"/>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(2.28)</w:t>
            </w:r>
          </w:p>
        </w:tc>
        <w:tc>
          <w:tcPr>
            <w:tcW w:w="80" w:type="dxa"/>
            <w:vAlign w:val="bottom"/>
          </w:tcPr>
          <w:p>
            <w:pPr>
              <w:spacing w:after="0"/>
              <w:rPr>
                <w:sz w:val="8"/>
                <w:szCs w:val="8"/>
                <w:color w:val="auto"/>
              </w:rPr>
            </w:pPr>
          </w:p>
        </w:tc>
        <w:tc>
          <w:tcPr>
            <w:tcW w:w="140" w:type="dxa"/>
            <w:vAlign w:val="bottom"/>
            <w:vMerge w:val="restart"/>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(1.86)</w:t>
            </w:r>
          </w:p>
        </w:tc>
        <w:tc>
          <w:tcPr>
            <w:tcW w:w="10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(1.70)</w:t>
            </w:r>
          </w:p>
        </w:tc>
        <w:tc>
          <w:tcPr>
            <w:tcW w:w="100" w:type="dxa"/>
            <w:vAlign w:val="bottom"/>
          </w:tcPr>
          <w:p>
            <w:pPr>
              <w:spacing w:after="0"/>
              <w:rPr>
                <w:sz w:val="8"/>
                <w:szCs w:val="8"/>
                <w:color w:val="auto"/>
              </w:rPr>
            </w:pPr>
          </w:p>
        </w:tc>
        <w:tc>
          <w:tcPr>
            <w:tcW w:w="140" w:type="dxa"/>
            <w:vAlign w:val="bottom"/>
            <w:vMerge w:val="restart"/>
          </w:tcPr>
          <w:p>
            <w:pPr>
              <w:jc w:val="right"/>
              <w:ind w:right="3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(0.84)</w:t>
            </w:r>
          </w:p>
        </w:tc>
        <w:tc>
          <w:tcPr>
            <w:tcW w:w="10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(0.78)</w:t>
            </w:r>
          </w:p>
        </w:tc>
        <w:tc>
          <w:tcPr>
            <w:tcW w:w="100" w:type="dxa"/>
            <w:vAlign w:val="bottom"/>
          </w:tcPr>
          <w:p>
            <w:pPr>
              <w:spacing w:after="0"/>
              <w:rPr>
                <w:sz w:val="8"/>
                <w:szCs w:val="8"/>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(1.08)</w:t>
            </w:r>
          </w:p>
        </w:tc>
        <w:tc>
          <w:tcPr>
            <w:tcW w:w="10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(0.52)</w:t>
            </w:r>
          </w:p>
        </w:tc>
        <w:tc>
          <w:tcPr>
            <w:tcW w:w="100" w:type="dxa"/>
            <w:vAlign w:val="bottom"/>
          </w:tcPr>
          <w:p>
            <w:pPr>
              <w:spacing w:after="0"/>
              <w:rPr>
                <w:sz w:val="8"/>
                <w:szCs w:val="8"/>
                <w:color w:val="auto"/>
              </w:rPr>
            </w:pPr>
          </w:p>
        </w:tc>
        <w:tc>
          <w:tcPr>
            <w:tcW w:w="140" w:type="dxa"/>
            <w:vAlign w:val="bottom"/>
            <w:vMerge w:val="restart"/>
          </w:tcPr>
          <w:p>
            <w:pPr>
              <w:jc w:val="right"/>
              <w:ind w:right="30"/>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(0.34)</w:t>
            </w:r>
          </w:p>
        </w:tc>
        <w:tc>
          <w:tcPr>
            <w:tcW w:w="10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(0.30)</w:t>
            </w:r>
          </w:p>
        </w:tc>
        <w:tc>
          <w:tcPr>
            <w:tcW w:w="0" w:type="dxa"/>
            <w:vAlign w:val="bottom"/>
          </w:tcPr>
          <w:p>
            <w:pPr>
              <w:spacing w:after="0"/>
              <w:rPr>
                <w:sz w:val="1"/>
                <w:szCs w:val="1"/>
                <w:color w:val="auto"/>
              </w:rPr>
            </w:pPr>
          </w:p>
        </w:tc>
      </w:tr>
      <w:tr>
        <w:trPr>
          <w:trHeight w:val="122"/>
        </w:trPr>
        <w:tc>
          <w:tcPr>
            <w:tcW w:w="166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diluted</w:t>
            </w:r>
          </w:p>
        </w:tc>
        <w:tc>
          <w:tcPr>
            <w:tcW w:w="14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660" w:type="dxa"/>
            <w:vAlign w:val="bottom"/>
            <w:shd w:val="clear" w:color="auto" w:fill="CCEEFF"/>
          </w:tcPr>
          <w:p>
            <w:pPr>
              <w:ind w:left="20"/>
              <w:spacing w:after="0" w:line="75" w:lineRule="exact"/>
              <w:rPr>
                <w:sz w:val="20"/>
                <w:szCs w:val="20"/>
                <w:color w:val="auto"/>
              </w:rPr>
            </w:pPr>
            <w:r>
              <w:rPr>
                <w:rFonts w:ascii="Times New Roman" w:cs="Times New Roman" w:eastAsia="Times New Roman" w:hAnsi="Times New Roman"/>
                <w:sz w:val="7"/>
                <w:szCs w:val="7"/>
                <w:color w:val="auto"/>
              </w:rPr>
              <w:t>Weighted average number of shares</w:t>
            </w:r>
          </w:p>
        </w:tc>
        <w:tc>
          <w:tcPr>
            <w:tcW w:w="1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1660" w:type="dxa"/>
            <w:vAlign w:val="bottom"/>
            <w:shd w:val="clear" w:color="auto" w:fill="CCEEFF"/>
          </w:tcPr>
          <w:p>
            <w:pPr>
              <w:ind w:left="180"/>
              <w:spacing w:after="0" w:line="95" w:lineRule="exact"/>
              <w:rPr>
                <w:sz w:val="20"/>
                <w:szCs w:val="20"/>
                <w:color w:val="auto"/>
              </w:rPr>
            </w:pPr>
            <w:r>
              <w:rPr>
                <w:rFonts w:ascii="Times New Roman" w:cs="Times New Roman" w:eastAsia="Times New Roman" w:hAnsi="Times New Roman"/>
                <w:sz w:val="10"/>
                <w:szCs w:val="10"/>
                <w:color w:val="auto"/>
              </w:rPr>
              <w:t>outstanding used to compute net</w:t>
            </w:r>
          </w:p>
        </w:tc>
        <w:tc>
          <w:tcPr>
            <w:tcW w:w="1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1660" w:type="dxa"/>
            <w:vAlign w:val="bottom"/>
            <w:shd w:val="clear" w:color="auto" w:fill="CCEEFF"/>
          </w:tcPr>
          <w:p>
            <w:pPr>
              <w:ind w:left="180"/>
              <w:spacing w:after="0" w:line="104" w:lineRule="exact"/>
              <w:rPr>
                <w:sz w:val="20"/>
                <w:szCs w:val="20"/>
                <w:color w:val="auto"/>
              </w:rPr>
            </w:pPr>
            <w:r>
              <w:rPr>
                <w:rFonts w:ascii="Times New Roman" w:cs="Times New Roman" w:eastAsia="Times New Roman" w:hAnsi="Times New Roman"/>
                <w:sz w:val="10"/>
                <w:szCs w:val="10"/>
                <w:color w:val="auto"/>
              </w:rPr>
              <w:t>loss per share attributable to</w:t>
            </w: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1660" w:type="dxa"/>
            <w:vAlign w:val="bottom"/>
            <w:shd w:val="clear" w:color="auto" w:fill="CCEEFF"/>
          </w:tcPr>
          <w:p>
            <w:pPr>
              <w:ind w:left="180"/>
              <w:spacing w:after="0" w:line="98" w:lineRule="exact"/>
              <w:rPr>
                <w:sz w:val="20"/>
                <w:szCs w:val="20"/>
                <w:color w:val="auto"/>
              </w:rPr>
            </w:pPr>
            <w:r>
              <w:rPr>
                <w:rFonts w:ascii="Times New Roman" w:cs="Times New Roman" w:eastAsia="Times New Roman" w:hAnsi="Times New Roman"/>
                <w:sz w:val="10"/>
                <w:szCs w:val="10"/>
                <w:color w:val="auto"/>
              </w:rPr>
              <w:t>common stockholders, basic and</w:t>
            </w:r>
          </w:p>
        </w:tc>
        <w:tc>
          <w:tcPr>
            <w:tcW w:w="140" w:type="dxa"/>
            <w:vAlign w:val="bottom"/>
            <w:shd w:val="clear" w:color="auto" w:fill="CCEEFF"/>
          </w:tcPr>
          <w:p>
            <w:pPr>
              <w:spacing w:after="0"/>
              <w:rPr>
                <w:sz w:val="8"/>
                <w:szCs w:val="8"/>
                <w:color w:val="auto"/>
              </w:rPr>
            </w:pPr>
          </w:p>
        </w:tc>
        <w:tc>
          <w:tcPr>
            <w:tcW w:w="56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55,272,099</w:t>
            </w: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57,320,108</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58,723,618</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60,157,803</w:t>
            </w: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62,021,491</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62,771,570</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63,331,870</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64,264,790</w:t>
            </w: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64,440,411</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64,677,568</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65,149,191</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65,365,421</w:t>
            </w:r>
          </w:p>
        </w:tc>
        <w:tc>
          <w:tcPr>
            <w:tcW w:w="0" w:type="dxa"/>
            <w:vAlign w:val="bottom"/>
          </w:tcPr>
          <w:p>
            <w:pPr>
              <w:spacing w:after="0"/>
              <w:rPr>
                <w:sz w:val="1"/>
                <w:szCs w:val="1"/>
                <w:color w:val="auto"/>
              </w:rPr>
            </w:pPr>
          </w:p>
        </w:tc>
      </w:tr>
      <w:tr>
        <w:trPr>
          <w:trHeight w:val="141"/>
        </w:trPr>
        <w:tc>
          <w:tcPr>
            <w:tcW w:w="1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diluted</w:t>
            </w:r>
          </w:p>
        </w:tc>
        <w:tc>
          <w:tcPr>
            <w:tcW w:w="1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240"/>
          </w:cols>
          <w:pgMar w:left="320" w:top="124"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depreciation and amortization includes amounts as follows:</w:t>
      </w:r>
    </w:p>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142"/>
        </w:trPr>
        <w:tc>
          <w:tcPr>
            <w:tcW w:w="1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5"/>
          </w:tcPr>
          <w:p>
            <w:pPr>
              <w:ind w:left="6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500" w:type="dxa"/>
            <w:vAlign w:val="bottom"/>
            <w:vMerge w:val="restart"/>
          </w:tcPr>
          <w:p>
            <w:pPr>
              <w:ind w:left="20"/>
              <w:spacing w:after="0"/>
              <w:rPr>
                <w:sz w:val="20"/>
                <w:szCs w:val="20"/>
                <w:color w:val="auto"/>
              </w:rPr>
            </w:pPr>
            <w:r>
              <w:rPr>
                <w:rFonts w:ascii="Times New Roman" w:cs="Times New Roman" w:eastAsia="Times New Roman" w:hAnsi="Times New Roman"/>
                <w:sz w:val="11"/>
                <w:szCs w:val="11"/>
                <w:i w:val="1"/>
                <w:iCs w:val="1"/>
                <w:color w:val="auto"/>
              </w:rPr>
              <w:t>(unaudited, in thousands)</w:t>
            </w:r>
          </w:p>
        </w:tc>
        <w:tc>
          <w:tcPr>
            <w:tcW w:w="740" w:type="dxa"/>
            <w:vAlign w:val="bottom"/>
            <w:tcBorders>
              <w:bottom w:val="single" w:sz="8" w:color="auto"/>
            </w:tcBorders>
            <w:gridSpan w:val="3"/>
          </w:tcPr>
          <w:p>
            <w:pPr>
              <w:spacing w:after="0" w:line="20" w:lineRule="exact"/>
              <w:rPr>
                <w:sz w:val="1"/>
                <w:szCs w:val="1"/>
                <w:color w:val="auto"/>
              </w:rPr>
            </w:pPr>
          </w:p>
        </w:tc>
        <w:tc>
          <w:tcPr>
            <w:tcW w:w="760" w:type="dxa"/>
            <w:vAlign w:val="bottom"/>
            <w:tcBorders>
              <w:bottom w:val="single" w:sz="8" w:color="auto"/>
            </w:tcBorders>
            <w:gridSpan w:val="3"/>
          </w:tcPr>
          <w:p>
            <w:pPr>
              <w:spacing w:after="0" w:line="20" w:lineRule="exact"/>
              <w:rPr>
                <w:sz w:val="1"/>
                <w:szCs w:val="1"/>
                <w:color w:val="auto"/>
              </w:rPr>
            </w:pPr>
          </w:p>
        </w:tc>
        <w:tc>
          <w:tcPr>
            <w:tcW w:w="760" w:type="dxa"/>
            <w:vAlign w:val="bottom"/>
            <w:tcBorders>
              <w:bottom w:val="single" w:sz="8" w:color="auto"/>
            </w:tcBorders>
            <w:gridSpan w:val="3"/>
          </w:tcPr>
          <w:p>
            <w:pPr>
              <w:spacing w:after="0" w:line="20" w:lineRule="exact"/>
              <w:rPr>
                <w:sz w:val="1"/>
                <w:szCs w:val="1"/>
                <w:color w:val="auto"/>
              </w:rPr>
            </w:pPr>
          </w:p>
        </w:tc>
        <w:tc>
          <w:tcPr>
            <w:tcW w:w="760" w:type="dxa"/>
            <w:vAlign w:val="bottom"/>
            <w:tcBorders>
              <w:bottom w:val="single" w:sz="8" w:color="auto"/>
            </w:tcBorders>
            <w:gridSpan w:val="3"/>
          </w:tcPr>
          <w:p>
            <w:pPr>
              <w:spacing w:after="0" w:line="20" w:lineRule="exact"/>
              <w:rPr>
                <w:sz w:val="1"/>
                <w:szCs w:val="1"/>
                <w:color w:val="auto"/>
              </w:rPr>
            </w:pPr>
          </w:p>
        </w:tc>
        <w:tc>
          <w:tcPr>
            <w:tcW w:w="760" w:type="dxa"/>
            <w:vAlign w:val="bottom"/>
            <w:tcBorders>
              <w:bottom w:val="single" w:sz="8" w:color="auto"/>
            </w:tcBorders>
            <w:gridSpan w:val="3"/>
          </w:tcPr>
          <w:p>
            <w:pPr>
              <w:spacing w:after="0" w:line="20" w:lineRule="exact"/>
              <w:rPr>
                <w:sz w:val="1"/>
                <w:szCs w:val="1"/>
                <w:color w:val="auto"/>
              </w:rPr>
            </w:pPr>
          </w:p>
        </w:tc>
        <w:tc>
          <w:tcPr>
            <w:tcW w:w="740" w:type="dxa"/>
            <w:vAlign w:val="bottom"/>
            <w:tcBorders>
              <w:bottom w:val="single" w:sz="8" w:color="auto"/>
            </w:tcBorders>
            <w:gridSpan w:val="3"/>
          </w:tcPr>
          <w:p>
            <w:pPr>
              <w:spacing w:after="0" w:line="20" w:lineRule="exact"/>
              <w:rPr>
                <w:sz w:val="1"/>
                <w:szCs w:val="1"/>
                <w:color w:val="auto"/>
              </w:rPr>
            </w:pPr>
          </w:p>
        </w:tc>
        <w:tc>
          <w:tcPr>
            <w:tcW w:w="760" w:type="dxa"/>
            <w:vAlign w:val="bottom"/>
            <w:tcBorders>
              <w:bottom w:val="single" w:sz="8" w:color="auto"/>
            </w:tcBorders>
            <w:gridSpan w:val="3"/>
          </w:tcPr>
          <w:p>
            <w:pPr>
              <w:spacing w:after="0" w:line="20" w:lineRule="exact"/>
              <w:rPr>
                <w:sz w:val="1"/>
                <w:szCs w:val="1"/>
                <w:color w:val="auto"/>
              </w:rPr>
            </w:pPr>
          </w:p>
        </w:tc>
        <w:tc>
          <w:tcPr>
            <w:tcW w:w="760" w:type="dxa"/>
            <w:vAlign w:val="bottom"/>
            <w:tcBorders>
              <w:bottom w:val="single" w:sz="8" w:color="auto"/>
            </w:tcBorders>
            <w:gridSpan w:val="3"/>
          </w:tcPr>
          <w:p>
            <w:pPr>
              <w:spacing w:after="0" w:line="20" w:lineRule="exact"/>
              <w:rPr>
                <w:sz w:val="1"/>
                <w:szCs w:val="1"/>
                <w:color w:val="auto"/>
              </w:rPr>
            </w:pPr>
          </w:p>
        </w:tc>
        <w:tc>
          <w:tcPr>
            <w:tcW w:w="760" w:type="dxa"/>
            <w:vAlign w:val="bottom"/>
            <w:tcBorders>
              <w:bottom w:val="single" w:sz="8" w:color="auto"/>
            </w:tcBorders>
            <w:gridSpan w:val="3"/>
          </w:tcPr>
          <w:p>
            <w:pPr>
              <w:spacing w:after="0" w:line="20" w:lineRule="exact"/>
              <w:rPr>
                <w:sz w:val="1"/>
                <w:szCs w:val="1"/>
                <w:color w:val="auto"/>
              </w:rPr>
            </w:pPr>
          </w:p>
        </w:tc>
        <w:tc>
          <w:tcPr>
            <w:tcW w:w="760" w:type="dxa"/>
            <w:vAlign w:val="bottom"/>
            <w:tcBorders>
              <w:bottom w:val="single" w:sz="8" w:color="auto"/>
            </w:tcBorders>
            <w:gridSpan w:val="3"/>
          </w:tcPr>
          <w:p>
            <w:pPr>
              <w:spacing w:after="0" w:line="20" w:lineRule="exact"/>
              <w:rPr>
                <w:sz w:val="1"/>
                <w:szCs w:val="1"/>
                <w:color w:val="auto"/>
              </w:rPr>
            </w:pPr>
          </w:p>
        </w:tc>
        <w:tc>
          <w:tcPr>
            <w:tcW w:w="740" w:type="dxa"/>
            <w:vAlign w:val="bottom"/>
            <w:tcBorders>
              <w:bottom w:val="single" w:sz="8" w:color="auto"/>
            </w:tcBorders>
            <w:gridSpan w:val="3"/>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1500" w:type="dxa"/>
            <w:vAlign w:val="bottom"/>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tcBorders>
              <w:bottom w:val="single" w:sz="8" w:color="CCEEFF"/>
            </w:tcBorders>
            <w:vMerge w:val="continue"/>
          </w:tcPr>
          <w:p>
            <w:pPr>
              <w:spacing w:after="0"/>
              <w:rPr>
                <w:sz w:val="12"/>
                <w:szCs w:val="12"/>
                <w:color w:val="auto"/>
              </w:rPr>
            </w:pPr>
          </w:p>
        </w:tc>
        <w:tc>
          <w:tcPr>
            <w:tcW w:w="6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w w:val="99"/>
              </w:rPr>
              <w:t>Mar 31, 2022</w:t>
            </w:r>
          </w:p>
        </w:tc>
        <w:tc>
          <w:tcPr>
            <w:tcW w:w="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Jun 30, 2022</w:t>
            </w: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Sep 30, 2022</w:t>
            </w: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Dec 31, 2022</w:t>
            </w: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w w:val="99"/>
              </w:rPr>
              <w:t>Mar 31, 2023</w:t>
            </w: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Jun 30, 2023</w:t>
            </w:r>
          </w:p>
        </w:tc>
        <w:tc>
          <w:tcPr>
            <w:tcW w:w="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Sep 30, 2023</w:t>
            </w: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Dec 31, 2023</w:t>
            </w: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w w:val="99"/>
              </w:rPr>
              <w:t>Mar 31, 2024</w:t>
            </w: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Jun 30, 2024</w:t>
            </w: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gridSpan w:val="2"/>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99"/>
              </w:rPr>
              <w:t>Sep 30, 2024</w:t>
            </w:r>
          </w:p>
        </w:tc>
        <w:tc>
          <w:tcPr>
            <w:tcW w:w="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Dec 31, 2024</w:t>
            </w:r>
          </w:p>
        </w:tc>
        <w:tc>
          <w:tcPr>
            <w:tcW w:w="0" w:type="dxa"/>
            <w:vAlign w:val="bottom"/>
          </w:tcPr>
          <w:p>
            <w:pPr>
              <w:spacing w:after="0"/>
              <w:rPr>
                <w:sz w:val="1"/>
                <w:szCs w:val="1"/>
                <w:color w:val="auto"/>
              </w:rPr>
            </w:pPr>
          </w:p>
        </w:tc>
      </w:tr>
      <w:tr>
        <w:trPr>
          <w:trHeight w:val="94"/>
        </w:trPr>
        <w:tc>
          <w:tcPr>
            <w:tcW w:w="1500" w:type="dxa"/>
            <w:vAlign w:val="bottom"/>
            <w:shd w:val="clear" w:color="auto" w:fill="CCEEFF"/>
          </w:tcPr>
          <w:p>
            <w:pPr>
              <w:ind w:left="20"/>
              <w:spacing w:after="0" w:line="95" w:lineRule="exact"/>
              <w:rPr>
                <w:sz w:val="20"/>
                <w:szCs w:val="20"/>
                <w:color w:val="auto"/>
              </w:rPr>
            </w:pPr>
            <w:r>
              <w:rPr>
                <w:rFonts w:ascii="Times New Roman" w:cs="Times New Roman" w:eastAsia="Times New Roman" w:hAnsi="Times New Roman"/>
                <w:sz w:val="10"/>
                <w:szCs w:val="10"/>
                <w:color w:val="auto"/>
              </w:rPr>
              <w:t>Depreciation and amortization</w:t>
            </w:r>
          </w:p>
        </w:tc>
        <w:tc>
          <w:tcPr>
            <w:tcW w:w="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vMerge w:val="restart"/>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vMerge w:val="restart"/>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vMerge w:val="restart"/>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237</w:t>
            </w:r>
          </w:p>
        </w:tc>
        <w:tc>
          <w:tcPr>
            <w:tcW w:w="100" w:type="dxa"/>
            <w:vAlign w:val="bottom"/>
            <w:shd w:val="clear" w:color="auto" w:fill="CCEEFF"/>
          </w:tcPr>
          <w:p>
            <w:pPr>
              <w:spacing w:after="0"/>
              <w:rPr>
                <w:sz w:val="8"/>
                <w:szCs w:val="8"/>
                <w:color w:val="auto"/>
              </w:rPr>
            </w:pPr>
          </w:p>
        </w:tc>
        <w:tc>
          <w:tcPr>
            <w:tcW w:w="14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237</w:t>
            </w:r>
          </w:p>
        </w:tc>
        <w:tc>
          <w:tcPr>
            <w:tcW w:w="80" w:type="dxa"/>
            <w:vAlign w:val="bottom"/>
            <w:shd w:val="clear" w:color="auto" w:fill="CCEEFF"/>
          </w:tcPr>
          <w:p>
            <w:pPr>
              <w:spacing w:after="0"/>
              <w:rPr>
                <w:sz w:val="8"/>
                <w:szCs w:val="8"/>
                <w:color w:val="auto"/>
              </w:rPr>
            </w:pPr>
          </w:p>
        </w:tc>
        <w:tc>
          <w:tcPr>
            <w:tcW w:w="220" w:type="dxa"/>
            <w:vAlign w:val="bottom"/>
            <w:vMerge w:val="restart"/>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w:t>
            </w:r>
          </w:p>
        </w:tc>
        <w:tc>
          <w:tcPr>
            <w:tcW w:w="100" w:type="dxa"/>
            <w:vAlign w:val="bottom"/>
            <w:shd w:val="clear" w:color="auto" w:fill="CCEEFF"/>
          </w:tcPr>
          <w:p>
            <w:pPr>
              <w:spacing w:after="0"/>
              <w:rPr>
                <w:sz w:val="8"/>
                <w:szCs w:val="8"/>
                <w:color w:val="auto"/>
              </w:rPr>
            </w:pPr>
          </w:p>
        </w:tc>
        <w:tc>
          <w:tcPr>
            <w:tcW w:w="220" w:type="dxa"/>
            <w:vAlign w:val="bottom"/>
            <w:vMerge w:val="restart"/>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592</w:t>
            </w:r>
          </w:p>
        </w:tc>
        <w:tc>
          <w:tcPr>
            <w:tcW w:w="100" w:type="dxa"/>
            <w:vAlign w:val="bottom"/>
            <w:shd w:val="clear" w:color="auto" w:fill="CCEEFF"/>
          </w:tcPr>
          <w:p>
            <w:pPr>
              <w:spacing w:after="0"/>
              <w:rPr>
                <w:sz w:val="8"/>
                <w:szCs w:val="8"/>
                <w:color w:val="auto"/>
              </w:rPr>
            </w:pP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1,076</w:t>
            </w:r>
          </w:p>
        </w:tc>
        <w:tc>
          <w:tcPr>
            <w:tcW w:w="100" w:type="dxa"/>
            <w:vAlign w:val="bottom"/>
            <w:shd w:val="clear" w:color="auto" w:fill="CCEEFF"/>
          </w:tcPr>
          <w:p>
            <w:pPr>
              <w:spacing w:after="0"/>
              <w:rPr>
                <w:sz w:val="8"/>
                <w:szCs w:val="8"/>
                <w:color w:val="auto"/>
              </w:rPr>
            </w:pPr>
          </w:p>
        </w:tc>
        <w:tc>
          <w:tcPr>
            <w:tcW w:w="220" w:type="dxa"/>
            <w:vAlign w:val="bottom"/>
            <w:vMerge w:val="restart"/>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2,817</w:t>
            </w:r>
          </w:p>
        </w:tc>
        <w:tc>
          <w:tcPr>
            <w:tcW w:w="100" w:type="dxa"/>
            <w:vAlign w:val="bottom"/>
            <w:shd w:val="clear" w:color="auto" w:fill="CCEEFF"/>
          </w:tcPr>
          <w:p>
            <w:pPr>
              <w:spacing w:after="0"/>
              <w:rPr>
                <w:sz w:val="8"/>
                <w:szCs w:val="8"/>
                <w:color w:val="auto"/>
              </w:rPr>
            </w:pPr>
          </w:p>
        </w:tc>
        <w:tc>
          <w:tcPr>
            <w:tcW w:w="200" w:type="dxa"/>
            <w:vAlign w:val="bottom"/>
            <w:vMerge w:val="restart"/>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3,279</w:t>
            </w:r>
          </w:p>
        </w:tc>
        <w:tc>
          <w:tcPr>
            <w:tcW w:w="80" w:type="dxa"/>
            <w:vAlign w:val="bottom"/>
            <w:shd w:val="clear" w:color="auto" w:fill="CCEEFF"/>
          </w:tcPr>
          <w:p>
            <w:pPr>
              <w:spacing w:after="0"/>
              <w:rPr>
                <w:sz w:val="8"/>
                <w:szCs w:val="8"/>
                <w:color w:val="auto"/>
              </w:rPr>
            </w:pPr>
          </w:p>
        </w:tc>
        <w:tc>
          <w:tcPr>
            <w:tcW w:w="220" w:type="dxa"/>
            <w:vAlign w:val="bottom"/>
            <w:vMerge w:val="restart"/>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3,348</w:t>
            </w:r>
          </w:p>
        </w:tc>
        <w:tc>
          <w:tcPr>
            <w:tcW w:w="0" w:type="dxa"/>
            <w:vAlign w:val="bottom"/>
          </w:tcPr>
          <w:p>
            <w:pPr>
              <w:spacing w:after="0"/>
              <w:rPr>
                <w:sz w:val="1"/>
                <w:szCs w:val="1"/>
                <w:color w:val="auto"/>
              </w:rPr>
            </w:pPr>
          </w:p>
        </w:tc>
      </w:tr>
      <w:tr>
        <w:trPr>
          <w:trHeight w:val="142"/>
        </w:trPr>
        <w:tc>
          <w:tcPr>
            <w:tcW w:w="1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recorded in cost of revenue</w:t>
            </w:r>
          </w:p>
        </w:tc>
        <w:tc>
          <w:tcPr>
            <w:tcW w:w="200" w:type="dxa"/>
            <w:vAlign w:val="bottom"/>
            <w:tcBorders>
              <w:bottom w:val="single" w:sz="8" w:color="CCEEFF"/>
            </w:tcBorders>
            <w:vMerge w:val="continue"/>
            <w:shd w:val="clear" w:color="auto" w:fill="CCEEFF"/>
          </w:tcPr>
          <w:p>
            <w:pPr>
              <w:spacing w:after="0"/>
              <w:rPr>
                <w:sz w:val="12"/>
                <w:szCs w:val="12"/>
                <w:color w:val="auto"/>
              </w:rPr>
            </w:pPr>
          </w:p>
        </w:tc>
        <w:tc>
          <w:tcPr>
            <w:tcW w:w="54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vMerge w:val="continue"/>
            <w:shd w:val="clear" w:color="auto" w:fill="CCEEFF"/>
          </w:tcPr>
          <w:p>
            <w:pPr>
              <w:spacing w:after="0"/>
              <w:rPr>
                <w:sz w:val="12"/>
                <w:szCs w:val="12"/>
                <w:color w:val="auto"/>
              </w:rPr>
            </w:pPr>
          </w:p>
        </w:tc>
        <w:tc>
          <w:tcPr>
            <w:tcW w:w="54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vMerge w:val="continue"/>
            <w:shd w:val="clear" w:color="auto" w:fill="CCEEFF"/>
          </w:tcPr>
          <w:p>
            <w:pPr>
              <w:spacing w:after="0"/>
              <w:rPr>
                <w:sz w:val="12"/>
                <w:szCs w:val="12"/>
                <w:color w:val="auto"/>
              </w:rPr>
            </w:pPr>
          </w:p>
        </w:tc>
        <w:tc>
          <w:tcPr>
            <w:tcW w:w="54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vMerge w:val="continue"/>
            <w:shd w:val="clear" w:color="auto" w:fill="CCEEFF"/>
          </w:tcPr>
          <w:p>
            <w:pPr>
              <w:spacing w:after="0"/>
              <w:rPr>
                <w:sz w:val="12"/>
                <w:szCs w:val="12"/>
                <w:color w:val="auto"/>
              </w:rPr>
            </w:pPr>
          </w:p>
        </w:tc>
        <w:tc>
          <w:tcPr>
            <w:tcW w:w="54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vMerge w:val="continue"/>
            <w:shd w:val="clear" w:color="auto" w:fill="CCEEFF"/>
          </w:tcPr>
          <w:p>
            <w:pPr>
              <w:spacing w:after="0"/>
              <w:rPr>
                <w:sz w:val="12"/>
                <w:szCs w:val="12"/>
                <w:color w:val="auto"/>
              </w:rPr>
            </w:pPr>
          </w:p>
        </w:tc>
        <w:tc>
          <w:tcPr>
            <w:tcW w:w="44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vMerge w:val="continue"/>
            <w:shd w:val="clear" w:color="auto" w:fill="CCEEFF"/>
          </w:tcPr>
          <w:p>
            <w:pPr>
              <w:spacing w:after="0"/>
              <w:rPr>
                <w:sz w:val="12"/>
                <w:szCs w:val="12"/>
                <w:color w:val="auto"/>
              </w:rPr>
            </w:pPr>
          </w:p>
        </w:tc>
        <w:tc>
          <w:tcPr>
            <w:tcW w:w="5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vMerge w:val="continue"/>
            <w:shd w:val="clear" w:color="auto" w:fill="CCEEFF"/>
          </w:tcPr>
          <w:p>
            <w:pPr>
              <w:spacing w:after="0"/>
              <w:rPr>
                <w:sz w:val="12"/>
                <w:szCs w:val="12"/>
                <w:color w:val="auto"/>
              </w:rPr>
            </w:pPr>
          </w:p>
        </w:tc>
        <w:tc>
          <w:tcPr>
            <w:tcW w:w="44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vMerge w:val="continue"/>
            <w:shd w:val="clear" w:color="auto" w:fill="CCEEFF"/>
          </w:tcPr>
          <w:p>
            <w:pPr>
              <w:spacing w:after="0"/>
              <w:rPr>
                <w:sz w:val="12"/>
                <w:szCs w:val="12"/>
                <w:color w:val="auto"/>
              </w:rPr>
            </w:pPr>
          </w:p>
        </w:tc>
        <w:tc>
          <w:tcPr>
            <w:tcW w:w="44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vMerge w:val="continue"/>
            <w:shd w:val="clear" w:color="auto" w:fill="CCEEFF"/>
          </w:tcPr>
          <w:p>
            <w:pPr>
              <w:spacing w:after="0"/>
              <w:rPr>
                <w:sz w:val="12"/>
                <w:szCs w:val="12"/>
                <w:color w:val="auto"/>
              </w:rPr>
            </w:pPr>
          </w:p>
        </w:tc>
        <w:tc>
          <w:tcPr>
            <w:tcW w:w="44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vMerge w:val="continue"/>
            <w:shd w:val="clear" w:color="auto" w:fill="CCEEFF"/>
          </w:tcPr>
          <w:p>
            <w:pPr>
              <w:spacing w:after="0"/>
              <w:rPr>
                <w:sz w:val="12"/>
                <w:szCs w:val="12"/>
                <w:color w:val="auto"/>
              </w:rPr>
            </w:pPr>
          </w:p>
        </w:tc>
        <w:tc>
          <w:tcPr>
            <w:tcW w:w="44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vMerge w:val="continue"/>
            <w:shd w:val="clear" w:color="auto" w:fill="CCEEFF"/>
          </w:tcPr>
          <w:p>
            <w:pPr>
              <w:spacing w:after="0"/>
              <w:rPr>
                <w:sz w:val="12"/>
                <w:szCs w:val="12"/>
                <w:color w:val="auto"/>
              </w:rPr>
            </w:pPr>
          </w:p>
        </w:tc>
        <w:tc>
          <w:tcPr>
            <w:tcW w:w="46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vMerge w:val="continue"/>
            <w:shd w:val="clear" w:color="auto" w:fill="CCEEFF"/>
          </w:tcPr>
          <w:p>
            <w:pPr>
              <w:spacing w:after="0"/>
              <w:rPr>
                <w:sz w:val="12"/>
                <w:szCs w:val="12"/>
                <w:color w:val="auto"/>
              </w:rPr>
            </w:pPr>
          </w:p>
        </w:tc>
        <w:tc>
          <w:tcPr>
            <w:tcW w:w="44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50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Depreciation and amortization</w:t>
            </w: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00" w:type="dxa"/>
            <w:vAlign w:val="bottom"/>
          </w:tcPr>
          <w:p>
            <w:pPr>
              <w:ind w:left="180"/>
              <w:spacing w:after="0" w:line="108" w:lineRule="exact"/>
              <w:rPr>
                <w:sz w:val="20"/>
                <w:szCs w:val="20"/>
                <w:color w:val="auto"/>
              </w:rPr>
            </w:pPr>
            <w:r>
              <w:rPr>
                <w:rFonts w:ascii="Times New Roman" w:cs="Times New Roman" w:eastAsia="Times New Roman" w:hAnsi="Times New Roman"/>
                <w:sz w:val="11"/>
                <w:szCs w:val="11"/>
                <w:color w:val="auto"/>
              </w:rPr>
              <w:t>recorded as operating</w:t>
            </w:r>
          </w:p>
        </w:tc>
        <w:tc>
          <w:tcPr>
            <w:tcW w:w="200" w:type="dxa"/>
            <w:vAlign w:val="bottom"/>
          </w:tcPr>
          <w:p>
            <w:pPr>
              <w:spacing w:after="0"/>
              <w:rPr>
                <w:sz w:val="9"/>
                <w:szCs w:val="9"/>
                <w:color w:val="auto"/>
              </w:rPr>
            </w:pPr>
          </w:p>
        </w:tc>
        <w:tc>
          <w:tcPr>
            <w:tcW w:w="46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1,018</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1,371</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2,262</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2,649</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2,485</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2,661</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3,353</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3,122</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4,158</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3,300</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3,618</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3,774</w:t>
            </w:r>
          </w:p>
        </w:tc>
        <w:tc>
          <w:tcPr>
            <w:tcW w:w="0" w:type="dxa"/>
            <w:vAlign w:val="bottom"/>
          </w:tcPr>
          <w:p>
            <w:pPr>
              <w:spacing w:after="0"/>
              <w:rPr>
                <w:sz w:val="1"/>
                <w:szCs w:val="1"/>
                <w:color w:val="auto"/>
              </w:rPr>
            </w:pPr>
          </w:p>
        </w:tc>
      </w:tr>
      <w:tr>
        <w:trPr>
          <w:trHeight w:val="140"/>
        </w:trPr>
        <w:tc>
          <w:tcPr>
            <w:tcW w:w="15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expense</w:t>
            </w:r>
          </w:p>
        </w:tc>
        <w:tc>
          <w:tcPr>
            <w:tcW w:w="20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5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1500" w:type="dxa"/>
            <w:vAlign w:val="bottom"/>
            <w:shd w:val="clear" w:color="auto" w:fill="CCEEFF"/>
          </w:tcPr>
          <w:p>
            <w:pPr>
              <w:ind w:left="180"/>
              <w:spacing w:after="0" w:line="88" w:lineRule="exact"/>
              <w:rPr>
                <w:sz w:val="20"/>
                <w:szCs w:val="20"/>
                <w:color w:val="auto"/>
              </w:rPr>
            </w:pPr>
            <w:r>
              <w:rPr>
                <w:rFonts w:ascii="Times New Roman" w:cs="Times New Roman" w:eastAsia="Times New Roman" w:hAnsi="Times New Roman"/>
                <w:sz w:val="10"/>
                <w:szCs w:val="10"/>
                <w:color w:val="auto"/>
              </w:rPr>
              <w:t>Total depreciation and</w:t>
            </w:r>
          </w:p>
        </w:tc>
        <w:tc>
          <w:tcPr>
            <w:tcW w:w="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1,018</w:t>
            </w:r>
          </w:p>
        </w:tc>
        <w:tc>
          <w:tcPr>
            <w:tcW w:w="80" w:type="dxa"/>
            <w:vAlign w:val="bottom"/>
            <w:shd w:val="clear" w:color="auto" w:fill="CCEEFF"/>
          </w:tcPr>
          <w:p>
            <w:pPr>
              <w:spacing w:after="0"/>
              <w:rPr>
                <w:sz w:val="7"/>
                <w:szCs w:val="7"/>
                <w:color w:val="auto"/>
              </w:rPr>
            </w:pPr>
          </w:p>
        </w:tc>
        <w:tc>
          <w:tcPr>
            <w:tcW w:w="220" w:type="dxa"/>
            <w:vAlign w:val="bottom"/>
            <w:vMerge w:val="restart"/>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1,371</w:t>
            </w:r>
          </w:p>
        </w:tc>
        <w:tc>
          <w:tcPr>
            <w:tcW w:w="100" w:type="dxa"/>
            <w:vAlign w:val="bottom"/>
            <w:shd w:val="clear" w:color="auto" w:fill="CCEEFF"/>
          </w:tcPr>
          <w:p>
            <w:pPr>
              <w:spacing w:after="0"/>
              <w:rPr>
                <w:sz w:val="7"/>
                <w:szCs w:val="7"/>
                <w:color w:val="auto"/>
              </w:rPr>
            </w:pPr>
          </w:p>
        </w:tc>
        <w:tc>
          <w:tcPr>
            <w:tcW w:w="220" w:type="dxa"/>
            <w:vAlign w:val="bottom"/>
            <w:vMerge w:val="restart"/>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2,262</w:t>
            </w:r>
          </w:p>
        </w:tc>
        <w:tc>
          <w:tcPr>
            <w:tcW w:w="100" w:type="dxa"/>
            <w:vAlign w:val="bottom"/>
            <w:shd w:val="clear" w:color="auto" w:fill="CCEEFF"/>
          </w:tcPr>
          <w:p>
            <w:pPr>
              <w:spacing w:after="0"/>
              <w:rPr>
                <w:sz w:val="7"/>
                <w:szCs w:val="7"/>
                <w:color w:val="auto"/>
              </w:rPr>
            </w:pPr>
          </w:p>
        </w:tc>
        <w:tc>
          <w:tcPr>
            <w:tcW w:w="220" w:type="dxa"/>
            <w:vAlign w:val="bottom"/>
            <w:vMerge w:val="restart"/>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2,649</w:t>
            </w:r>
          </w:p>
        </w:tc>
        <w:tc>
          <w:tcPr>
            <w:tcW w:w="100" w:type="dxa"/>
            <w:vAlign w:val="bottom"/>
            <w:shd w:val="clear" w:color="auto" w:fill="CCEEFF"/>
          </w:tcPr>
          <w:p>
            <w:pPr>
              <w:spacing w:after="0"/>
              <w:rPr>
                <w:sz w:val="7"/>
                <w:szCs w:val="7"/>
                <w:color w:val="auto"/>
              </w:rPr>
            </w:pP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2,722</w:t>
            </w:r>
          </w:p>
        </w:tc>
        <w:tc>
          <w:tcPr>
            <w:tcW w:w="100" w:type="dxa"/>
            <w:vAlign w:val="bottom"/>
            <w:shd w:val="clear" w:color="auto" w:fill="CCEEFF"/>
          </w:tcPr>
          <w:p>
            <w:pPr>
              <w:spacing w:after="0"/>
              <w:rPr>
                <w:sz w:val="7"/>
                <w:szCs w:val="7"/>
                <w:color w:val="auto"/>
              </w:rPr>
            </w:pPr>
          </w:p>
        </w:tc>
        <w:tc>
          <w:tcPr>
            <w:tcW w:w="14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2,898</w:t>
            </w:r>
          </w:p>
        </w:tc>
        <w:tc>
          <w:tcPr>
            <w:tcW w:w="80" w:type="dxa"/>
            <w:vAlign w:val="bottom"/>
            <w:shd w:val="clear" w:color="auto" w:fill="CCEEFF"/>
          </w:tcPr>
          <w:p>
            <w:pPr>
              <w:spacing w:after="0"/>
              <w:rPr>
                <w:sz w:val="7"/>
                <w:szCs w:val="7"/>
                <w:color w:val="auto"/>
              </w:rPr>
            </w:pPr>
          </w:p>
        </w:tc>
        <w:tc>
          <w:tcPr>
            <w:tcW w:w="220" w:type="dxa"/>
            <w:vAlign w:val="bottom"/>
            <w:vMerge w:val="restart"/>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3,603</w:t>
            </w:r>
          </w:p>
        </w:tc>
        <w:tc>
          <w:tcPr>
            <w:tcW w:w="100" w:type="dxa"/>
            <w:vAlign w:val="bottom"/>
            <w:shd w:val="clear" w:color="auto" w:fill="CCEEFF"/>
          </w:tcPr>
          <w:p>
            <w:pPr>
              <w:spacing w:after="0"/>
              <w:rPr>
                <w:sz w:val="7"/>
                <w:szCs w:val="7"/>
                <w:color w:val="auto"/>
              </w:rPr>
            </w:pPr>
          </w:p>
        </w:tc>
        <w:tc>
          <w:tcPr>
            <w:tcW w:w="220" w:type="dxa"/>
            <w:vAlign w:val="bottom"/>
            <w:vMerge w:val="restart"/>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3,714</w:t>
            </w:r>
          </w:p>
        </w:tc>
        <w:tc>
          <w:tcPr>
            <w:tcW w:w="100" w:type="dxa"/>
            <w:vAlign w:val="bottom"/>
            <w:shd w:val="clear" w:color="auto" w:fill="CCEEFF"/>
          </w:tcPr>
          <w:p>
            <w:pPr>
              <w:spacing w:after="0"/>
              <w:rPr>
                <w:sz w:val="7"/>
                <w:szCs w:val="7"/>
                <w:color w:val="auto"/>
              </w:rPr>
            </w:pP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5,234</w:t>
            </w:r>
          </w:p>
        </w:tc>
        <w:tc>
          <w:tcPr>
            <w:tcW w:w="100" w:type="dxa"/>
            <w:vAlign w:val="bottom"/>
            <w:shd w:val="clear" w:color="auto" w:fill="CCEEFF"/>
          </w:tcPr>
          <w:p>
            <w:pPr>
              <w:spacing w:after="0"/>
              <w:rPr>
                <w:sz w:val="7"/>
                <w:szCs w:val="7"/>
                <w:color w:val="auto"/>
              </w:rPr>
            </w:pPr>
          </w:p>
        </w:tc>
        <w:tc>
          <w:tcPr>
            <w:tcW w:w="220" w:type="dxa"/>
            <w:vAlign w:val="bottom"/>
            <w:vMerge w:val="restart"/>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6,117</w:t>
            </w:r>
          </w:p>
        </w:tc>
        <w:tc>
          <w:tcPr>
            <w:tcW w:w="100" w:type="dxa"/>
            <w:vAlign w:val="bottom"/>
            <w:shd w:val="clear" w:color="auto" w:fill="CCEEFF"/>
          </w:tcPr>
          <w:p>
            <w:pPr>
              <w:spacing w:after="0"/>
              <w:rPr>
                <w:sz w:val="7"/>
                <w:szCs w:val="7"/>
                <w:color w:val="auto"/>
              </w:rPr>
            </w:pPr>
          </w:p>
        </w:tc>
        <w:tc>
          <w:tcPr>
            <w:tcW w:w="200" w:type="dxa"/>
            <w:vAlign w:val="bottom"/>
            <w:vMerge w:val="restart"/>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6,897</w:t>
            </w:r>
          </w:p>
        </w:tc>
        <w:tc>
          <w:tcPr>
            <w:tcW w:w="80" w:type="dxa"/>
            <w:vAlign w:val="bottom"/>
            <w:shd w:val="clear" w:color="auto" w:fill="CCEEFF"/>
          </w:tcPr>
          <w:p>
            <w:pPr>
              <w:spacing w:after="0"/>
              <w:rPr>
                <w:sz w:val="7"/>
                <w:szCs w:val="7"/>
                <w:color w:val="auto"/>
              </w:rPr>
            </w:pPr>
          </w:p>
        </w:tc>
        <w:tc>
          <w:tcPr>
            <w:tcW w:w="220" w:type="dxa"/>
            <w:vAlign w:val="bottom"/>
            <w:vMerge w:val="restart"/>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7,122</w:t>
            </w:r>
          </w:p>
        </w:tc>
        <w:tc>
          <w:tcPr>
            <w:tcW w:w="0" w:type="dxa"/>
            <w:vAlign w:val="bottom"/>
          </w:tcPr>
          <w:p>
            <w:pPr>
              <w:spacing w:after="0"/>
              <w:rPr>
                <w:sz w:val="1"/>
                <w:szCs w:val="1"/>
                <w:color w:val="auto"/>
              </w:rPr>
            </w:pPr>
          </w:p>
        </w:tc>
      </w:tr>
      <w:tr>
        <w:trPr>
          <w:trHeight w:val="155"/>
        </w:trPr>
        <w:tc>
          <w:tcPr>
            <w:tcW w:w="15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amortization</w:t>
            </w:r>
          </w:p>
        </w:tc>
        <w:tc>
          <w:tcPr>
            <w:tcW w:w="200" w:type="dxa"/>
            <w:vAlign w:val="bottom"/>
            <w:tcBorders>
              <w:bottom w:val="single" w:sz="8" w:color="auto"/>
            </w:tcBorders>
            <w:vMerge w:val="continue"/>
            <w:shd w:val="clear" w:color="auto" w:fill="CCEEFF"/>
          </w:tcPr>
          <w:p>
            <w:pPr>
              <w:spacing w:after="0"/>
              <w:rPr>
                <w:sz w:val="13"/>
                <w:szCs w:val="13"/>
                <w:color w:val="auto"/>
              </w:rPr>
            </w:pPr>
          </w:p>
        </w:tc>
        <w:tc>
          <w:tcPr>
            <w:tcW w:w="46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vMerge w:val="continue"/>
            <w:shd w:val="clear" w:color="auto" w:fill="CCEEFF"/>
          </w:tcPr>
          <w:p>
            <w:pPr>
              <w:spacing w:after="0"/>
              <w:rPr>
                <w:sz w:val="13"/>
                <w:szCs w:val="13"/>
                <w:color w:val="auto"/>
              </w:rPr>
            </w:pPr>
          </w:p>
        </w:tc>
        <w:tc>
          <w:tcPr>
            <w:tcW w:w="44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vMerge w:val="continue"/>
            <w:shd w:val="clear" w:color="auto" w:fill="CCEEFF"/>
          </w:tcPr>
          <w:p>
            <w:pPr>
              <w:spacing w:after="0"/>
              <w:rPr>
                <w:sz w:val="13"/>
                <w:szCs w:val="13"/>
                <w:color w:val="auto"/>
              </w:rPr>
            </w:pPr>
          </w:p>
        </w:tc>
        <w:tc>
          <w:tcPr>
            <w:tcW w:w="44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vMerge w:val="continue"/>
            <w:shd w:val="clear" w:color="auto" w:fill="CCEEFF"/>
          </w:tcPr>
          <w:p>
            <w:pPr>
              <w:spacing w:after="0"/>
              <w:rPr>
                <w:sz w:val="13"/>
                <w:szCs w:val="13"/>
                <w:color w:val="auto"/>
              </w:rPr>
            </w:pPr>
          </w:p>
        </w:tc>
        <w:tc>
          <w:tcPr>
            <w:tcW w:w="44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vMerge w:val="continue"/>
            <w:shd w:val="clear" w:color="auto" w:fill="CCEEFF"/>
          </w:tcPr>
          <w:p>
            <w:pPr>
              <w:spacing w:after="0"/>
              <w:rPr>
                <w:sz w:val="13"/>
                <w:szCs w:val="13"/>
                <w:color w:val="auto"/>
              </w:rPr>
            </w:pPr>
          </w:p>
        </w:tc>
        <w:tc>
          <w:tcPr>
            <w:tcW w:w="44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vMerge w:val="continue"/>
            <w:shd w:val="clear" w:color="auto" w:fill="CCEEFF"/>
          </w:tcPr>
          <w:p>
            <w:pPr>
              <w:spacing w:after="0"/>
              <w:rPr>
                <w:sz w:val="13"/>
                <w:szCs w:val="13"/>
                <w:color w:val="auto"/>
              </w:rPr>
            </w:pPr>
          </w:p>
        </w:tc>
        <w:tc>
          <w:tcPr>
            <w:tcW w:w="52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vMerge w:val="continue"/>
            <w:shd w:val="clear" w:color="auto" w:fill="CCEEFF"/>
          </w:tcPr>
          <w:p>
            <w:pPr>
              <w:spacing w:after="0"/>
              <w:rPr>
                <w:sz w:val="13"/>
                <w:szCs w:val="13"/>
                <w:color w:val="auto"/>
              </w:rPr>
            </w:pPr>
          </w:p>
        </w:tc>
        <w:tc>
          <w:tcPr>
            <w:tcW w:w="44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vMerge w:val="continue"/>
            <w:shd w:val="clear" w:color="auto" w:fill="CCEEFF"/>
          </w:tcPr>
          <w:p>
            <w:pPr>
              <w:spacing w:after="0"/>
              <w:rPr>
                <w:sz w:val="13"/>
                <w:szCs w:val="13"/>
                <w:color w:val="auto"/>
              </w:rPr>
            </w:pPr>
          </w:p>
        </w:tc>
        <w:tc>
          <w:tcPr>
            <w:tcW w:w="44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vMerge w:val="continue"/>
            <w:shd w:val="clear" w:color="auto" w:fill="CCEEFF"/>
          </w:tcPr>
          <w:p>
            <w:pPr>
              <w:spacing w:after="0"/>
              <w:rPr>
                <w:sz w:val="13"/>
                <w:szCs w:val="13"/>
                <w:color w:val="auto"/>
              </w:rPr>
            </w:pPr>
          </w:p>
        </w:tc>
        <w:tc>
          <w:tcPr>
            <w:tcW w:w="44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vMerge w:val="continue"/>
            <w:shd w:val="clear" w:color="auto" w:fill="CCEEFF"/>
          </w:tcPr>
          <w:p>
            <w:pPr>
              <w:spacing w:after="0"/>
              <w:rPr>
                <w:sz w:val="13"/>
                <w:szCs w:val="13"/>
                <w:color w:val="auto"/>
              </w:rPr>
            </w:pPr>
          </w:p>
        </w:tc>
        <w:tc>
          <w:tcPr>
            <w:tcW w:w="44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vMerge w:val="continue"/>
            <w:shd w:val="clear" w:color="auto" w:fill="CCEEFF"/>
          </w:tcPr>
          <w:p>
            <w:pPr>
              <w:spacing w:after="0"/>
              <w:rPr>
                <w:sz w:val="13"/>
                <w:szCs w:val="13"/>
                <w:color w:val="auto"/>
              </w:rPr>
            </w:pPr>
          </w:p>
        </w:tc>
        <w:tc>
          <w:tcPr>
            <w:tcW w:w="46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vMerge w:val="continue"/>
            <w:shd w:val="clear" w:color="auto" w:fill="CCEEFF"/>
          </w:tcPr>
          <w:p>
            <w:pPr>
              <w:spacing w:after="0"/>
              <w:rPr>
                <w:sz w:val="13"/>
                <w:szCs w:val="13"/>
                <w:color w:val="auto"/>
              </w:rPr>
            </w:pPr>
          </w:p>
        </w:tc>
        <w:tc>
          <w:tcPr>
            <w:tcW w:w="44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320" w:hanging="312"/>
        <w:spacing w:after="0"/>
        <w:tabs>
          <w:tab w:leader="none" w:pos="32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stock-based compensation as follows:</w:t>
      </w:r>
    </w:p>
    <w:p>
      <w:pPr>
        <w:spacing w:after="0" w:line="238" w:lineRule="exact"/>
        <w:rPr>
          <w:sz w:val="20"/>
          <w:szCs w:val="20"/>
          <w:color w:val="auto"/>
        </w:rPr>
      </w:pPr>
    </w:p>
    <w:tbl>
      <w:tblPr>
        <w:tblLayout w:type="fixed"/>
        <w:tblInd w:w="340" w:type="dxa"/>
        <w:tblCellMar>
          <w:top w:w="0" w:type="dxa"/>
          <w:left w:w="0" w:type="dxa"/>
          <w:bottom w:w="0" w:type="dxa"/>
          <w:right w:w="0" w:type="dxa"/>
        </w:tblCellMar>
      </w:tblPr>
      <w:tr>
        <w:trPr>
          <w:trHeight w:val="142"/>
        </w:trPr>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5"/>
          </w:tcPr>
          <w:p>
            <w:pPr>
              <w:ind w:left="8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1480" w:type="dxa"/>
            <w:vAlign w:val="bottom"/>
          </w:tcPr>
          <w:p>
            <w:pPr>
              <w:spacing w:after="0"/>
              <w:rPr>
                <w:sz w:val="3"/>
                <w:szCs w:val="3"/>
                <w:color w:val="auto"/>
              </w:rPr>
            </w:pPr>
          </w:p>
        </w:tc>
        <w:tc>
          <w:tcPr>
            <w:tcW w:w="760" w:type="dxa"/>
            <w:vAlign w:val="bottom"/>
            <w:tcBorders>
              <w:bottom w:val="single" w:sz="8" w:color="auto"/>
            </w:tcBorders>
            <w:gridSpan w:val="3"/>
          </w:tcPr>
          <w:p>
            <w:pPr>
              <w:spacing w:after="0"/>
              <w:rPr>
                <w:sz w:val="3"/>
                <w:szCs w:val="3"/>
                <w:color w:val="auto"/>
              </w:rPr>
            </w:pPr>
          </w:p>
        </w:tc>
        <w:tc>
          <w:tcPr>
            <w:tcW w:w="740" w:type="dxa"/>
            <w:vAlign w:val="bottom"/>
            <w:tcBorders>
              <w:bottom w:val="single" w:sz="8" w:color="auto"/>
            </w:tcBorders>
            <w:gridSpan w:val="3"/>
          </w:tcPr>
          <w:p>
            <w:pPr>
              <w:spacing w:after="0"/>
              <w:rPr>
                <w:sz w:val="3"/>
                <w:szCs w:val="3"/>
                <w:color w:val="auto"/>
              </w:rPr>
            </w:pPr>
          </w:p>
        </w:tc>
        <w:tc>
          <w:tcPr>
            <w:tcW w:w="760" w:type="dxa"/>
            <w:vAlign w:val="bottom"/>
            <w:tcBorders>
              <w:bottom w:val="single" w:sz="8" w:color="auto"/>
            </w:tcBorders>
            <w:gridSpan w:val="3"/>
          </w:tcPr>
          <w:p>
            <w:pPr>
              <w:spacing w:after="0"/>
              <w:rPr>
                <w:sz w:val="3"/>
                <w:szCs w:val="3"/>
                <w:color w:val="auto"/>
              </w:rPr>
            </w:pPr>
          </w:p>
        </w:tc>
        <w:tc>
          <w:tcPr>
            <w:tcW w:w="760" w:type="dxa"/>
            <w:vAlign w:val="bottom"/>
            <w:tcBorders>
              <w:bottom w:val="single" w:sz="8" w:color="auto"/>
            </w:tcBorders>
            <w:gridSpan w:val="3"/>
          </w:tcPr>
          <w:p>
            <w:pPr>
              <w:spacing w:after="0"/>
              <w:rPr>
                <w:sz w:val="3"/>
                <w:szCs w:val="3"/>
                <w:color w:val="auto"/>
              </w:rPr>
            </w:pPr>
          </w:p>
        </w:tc>
        <w:tc>
          <w:tcPr>
            <w:tcW w:w="760" w:type="dxa"/>
            <w:vAlign w:val="bottom"/>
            <w:tcBorders>
              <w:bottom w:val="single" w:sz="8" w:color="auto"/>
            </w:tcBorders>
            <w:gridSpan w:val="3"/>
          </w:tcPr>
          <w:p>
            <w:pPr>
              <w:spacing w:after="0"/>
              <w:rPr>
                <w:sz w:val="3"/>
                <w:szCs w:val="3"/>
                <w:color w:val="auto"/>
              </w:rPr>
            </w:pPr>
          </w:p>
        </w:tc>
        <w:tc>
          <w:tcPr>
            <w:tcW w:w="760" w:type="dxa"/>
            <w:vAlign w:val="bottom"/>
            <w:tcBorders>
              <w:bottom w:val="single" w:sz="8" w:color="auto"/>
            </w:tcBorders>
            <w:gridSpan w:val="3"/>
          </w:tcPr>
          <w:p>
            <w:pPr>
              <w:spacing w:after="0"/>
              <w:rPr>
                <w:sz w:val="3"/>
                <w:szCs w:val="3"/>
                <w:color w:val="auto"/>
              </w:rPr>
            </w:pPr>
          </w:p>
        </w:tc>
        <w:tc>
          <w:tcPr>
            <w:tcW w:w="740" w:type="dxa"/>
            <w:vAlign w:val="bottom"/>
            <w:tcBorders>
              <w:bottom w:val="single" w:sz="8" w:color="auto"/>
            </w:tcBorders>
            <w:gridSpan w:val="3"/>
          </w:tcPr>
          <w:p>
            <w:pPr>
              <w:spacing w:after="0"/>
              <w:rPr>
                <w:sz w:val="3"/>
                <w:szCs w:val="3"/>
                <w:color w:val="auto"/>
              </w:rPr>
            </w:pPr>
          </w:p>
        </w:tc>
        <w:tc>
          <w:tcPr>
            <w:tcW w:w="760" w:type="dxa"/>
            <w:vAlign w:val="bottom"/>
            <w:tcBorders>
              <w:bottom w:val="single" w:sz="8" w:color="auto"/>
            </w:tcBorders>
            <w:gridSpan w:val="3"/>
          </w:tcPr>
          <w:p>
            <w:pPr>
              <w:spacing w:after="0"/>
              <w:rPr>
                <w:sz w:val="3"/>
                <w:szCs w:val="3"/>
                <w:color w:val="auto"/>
              </w:rPr>
            </w:pPr>
          </w:p>
        </w:tc>
        <w:tc>
          <w:tcPr>
            <w:tcW w:w="760" w:type="dxa"/>
            <w:vAlign w:val="bottom"/>
            <w:tcBorders>
              <w:bottom w:val="single" w:sz="8" w:color="auto"/>
            </w:tcBorders>
            <w:gridSpan w:val="3"/>
          </w:tcPr>
          <w:p>
            <w:pPr>
              <w:spacing w:after="0"/>
              <w:rPr>
                <w:sz w:val="3"/>
                <w:szCs w:val="3"/>
                <w:color w:val="auto"/>
              </w:rPr>
            </w:pPr>
          </w:p>
        </w:tc>
        <w:tc>
          <w:tcPr>
            <w:tcW w:w="760" w:type="dxa"/>
            <w:vAlign w:val="bottom"/>
            <w:tcBorders>
              <w:bottom w:val="single" w:sz="8" w:color="auto"/>
            </w:tcBorders>
            <w:gridSpan w:val="3"/>
          </w:tcPr>
          <w:p>
            <w:pPr>
              <w:spacing w:after="0"/>
              <w:rPr>
                <w:sz w:val="3"/>
                <w:szCs w:val="3"/>
                <w:color w:val="auto"/>
              </w:rPr>
            </w:pPr>
          </w:p>
        </w:tc>
        <w:tc>
          <w:tcPr>
            <w:tcW w:w="760" w:type="dxa"/>
            <w:vAlign w:val="bottom"/>
            <w:tcBorders>
              <w:bottom w:val="single" w:sz="8" w:color="auto"/>
            </w:tcBorders>
            <w:gridSpan w:val="3"/>
          </w:tcPr>
          <w:p>
            <w:pPr>
              <w:spacing w:after="0"/>
              <w:rPr>
                <w:sz w:val="3"/>
                <w:szCs w:val="3"/>
                <w:color w:val="auto"/>
              </w:rPr>
            </w:pPr>
          </w:p>
        </w:tc>
        <w:tc>
          <w:tcPr>
            <w:tcW w:w="66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14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(unaudited, in thousands)</w:t>
            </w:r>
          </w:p>
        </w:tc>
        <w:tc>
          <w:tcPr>
            <w:tcW w:w="76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Mar 31, 2022</w:t>
            </w:r>
          </w:p>
        </w:tc>
        <w:tc>
          <w:tcPr>
            <w:tcW w:w="74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Jun 30, 2022</w:t>
            </w:r>
          </w:p>
        </w:tc>
        <w:tc>
          <w:tcPr>
            <w:tcW w:w="76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Sep 30, 2022</w:t>
            </w:r>
          </w:p>
        </w:tc>
        <w:tc>
          <w:tcPr>
            <w:tcW w:w="76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Dec 31, 2022</w:t>
            </w:r>
          </w:p>
        </w:tc>
        <w:tc>
          <w:tcPr>
            <w:tcW w:w="76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Mar 31, 2023</w:t>
            </w:r>
          </w:p>
        </w:tc>
        <w:tc>
          <w:tcPr>
            <w:tcW w:w="76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Jun 30, 2023</w:t>
            </w:r>
          </w:p>
        </w:tc>
        <w:tc>
          <w:tcPr>
            <w:tcW w:w="74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Sep 30, 2023</w:t>
            </w:r>
          </w:p>
        </w:tc>
        <w:tc>
          <w:tcPr>
            <w:tcW w:w="76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Dec 31, 2023</w:t>
            </w:r>
          </w:p>
        </w:tc>
        <w:tc>
          <w:tcPr>
            <w:tcW w:w="76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Mar 31, 2024</w:t>
            </w:r>
          </w:p>
        </w:tc>
        <w:tc>
          <w:tcPr>
            <w:tcW w:w="76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Jun 30, 2024</w:t>
            </w:r>
          </w:p>
        </w:tc>
        <w:tc>
          <w:tcPr>
            <w:tcW w:w="76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Sep 30, 2024</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Dec 31, 2024</w:t>
            </w:r>
          </w:p>
        </w:tc>
        <w:tc>
          <w:tcPr>
            <w:tcW w:w="0" w:type="dxa"/>
            <w:vAlign w:val="bottom"/>
          </w:tcPr>
          <w:p>
            <w:pPr>
              <w:spacing w:after="0"/>
              <w:rPr>
                <w:sz w:val="1"/>
                <w:szCs w:val="1"/>
                <w:color w:val="auto"/>
              </w:rPr>
            </w:pPr>
          </w:p>
        </w:tc>
      </w:tr>
      <w:tr>
        <w:trPr>
          <w:trHeight w:val="36"/>
        </w:trPr>
        <w:tc>
          <w:tcPr>
            <w:tcW w:w="14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1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Member support and operations</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1,311</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1,194</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1,146</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1,237</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1,501</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1,311</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1,105</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1,083</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1,063</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1,010</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776</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771</w:t>
            </w:r>
          </w:p>
        </w:tc>
        <w:tc>
          <w:tcPr>
            <w:tcW w:w="0" w:type="dxa"/>
            <w:vAlign w:val="bottom"/>
          </w:tcPr>
          <w:p>
            <w:pPr>
              <w:spacing w:after="0"/>
              <w:rPr>
                <w:sz w:val="1"/>
                <w:szCs w:val="1"/>
                <w:color w:val="auto"/>
              </w:rPr>
            </w:pPr>
          </w:p>
        </w:tc>
      </w:tr>
      <w:tr>
        <w:trPr>
          <w:trHeight w:val="153"/>
        </w:trPr>
        <w:tc>
          <w:tcPr>
            <w:tcW w:w="1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Sales and marketing</w:t>
            </w:r>
          </w:p>
        </w:tc>
        <w:tc>
          <w:tcPr>
            <w:tcW w:w="220" w:type="dxa"/>
            <w:vAlign w:val="bottom"/>
          </w:tcPr>
          <w:p>
            <w:pPr>
              <w:spacing w:after="0"/>
              <w:rPr>
                <w:sz w:val="13"/>
                <w:szCs w:val="13"/>
                <w:color w:val="auto"/>
              </w:rPr>
            </w:pPr>
          </w:p>
        </w:tc>
        <w:tc>
          <w:tcPr>
            <w:tcW w:w="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556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545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549</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456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335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215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186</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275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473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383</w:t>
            </w:r>
          </w:p>
        </w:tc>
        <w:tc>
          <w:tcPr>
            <w:tcW w:w="0" w:type="dxa"/>
            <w:vAlign w:val="bottom"/>
          </w:tcPr>
          <w:p>
            <w:pPr>
              <w:spacing w:after="0"/>
              <w:rPr>
                <w:sz w:val="1"/>
                <w:szCs w:val="1"/>
                <w:color w:val="auto"/>
              </w:rPr>
            </w:pPr>
          </w:p>
        </w:tc>
      </w:tr>
      <w:tr>
        <w:trPr>
          <w:trHeight w:val="36"/>
        </w:trPr>
        <w:tc>
          <w:tcPr>
            <w:tcW w:w="1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1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Technology and development</w:t>
            </w:r>
          </w:p>
        </w:tc>
        <w:tc>
          <w:tcPr>
            <w:tcW w:w="2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2,842</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2,620</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2,666</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2,694</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5,099</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1,864</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1,818</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1,864</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1,567</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2,689</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4,418</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3,749</w:t>
            </w:r>
          </w:p>
        </w:tc>
        <w:tc>
          <w:tcPr>
            <w:tcW w:w="0" w:type="dxa"/>
            <w:vAlign w:val="bottom"/>
          </w:tcPr>
          <w:p>
            <w:pPr>
              <w:spacing w:after="0"/>
              <w:rPr>
                <w:sz w:val="1"/>
                <w:szCs w:val="1"/>
                <w:color w:val="auto"/>
              </w:rPr>
            </w:pPr>
          </w:p>
        </w:tc>
      </w:tr>
      <w:tr>
        <w:trPr>
          <w:trHeight w:val="153"/>
        </w:trPr>
        <w:tc>
          <w:tcPr>
            <w:tcW w:w="1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General and administrative</w:t>
            </w:r>
          </w:p>
        </w:tc>
        <w:tc>
          <w:tcPr>
            <w:tcW w:w="220" w:type="dxa"/>
            <w:vAlign w:val="bottom"/>
          </w:tcPr>
          <w:p>
            <w:pPr>
              <w:spacing w:after="0"/>
              <w:rPr>
                <w:sz w:val="13"/>
                <w:szCs w:val="13"/>
                <w:color w:val="auto"/>
              </w:rPr>
            </w:pPr>
          </w:p>
        </w:tc>
        <w:tc>
          <w:tcPr>
            <w:tcW w:w="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2,754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2,614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2,651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2,589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2,484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2,391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2,449</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1,874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2,320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2,445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4,467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3,214</w:t>
            </w:r>
          </w:p>
        </w:tc>
        <w:tc>
          <w:tcPr>
            <w:tcW w:w="0" w:type="dxa"/>
            <w:vAlign w:val="bottom"/>
          </w:tcPr>
          <w:p>
            <w:pPr>
              <w:spacing w:after="0"/>
              <w:rPr>
                <w:sz w:val="1"/>
                <w:szCs w:val="1"/>
                <w:color w:val="auto"/>
              </w:rPr>
            </w:pPr>
          </w:p>
        </w:tc>
      </w:tr>
      <w:tr>
        <w:trPr>
          <w:trHeight w:val="36"/>
        </w:trPr>
        <w:tc>
          <w:tcPr>
            <w:tcW w:w="14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8"/>
        </w:trPr>
        <w:tc>
          <w:tcPr>
            <w:tcW w:w="1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Total stock-based</w:t>
            </w: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7,463</w:t>
            </w:r>
          </w:p>
        </w:tc>
        <w:tc>
          <w:tcPr>
            <w:tcW w:w="100" w:type="dxa"/>
            <w:vAlign w:val="bottom"/>
            <w:shd w:val="clear" w:color="auto" w:fill="CCEEFF"/>
          </w:tcPr>
          <w:p>
            <w:pPr>
              <w:spacing w:after="0"/>
              <w:rPr>
                <w:sz w:val="11"/>
                <w:szCs w:val="11"/>
                <w:color w:val="auto"/>
              </w:rPr>
            </w:pPr>
          </w:p>
        </w:tc>
        <w:tc>
          <w:tcPr>
            <w:tcW w:w="220" w:type="dxa"/>
            <w:vAlign w:val="bottom"/>
            <w:vMerge w:val="restart"/>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6,973</w:t>
            </w:r>
          </w:p>
        </w:tc>
        <w:tc>
          <w:tcPr>
            <w:tcW w:w="80" w:type="dxa"/>
            <w:vAlign w:val="bottom"/>
            <w:shd w:val="clear" w:color="auto" w:fill="CCEEFF"/>
          </w:tcPr>
          <w:p>
            <w:pPr>
              <w:spacing w:after="0"/>
              <w:rPr>
                <w:sz w:val="11"/>
                <w:szCs w:val="11"/>
                <w:color w:val="auto"/>
              </w:rPr>
            </w:pPr>
          </w:p>
        </w:tc>
        <w:tc>
          <w:tcPr>
            <w:tcW w:w="220" w:type="dxa"/>
            <w:vAlign w:val="bottom"/>
            <w:vMerge w:val="restart"/>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7,012</w:t>
            </w:r>
          </w:p>
        </w:tc>
        <w:tc>
          <w:tcPr>
            <w:tcW w:w="80" w:type="dxa"/>
            <w:vAlign w:val="bottom"/>
            <w:shd w:val="clear" w:color="auto" w:fill="CCEEFF"/>
          </w:tcPr>
          <w:p>
            <w:pPr>
              <w:spacing w:after="0"/>
              <w:rPr>
                <w:sz w:val="11"/>
                <w:szCs w:val="11"/>
                <w:color w:val="auto"/>
              </w:rPr>
            </w:pPr>
          </w:p>
        </w:tc>
        <w:tc>
          <w:tcPr>
            <w:tcW w:w="220" w:type="dxa"/>
            <w:vAlign w:val="bottom"/>
            <w:vMerge w:val="restart"/>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6,902</w:t>
            </w:r>
          </w:p>
        </w:tc>
        <w:tc>
          <w:tcPr>
            <w:tcW w:w="100" w:type="dxa"/>
            <w:vAlign w:val="bottom"/>
            <w:shd w:val="clear" w:color="auto" w:fill="CCEEFF"/>
          </w:tcPr>
          <w:p>
            <w:pPr>
              <w:spacing w:after="0"/>
              <w:rPr>
                <w:sz w:val="11"/>
                <w:szCs w:val="11"/>
                <w:color w:val="auto"/>
              </w:rPr>
            </w:pP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9,540</w:t>
            </w: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5,901</w:t>
            </w:r>
          </w:p>
        </w:tc>
        <w:tc>
          <w:tcPr>
            <w:tcW w:w="100" w:type="dxa"/>
            <w:vAlign w:val="bottom"/>
            <w:shd w:val="clear" w:color="auto" w:fill="CCEEFF"/>
          </w:tcPr>
          <w:p>
            <w:pPr>
              <w:spacing w:after="0"/>
              <w:rPr>
                <w:sz w:val="11"/>
                <w:szCs w:val="11"/>
                <w:color w:val="auto"/>
              </w:rPr>
            </w:pPr>
          </w:p>
        </w:tc>
        <w:tc>
          <w:tcPr>
            <w:tcW w:w="220" w:type="dxa"/>
            <w:vAlign w:val="bottom"/>
            <w:vMerge w:val="restart"/>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5,587</w:t>
            </w:r>
          </w:p>
        </w:tc>
        <w:tc>
          <w:tcPr>
            <w:tcW w:w="80" w:type="dxa"/>
            <w:vAlign w:val="bottom"/>
            <w:shd w:val="clear" w:color="auto" w:fill="CCEEFF"/>
          </w:tcPr>
          <w:p>
            <w:pPr>
              <w:spacing w:after="0"/>
              <w:rPr>
                <w:sz w:val="11"/>
                <w:szCs w:val="11"/>
                <w:color w:val="auto"/>
              </w:rPr>
            </w:pPr>
          </w:p>
        </w:tc>
        <w:tc>
          <w:tcPr>
            <w:tcW w:w="220" w:type="dxa"/>
            <w:vAlign w:val="bottom"/>
            <w:vMerge w:val="restart"/>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5,007</w:t>
            </w:r>
          </w:p>
        </w:tc>
        <w:tc>
          <w:tcPr>
            <w:tcW w:w="80" w:type="dxa"/>
            <w:vAlign w:val="bottom"/>
            <w:shd w:val="clear" w:color="auto" w:fill="CCEEFF"/>
          </w:tcPr>
          <w:p>
            <w:pPr>
              <w:spacing w:after="0"/>
              <w:rPr>
                <w:sz w:val="11"/>
                <w:szCs w:val="11"/>
                <w:color w:val="auto"/>
              </w:rPr>
            </w:pP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5,175</w:t>
            </w:r>
          </w:p>
        </w:tc>
        <w:tc>
          <w:tcPr>
            <w:tcW w:w="100" w:type="dxa"/>
            <w:vAlign w:val="bottom"/>
            <w:shd w:val="clear" w:color="auto" w:fill="CCEEFF"/>
          </w:tcPr>
          <w:p>
            <w:pPr>
              <w:spacing w:after="0"/>
              <w:rPr>
                <w:sz w:val="11"/>
                <w:szCs w:val="11"/>
                <w:color w:val="auto"/>
              </w:rPr>
            </w:pPr>
          </w:p>
        </w:tc>
        <w:tc>
          <w:tcPr>
            <w:tcW w:w="220" w:type="dxa"/>
            <w:vAlign w:val="bottom"/>
            <w:vMerge w:val="restart"/>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6,419</w:t>
            </w:r>
          </w:p>
        </w:tc>
        <w:tc>
          <w:tcPr>
            <w:tcW w:w="10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10,134</w:t>
            </w:r>
          </w:p>
        </w:tc>
        <w:tc>
          <w:tcPr>
            <w:tcW w:w="80" w:type="dxa"/>
            <w:vAlign w:val="bottom"/>
            <w:shd w:val="clear" w:color="auto" w:fill="CCEEFF"/>
          </w:tcPr>
          <w:p>
            <w:pPr>
              <w:spacing w:after="0"/>
              <w:rPr>
                <w:sz w:val="11"/>
                <w:szCs w:val="11"/>
                <w:color w:val="auto"/>
              </w:rPr>
            </w:pPr>
          </w:p>
        </w:tc>
        <w:tc>
          <w:tcPr>
            <w:tcW w:w="220" w:type="dxa"/>
            <w:vAlign w:val="bottom"/>
            <w:vMerge w:val="restart"/>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8,117</w:t>
            </w:r>
          </w:p>
        </w:tc>
        <w:tc>
          <w:tcPr>
            <w:tcW w:w="0" w:type="dxa"/>
            <w:vAlign w:val="bottom"/>
          </w:tcPr>
          <w:p>
            <w:pPr>
              <w:spacing w:after="0"/>
              <w:rPr>
                <w:sz w:val="1"/>
                <w:szCs w:val="1"/>
                <w:color w:val="auto"/>
              </w:rPr>
            </w:pPr>
          </w:p>
        </w:tc>
      </w:tr>
      <w:tr>
        <w:trPr>
          <w:trHeight w:val="155"/>
        </w:trPr>
        <w:tc>
          <w:tcPr>
            <w:tcW w:w="1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compensation expense</w:t>
            </w:r>
          </w:p>
        </w:tc>
        <w:tc>
          <w:tcPr>
            <w:tcW w:w="220" w:type="dxa"/>
            <w:vAlign w:val="bottom"/>
            <w:tcBorders>
              <w:bottom w:val="single" w:sz="8" w:color="CCEEFF"/>
            </w:tcBorders>
            <w:vMerge w:val="continue"/>
            <w:shd w:val="clear" w:color="auto" w:fill="CCEEFF"/>
          </w:tcPr>
          <w:p>
            <w:pPr>
              <w:spacing w:after="0"/>
              <w:rPr>
                <w:sz w:val="13"/>
                <w:szCs w:val="13"/>
                <w:color w:val="auto"/>
              </w:rPr>
            </w:pPr>
          </w:p>
        </w:tc>
        <w:tc>
          <w:tcPr>
            <w:tcW w:w="440" w:type="dxa"/>
            <w:vAlign w:val="bottom"/>
            <w:tcBorders>
              <w:bottom w:val="single" w:sz="8" w:color="CCEEFF"/>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vMerge w:val="continue"/>
            <w:shd w:val="clear" w:color="auto" w:fill="CCEEFF"/>
          </w:tcPr>
          <w:p>
            <w:pPr>
              <w:spacing w:after="0"/>
              <w:rPr>
                <w:sz w:val="13"/>
                <w:szCs w:val="13"/>
                <w:color w:val="auto"/>
              </w:rPr>
            </w:pPr>
          </w:p>
        </w:tc>
        <w:tc>
          <w:tcPr>
            <w:tcW w:w="440" w:type="dxa"/>
            <w:vAlign w:val="bottom"/>
            <w:tcBorders>
              <w:bottom w:val="single" w:sz="8" w:color="CCEEFF"/>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vMerge w:val="continue"/>
            <w:shd w:val="clear" w:color="auto" w:fill="CCEEFF"/>
          </w:tcPr>
          <w:p>
            <w:pPr>
              <w:spacing w:after="0"/>
              <w:rPr>
                <w:sz w:val="13"/>
                <w:szCs w:val="13"/>
                <w:color w:val="auto"/>
              </w:rPr>
            </w:pPr>
          </w:p>
        </w:tc>
        <w:tc>
          <w:tcPr>
            <w:tcW w:w="460" w:type="dxa"/>
            <w:vAlign w:val="bottom"/>
            <w:tcBorders>
              <w:bottom w:val="single" w:sz="8" w:color="CCEEFF"/>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vMerge w:val="continue"/>
            <w:shd w:val="clear" w:color="auto" w:fill="CCEEFF"/>
          </w:tcPr>
          <w:p>
            <w:pPr>
              <w:spacing w:after="0"/>
              <w:rPr>
                <w:sz w:val="13"/>
                <w:szCs w:val="13"/>
                <w:color w:val="auto"/>
              </w:rPr>
            </w:pPr>
          </w:p>
        </w:tc>
        <w:tc>
          <w:tcPr>
            <w:tcW w:w="440" w:type="dxa"/>
            <w:vAlign w:val="bottom"/>
            <w:tcBorders>
              <w:bottom w:val="single" w:sz="8" w:color="CCEEFF"/>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vMerge w:val="continue"/>
            <w:shd w:val="clear" w:color="auto" w:fill="CCEEFF"/>
          </w:tcPr>
          <w:p>
            <w:pPr>
              <w:spacing w:after="0"/>
              <w:rPr>
                <w:sz w:val="13"/>
                <w:szCs w:val="13"/>
                <w:color w:val="auto"/>
              </w:rPr>
            </w:pPr>
          </w:p>
        </w:tc>
        <w:tc>
          <w:tcPr>
            <w:tcW w:w="440" w:type="dxa"/>
            <w:vAlign w:val="bottom"/>
            <w:tcBorders>
              <w:bottom w:val="single" w:sz="8" w:color="CCEEFF"/>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vMerge w:val="continue"/>
            <w:shd w:val="clear" w:color="auto" w:fill="CCEEFF"/>
          </w:tcPr>
          <w:p>
            <w:pPr>
              <w:spacing w:after="0"/>
              <w:rPr>
                <w:sz w:val="13"/>
                <w:szCs w:val="13"/>
                <w:color w:val="auto"/>
              </w:rPr>
            </w:pPr>
          </w:p>
        </w:tc>
        <w:tc>
          <w:tcPr>
            <w:tcW w:w="520" w:type="dxa"/>
            <w:vAlign w:val="bottom"/>
            <w:tcBorders>
              <w:bottom w:val="single" w:sz="8" w:color="CCEEFF"/>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vMerge w:val="continue"/>
            <w:shd w:val="clear" w:color="auto" w:fill="CCEEFF"/>
          </w:tcPr>
          <w:p>
            <w:pPr>
              <w:spacing w:after="0"/>
              <w:rPr>
                <w:sz w:val="13"/>
                <w:szCs w:val="13"/>
                <w:color w:val="auto"/>
              </w:rPr>
            </w:pPr>
          </w:p>
        </w:tc>
        <w:tc>
          <w:tcPr>
            <w:tcW w:w="440" w:type="dxa"/>
            <w:vAlign w:val="bottom"/>
            <w:tcBorders>
              <w:bottom w:val="single" w:sz="8" w:color="CCEEFF"/>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vMerge w:val="continue"/>
            <w:shd w:val="clear" w:color="auto" w:fill="CCEEFF"/>
          </w:tcPr>
          <w:p>
            <w:pPr>
              <w:spacing w:after="0"/>
              <w:rPr>
                <w:sz w:val="13"/>
                <w:szCs w:val="13"/>
                <w:color w:val="auto"/>
              </w:rPr>
            </w:pPr>
          </w:p>
        </w:tc>
        <w:tc>
          <w:tcPr>
            <w:tcW w:w="460" w:type="dxa"/>
            <w:vAlign w:val="bottom"/>
            <w:tcBorders>
              <w:bottom w:val="single" w:sz="8" w:color="CCEEFF"/>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vMerge w:val="continue"/>
            <w:shd w:val="clear" w:color="auto" w:fill="CCEEFF"/>
          </w:tcPr>
          <w:p>
            <w:pPr>
              <w:spacing w:after="0"/>
              <w:rPr>
                <w:sz w:val="13"/>
                <w:szCs w:val="13"/>
                <w:color w:val="auto"/>
              </w:rPr>
            </w:pPr>
          </w:p>
        </w:tc>
        <w:tc>
          <w:tcPr>
            <w:tcW w:w="440" w:type="dxa"/>
            <w:vAlign w:val="bottom"/>
            <w:tcBorders>
              <w:bottom w:val="single" w:sz="8" w:color="CCEEFF"/>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vMerge w:val="continue"/>
            <w:shd w:val="clear" w:color="auto" w:fill="CCEEFF"/>
          </w:tcPr>
          <w:p>
            <w:pPr>
              <w:spacing w:after="0"/>
              <w:rPr>
                <w:sz w:val="13"/>
                <w:szCs w:val="13"/>
                <w:color w:val="auto"/>
              </w:rPr>
            </w:pPr>
          </w:p>
        </w:tc>
        <w:tc>
          <w:tcPr>
            <w:tcW w:w="440" w:type="dxa"/>
            <w:vAlign w:val="bottom"/>
            <w:tcBorders>
              <w:bottom w:val="single" w:sz="8" w:color="CCEEFF"/>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vMerge w:val="continue"/>
            <w:shd w:val="clear" w:color="auto" w:fill="CCEEFF"/>
          </w:tcPr>
          <w:p>
            <w:pPr>
              <w:spacing w:after="0"/>
              <w:rPr>
                <w:sz w:val="13"/>
                <w:szCs w:val="13"/>
                <w:color w:val="auto"/>
              </w:rPr>
            </w:pPr>
          </w:p>
        </w:tc>
        <w:tc>
          <w:tcPr>
            <w:tcW w:w="480" w:type="dxa"/>
            <w:vAlign w:val="bottom"/>
            <w:tcBorders>
              <w:bottom w:val="single" w:sz="8" w:color="CCEEFF"/>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vMerge w:val="continue"/>
            <w:shd w:val="clear" w:color="auto" w:fill="CCEEFF"/>
          </w:tcPr>
          <w:p>
            <w:pPr>
              <w:spacing w:after="0"/>
              <w:rPr>
                <w:sz w:val="13"/>
                <w:szCs w:val="13"/>
                <w:color w:val="auto"/>
              </w:rPr>
            </w:pPr>
          </w:p>
        </w:tc>
        <w:tc>
          <w:tcPr>
            <w:tcW w:w="440" w:type="dxa"/>
            <w:vAlign w:val="bottom"/>
            <w:tcBorders>
              <w:bottom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of our consolidated statements of operations data, for each of the periods presented, as a percentage of revenue: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4"/>
          </w:tcPr>
          <w:p>
            <w:pPr>
              <w:ind w:left="28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620" w:type="dxa"/>
            <w:vAlign w:val="bottom"/>
            <w:vMerge w:val="restart"/>
          </w:tcPr>
          <w:p>
            <w:pPr>
              <w:ind w:left="20"/>
              <w:spacing w:after="0"/>
              <w:rPr>
                <w:sz w:val="20"/>
                <w:szCs w:val="20"/>
                <w:color w:val="auto"/>
              </w:rPr>
            </w:pPr>
            <w:r>
              <w:rPr>
                <w:rFonts w:ascii="Times New Roman" w:cs="Times New Roman" w:eastAsia="Times New Roman" w:hAnsi="Times New Roman"/>
                <w:sz w:val="11"/>
                <w:szCs w:val="11"/>
                <w:i w:val="1"/>
                <w:iCs w:val="1"/>
                <w:color w:val="auto"/>
              </w:rPr>
              <w:t>(unaudited, as a percentage of</w:t>
            </w: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1620" w:type="dxa"/>
            <w:vAlign w:val="bottom"/>
            <w:vMerge w:val="continue"/>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620" w:type="dxa"/>
            <w:vAlign w:val="bottom"/>
            <w:vMerge w:val="continue"/>
          </w:tcPr>
          <w:p>
            <w:pPr>
              <w:spacing w:after="0"/>
              <w:rPr>
                <w:sz w:val="7"/>
                <w:szCs w:val="7"/>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Mar 31, 2022</w:t>
            </w:r>
          </w:p>
        </w:tc>
        <w:tc>
          <w:tcPr>
            <w:tcW w:w="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Jun 30, 2022</w:t>
            </w: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Sep 30, 2022</w:t>
            </w:r>
          </w:p>
        </w:tc>
        <w:tc>
          <w:tcPr>
            <w:tcW w:w="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Dec 31, 2022</w:t>
            </w: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Mar 31, 2023</w:t>
            </w:r>
          </w:p>
        </w:tc>
        <w:tc>
          <w:tcPr>
            <w:tcW w:w="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Jun 30, 2023</w:t>
            </w: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Sep 30, 2023</w:t>
            </w:r>
          </w:p>
        </w:tc>
        <w:tc>
          <w:tcPr>
            <w:tcW w:w="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Dec 31, 2023</w:t>
            </w: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Mar 31, 2024</w:t>
            </w:r>
          </w:p>
        </w:tc>
        <w:tc>
          <w:tcPr>
            <w:tcW w:w="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Jun 30, 2024</w:t>
            </w: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Sep 30, 2024</w:t>
            </w:r>
          </w:p>
        </w:tc>
        <w:tc>
          <w:tcPr>
            <w:tcW w:w="72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Dec 31, 2024</w:t>
            </w:r>
          </w:p>
        </w:tc>
        <w:tc>
          <w:tcPr>
            <w:tcW w:w="0" w:type="dxa"/>
            <w:vAlign w:val="bottom"/>
          </w:tcPr>
          <w:p>
            <w:pPr>
              <w:spacing w:after="0"/>
              <w:rPr>
                <w:sz w:val="1"/>
                <w:szCs w:val="1"/>
                <w:color w:val="auto"/>
              </w:rPr>
            </w:pPr>
          </w:p>
        </w:tc>
      </w:tr>
      <w:tr>
        <w:trPr>
          <w:trHeight w:val="162"/>
        </w:trPr>
        <w:tc>
          <w:tcPr>
            <w:tcW w:w="162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revenue</w:t>
            </w:r>
            <w:r>
              <w:rPr>
                <w:rFonts w:ascii="Times New Roman" w:cs="Times New Roman" w:eastAsia="Times New Roman" w:hAnsi="Times New Roman"/>
                <w:sz w:val="14"/>
                <w:szCs w:val="14"/>
                <w:i w:val="1"/>
                <w:iCs w:val="1"/>
                <w:color w:val="auto"/>
                <w:vertAlign w:val="superscript"/>
              </w:rPr>
              <w:t>(1)</w:t>
            </w:r>
            <w:r>
              <w:rPr>
                <w:rFonts w:ascii="Times New Roman" w:cs="Times New Roman" w:eastAsia="Times New Roman" w:hAnsi="Times New Roman"/>
                <w:sz w:val="11"/>
                <w:szCs w:val="11"/>
                <w:i w:val="1"/>
                <w:iCs w:val="1"/>
                <w:color w:val="auto"/>
              </w:rPr>
              <w:t>)</w:t>
            </w:r>
          </w:p>
        </w:tc>
        <w:tc>
          <w:tcPr>
            <w:tcW w:w="80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Revenue</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0" w:type="dxa"/>
            <w:vAlign w:val="bottom"/>
          </w:tcPr>
          <w:p>
            <w:pPr>
              <w:spacing w:after="0"/>
              <w:rPr>
                <w:sz w:val="1"/>
                <w:szCs w:val="1"/>
                <w:color w:val="auto"/>
              </w:rPr>
            </w:pPr>
          </w:p>
        </w:tc>
      </w:tr>
      <w:tr>
        <w:trPr>
          <w:trHeight w:val="140"/>
        </w:trPr>
        <w:tc>
          <w:tcPr>
            <w:tcW w:w="1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Cost of revenue</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18 %</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25 %</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22 %</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19 %</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18 %</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19 %</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21 %</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11 %</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12 %</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13 %</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13 %</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12 %</w:t>
            </w:r>
          </w:p>
        </w:tc>
        <w:tc>
          <w:tcPr>
            <w:tcW w:w="0" w:type="dxa"/>
            <w:vAlign w:val="bottom"/>
          </w:tcPr>
          <w:p>
            <w:pPr>
              <w:spacing w:after="0"/>
              <w:rPr>
                <w:sz w:val="1"/>
                <w:szCs w:val="1"/>
                <w:color w:val="auto"/>
              </w:rPr>
            </w:pPr>
          </w:p>
        </w:tc>
      </w:tr>
      <w:tr>
        <w:trPr>
          <w:trHeight w:val="22"/>
        </w:trPr>
        <w:tc>
          <w:tcPr>
            <w:tcW w:w="1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Gross profit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82 %</w:t>
            </w: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75 %</w:t>
            </w: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78 %</w:t>
            </w: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81 %</w:t>
            </w: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82 %</w:t>
            </w: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81 %</w:t>
            </w: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79 %</w:t>
            </w: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89 %</w:t>
            </w: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88 %</w:t>
            </w: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87 %</w:t>
            </w: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87 %</w:t>
            </w: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88 %</w:t>
            </w:r>
          </w:p>
        </w:tc>
        <w:tc>
          <w:tcPr>
            <w:tcW w:w="0" w:type="dxa"/>
            <w:vAlign w:val="bottom"/>
          </w:tcPr>
          <w:p>
            <w:pPr>
              <w:spacing w:after="0"/>
              <w:rPr>
                <w:sz w:val="1"/>
                <w:szCs w:val="1"/>
                <w:color w:val="auto"/>
              </w:rPr>
            </w:pPr>
          </w:p>
        </w:tc>
      </w:tr>
      <w:tr>
        <w:trPr>
          <w:trHeight w:val="140"/>
        </w:trPr>
        <w:tc>
          <w:tcPr>
            <w:tcW w:w="1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Operating expenses: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Transaction and risk losses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13 %</w:t>
            </w: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13 %</w:t>
            </w: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13 %</w:t>
            </w: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11 %</w:t>
            </w: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9 %</w:t>
            </w: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11 %</w:t>
            </w: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16 %</w:t>
            </w: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11 %</w:t>
            </w: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9 %</w:t>
            </w: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9 %</w:t>
            </w: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13 %</w:t>
            </w: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20 %</w:t>
            </w:r>
          </w:p>
        </w:tc>
        <w:tc>
          <w:tcPr>
            <w:tcW w:w="0" w:type="dxa"/>
            <w:vAlign w:val="bottom"/>
          </w:tcPr>
          <w:p>
            <w:pPr>
              <w:spacing w:after="0"/>
              <w:rPr>
                <w:sz w:val="1"/>
                <w:szCs w:val="1"/>
                <w:color w:val="auto"/>
              </w:rPr>
            </w:pPr>
          </w:p>
        </w:tc>
      </w:tr>
      <w:tr>
        <w:trPr>
          <w:trHeight w:val="108"/>
        </w:trPr>
        <w:tc>
          <w:tcPr>
            <w:tcW w:w="1620" w:type="dxa"/>
            <w:vAlign w:val="bottom"/>
          </w:tcPr>
          <w:p>
            <w:pPr>
              <w:ind w:left="240"/>
              <w:spacing w:after="0" w:line="108" w:lineRule="exact"/>
              <w:rPr>
                <w:sz w:val="20"/>
                <w:szCs w:val="20"/>
                <w:color w:val="auto"/>
              </w:rPr>
            </w:pPr>
            <w:r>
              <w:rPr>
                <w:rFonts w:ascii="Times New Roman" w:cs="Times New Roman" w:eastAsia="Times New Roman" w:hAnsi="Times New Roman"/>
                <w:sz w:val="11"/>
                <w:szCs w:val="11"/>
                <w:color w:val="auto"/>
              </w:rPr>
              <w:t>Member support and</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30 %</w:t>
            </w:r>
          </w:p>
        </w:tc>
        <w:tc>
          <w:tcPr>
            <w:tcW w:w="10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30 %</w:t>
            </w:r>
          </w:p>
        </w:tc>
        <w:tc>
          <w:tcPr>
            <w:tcW w:w="10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29 %</w:t>
            </w:r>
          </w:p>
        </w:tc>
        <w:tc>
          <w:tcPr>
            <w:tcW w:w="10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27 %</w:t>
            </w:r>
          </w:p>
        </w:tc>
        <w:tc>
          <w:tcPr>
            <w:tcW w:w="10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22 %</w:t>
            </w:r>
          </w:p>
        </w:tc>
        <w:tc>
          <w:tcPr>
            <w:tcW w:w="10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22 %</w:t>
            </w:r>
          </w:p>
        </w:tc>
        <w:tc>
          <w:tcPr>
            <w:tcW w:w="10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22 %</w:t>
            </w:r>
          </w:p>
        </w:tc>
        <w:tc>
          <w:tcPr>
            <w:tcW w:w="10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20 %</w:t>
            </w:r>
          </w:p>
        </w:tc>
        <w:tc>
          <w:tcPr>
            <w:tcW w:w="10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17 %</w:t>
            </w:r>
          </w:p>
        </w:tc>
        <w:tc>
          <w:tcPr>
            <w:tcW w:w="10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18 %</w:t>
            </w:r>
          </w:p>
        </w:tc>
        <w:tc>
          <w:tcPr>
            <w:tcW w:w="10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17 %</w:t>
            </w:r>
          </w:p>
        </w:tc>
        <w:tc>
          <w:tcPr>
            <w:tcW w:w="10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17 %</w:t>
            </w:r>
          </w:p>
        </w:tc>
        <w:tc>
          <w:tcPr>
            <w:tcW w:w="0" w:type="dxa"/>
            <w:vAlign w:val="bottom"/>
          </w:tcPr>
          <w:p>
            <w:pPr>
              <w:spacing w:after="0"/>
              <w:rPr>
                <w:sz w:val="1"/>
                <w:szCs w:val="1"/>
                <w:color w:val="auto"/>
              </w:rPr>
            </w:pPr>
          </w:p>
        </w:tc>
      </w:tr>
      <w:tr>
        <w:trPr>
          <w:trHeight w:val="140"/>
        </w:trPr>
        <w:tc>
          <w:tcPr>
            <w:tcW w:w="162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operations</w:t>
            </w:r>
          </w:p>
        </w:tc>
        <w:tc>
          <w:tcPr>
            <w:tcW w:w="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Sales and marketing</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55 %</w:t>
            </w: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37 %</w:t>
            </w: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41 %</w:t>
            </w: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40 %</w:t>
            </w: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34 %</w:t>
            </w: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33 %</w:t>
            </w: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35 %</w:t>
            </w: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36 %</w:t>
            </w: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30 %</w:t>
            </w: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31 %</w:t>
            </w: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34 %</w:t>
            </w: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30 %</w:t>
            </w:r>
          </w:p>
        </w:tc>
        <w:tc>
          <w:tcPr>
            <w:tcW w:w="0" w:type="dxa"/>
            <w:vAlign w:val="bottom"/>
          </w:tcPr>
          <w:p>
            <w:pPr>
              <w:spacing w:after="0"/>
              <w:rPr>
                <w:sz w:val="1"/>
                <w:szCs w:val="1"/>
                <w:color w:val="auto"/>
              </w:rPr>
            </w:pPr>
          </w:p>
        </w:tc>
      </w:tr>
      <w:tr>
        <w:trPr>
          <w:trHeight w:val="140"/>
        </w:trPr>
        <w:tc>
          <w:tcPr>
            <w:tcW w:w="162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Technology and development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23 %</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24 %</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24 %</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25 %</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22 %</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20 %</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19 %</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20 %</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19 %</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20 %</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19 %</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17 %</w:t>
            </w:r>
          </w:p>
        </w:tc>
        <w:tc>
          <w:tcPr>
            <w:tcW w:w="0" w:type="dxa"/>
            <w:vAlign w:val="bottom"/>
          </w:tcPr>
          <w:p>
            <w:pPr>
              <w:spacing w:after="0"/>
              <w:rPr>
                <w:sz w:val="1"/>
                <w:szCs w:val="1"/>
                <w:color w:val="auto"/>
              </w:rPr>
            </w:pPr>
          </w:p>
        </w:tc>
      </w:tr>
      <w:tr>
        <w:trPr>
          <w:trHeight w:val="22"/>
        </w:trPr>
        <w:tc>
          <w:tcPr>
            <w:tcW w:w="1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General and administrative</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14 %</w:t>
            </w: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23 %</w:t>
            </w: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14 %</w:t>
            </w: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16 %</w:t>
            </w: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13 %</w:t>
            </w: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12 %</w:t>
            </w: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10 %</w:t>
            </w: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14 %</w:t>
            </w: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10 %</w:t>
            </w: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11 %</w:t>
            </w: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11 %</w:t>
            </w: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10 %</w:t>
            </w:r>
          </w:p>
        </w:tc>
        <w:tc>
          <w:tcPr>
            <w:tcW w:w="0" w:type="dxa"/>
            <w:vAlign w:val="bottom"/>
          </w:tcPr>
          <w:p>
            <w:pPr>
              <w:spacing w:after="0"/>
              <w:rPr>
                <w:sz w:val="1"/>
                <w:szCs w:val="1"/>
                <w:color w:val="auto"/>
              </w:rPr>
            </w:pPr>
          </w:p>
        </w:tc>
      </w:tr>
      <w:tr>
        <w:trPr>
          <w:trHeight w:val="140"/>
        </w:trPr>
        <w:tc>
          <w:tcPr>
            <w:tcW w:w="162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1 %</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1 %</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1 %</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1 %</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1 %</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1 %</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1 %</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1 %</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1 %</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1 %</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1 %</w:t>
            </w:r>
          </w:p>
        </w:tc>
        <w:tc>
          <w:tcPr>
            <w:tcW w:w="0" w:type="dxa"/>
            <w:vAlign w:val="bottom"/>
          </w:tcPr>
          <w:p>
            <w:pPr>
              <w:spacing w:after="0"/>
              <w:rPr>
                <w:sz w:val="1"/>
                <w:szCs w:val="1"/>
                <w:color w:val="auto"/>
              </w:rPr>
            </w:pPr>
          </w:p>
        </w:tc>
      </w:tr>
      <w:tr>
        <w:trPr>
          <w:trHeight w:val="22"/>
        </w:trPr>
        <w:tc>
          <w:tcPr>
            <w:tcW w:w="1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6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Total operating expenses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135 %</w:t>
            </w: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128 %</w:t>
            </w: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122 %</w:t>
            </w: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120 %</w:t>
            </w: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101 %</w:t>
            </w: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99 %</w:t>
            </w: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104 %</w:t>
            </w: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101 %</w:t>
            </w: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87 %</w:t>
            </w: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89 %</w:t>
            </w: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95 %</w:t>
            </w: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94 %</w:t>
            </w:r>
          </w:p>
        </w:tc>
        <w:tc>
          <w:tcPr>
            <w:tcW w:w="0" w:type="dxa"/>
            <w:vAlign w:val="bottom"/>
          </w:tcPr>
          <w:p>
            <w:pPr>
              <w:spacing w:after="0"/>
              <w:rPr>
                <w:sz w:val="1"/>
                <w:szCs w:val="1"/>
                <w:color w:val="auto"/>
              </w:rPr>
            </w:pPr>
          </w:p>
        </w:tc>
      </w:tr>
      <w:tr>
        <w:trPr>
          <w:trHeight w:val="140"/>
        </w:trPr>
        <w:tc>
          <w:tcPr>
            <w:tcW w:w="162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Loss from operations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1 %</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0" w:type="dxa"/>
            <w:vAlign w:val="bottom"/>
          </w:tcPr>
          <w:p>
            <w:pPr>
              <w:spacing w:after="0"/>
              <w:rPr>
                <w:sz w:val="1"/>
                <w:szCs w:val="1"/>
                <w:color w:val="auto"/>
              </w:rPr>
            </w:pPr>
          </w:p>
        </w:tc>
      </w:tr>
      <w:tr>
        <w:trPr>
          <w:trHeight w:val="22"/>
        </w:trPr>
        <w:tc>
          <w:tcPr>
            <w:tcW w:w="1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income, net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1 %</w:t>
            </w: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1 %</w:t>
            </w: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1 %</w:t>
            </w: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2 %</w:t>
            </w: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2 %</w:t>
            </w: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3 %</w:t>
            </w: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3 %</w:t>
            </w: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3 %</w:t>
            </w: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3 %</w:t>
            </w: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3 %</w:t>
            </w: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2 %</w:t>
            </w:r>
          </w:p>
        </w:tc>
        <w:tc>
          <w:tcPr>
            <w:tcW w:w="0" w:type="dxa"/>
            <w:vAlign w:val="bottom"/>
          </w:tcPr>
          <w:p>
            <w:pPr>
              <w:spacing w:after="0"/>
              <w:rPr>
                <w:sz w:val="1"/>
                <w:szCs w:val="1"/>
                <w:color w:val="auto"/>
              </w:rPr>
            </w:pPr>
          </w:p>
        </w:tc>
      </w:tr>
      <w:tr>
        <w:trPr>
          <w:trHeight w:val="140"/>
        </w:trPr>
        <w:tc>
          <w:tcPr>
            <w:tcW w:w="1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Income (loss) from operations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4 %</w:t>
            </w:r>
          </w:p>
        </w:tc>
        <w:tc>
          <w:tcPr>
            <w:tcW w:w="10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 %</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22"/>
        </w:trPr>
        <w:tc>
          <w:tcPr>
            <w:tcW w:w="1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99"/>
              </w:rPr>
              <w:t>Provision (benefit) for income taxes</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 %</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 %</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 %</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 %</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 %</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1 %</w:t>
            </w: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140"/>
        </w:trPr>
        <w:tc>
          <w:tcPr>
            <w:tcW w:w="1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income (loss)</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4 %</w:t>
            </w:r>
          </w:p>
        </w:tc>
        <w:tc>
          <w:tcPr>
            <w:tcW w:w="10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 %</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w:t>
      </w:r>
    </w:p>
    <w:p>
      <w:pPr>
        <w:spacing w:after="0" w:line="27" w:lineRule="exact"/>
        <w:rPr>
          <w:sz w:val="20"/>
          <w:szCs w:val="20"/>
          <w:color w:val="auto"/>
        </w:rPr>
      </w:pPr>
    </w:p>
    <w:p>
      <w:pPr>
        <w:ind w:left="320" w:hanging="312"/>
        <w:spacing w:after="0"/>
        <w:tabs>
          <w:tab w:leader="none" w:pos="32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Totals may not foot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240"/>
          </w:cols>
          <w:pgMar w:left="320" w:top="124" w:right="339" w:bottom="1440" w:gutter="0" w:footer="0" w:header="0"/>
        </w:sectPr>
      </w:pPr>
    </w:p>
    <w:bookmarkStart w:id="118" w:name="page119"/>
    <w:bookmarkEnd w:id="118"/>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Trends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Revenue increased sequentially for all quarters presented with the exception of the second quarters of 2023 and 2024, primarily as a result of increases in our Purchase Volume, driven by attracting, engaging, and retaining new Active Members, and expansion of our product offerings. Historically, Purchase Volume has exhibited seasonality, most prominently in the first quarter of each year due to increased spending following our members’ receipt of tax refunds. As a result, we had sequential decreases in our Purchase Volume and total revenue during the second quarters of 2023 and 2024.</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7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On a quarterly basis, cost of revenue fluctuated in the periods presented primarily due to increases in transaction processing and bank partner costs driven by the increase in Active Members and related increase in Purchase Volume as well as cost savings due to favorable renegotiations of our existing arrangements with our principal card network partner, which included higher card network incentives, and both bank partners. As a percentage of revenue, cost of revenue decreased in the fourth quarter of 2023 and for 2024 when compared to the previous quarters presented primarily due to more favorable terms of our arrangement with our principal card network partner that were renegotiated in the fourth quarter of 2023.</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Transaction and risk losses</w:t>
      </w:r>
    </w:p>
    <w:p>
      <w:pPr>
        <w:spacing w:after="0" w:line="17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Transaction and risk losses have trended upwards on an annual basis, but fluctuated during the quarters presented. On a quarterly basis, transaction and risk losses primarily fluctuated due to increases in Purchase Volume, expansion of our product offerings, and enhancements to our risk decisioning platform. As a percentage of revenue, transaction and risk losses generally remained consistent for the periods presented, with the exception of the third quarter of 2023, which saw an increase in risk losses due to an isolated fraud incident, and the third and fourth quarters of 2024, which saw increases in risk losses due to the full launch of MyPay.</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Member support and operations</w:t>
      </w:r>
    </w:p>
    <w:p>
      <w:pPr>
        <w:spacing w:after="0" w:line="173"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On a quarterly basis, member support and operations expenses fluctuated primarily due to increases in physical debit and credit card issuance costs, decreases in costs related to our third-party customer support operations as we achieve operational efficiencies, and increases in personnel-related expenses due to increased headcount as we grow Active Members. Member support and operations expenses as a percentage of revenue generally decreased for the periods presented.</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73"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Sales and marketing expenses have trended upwards on an annual basis, but fluctuated during the quarters presented. On a quarterly basis, sales and marketing expenses fluctuated primarily due to the timing and magnitude of advertising campaigns, brand marketing opportunities, referral bonus activity, and other marketing incentives, as well as increases in personnel-related expenses due to increased headcount. Sales and marketing expenses as a percentage of revenue generally decreased for the periods presented.</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Technology and development</w:t>
      </w:r>
    </w:p>
    <w:p>
      <w:pPr>
        <w:spacing w:after="0" w:line="17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Technology and development expenses have trended upwards on an annual basis, but fluctuated during the quarters presented. On a quarterly basis, technology and development expenses fluctuated primarily due to increases in personnel-related expenses due to increased headcount, increases in software and cloud infrastructure expenses, and increases in consulting fees to improve the Chime platform and support new products. Technology and development expenses as a percentage of revenue generally decreased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220"/>
          </w:cols>
          <w:pgMar w:left="320" w:top="124" w:right="359" w:bottom="1440" w:gutter="0" w:footer="0" w:header="0"/>
        </w:sectPr>
      </w:pPr>
    </w:p>
    <w:bookmarkStart w:id="119" w:name="page120"/>
    <w:bookmarkEnd w:id="119"/>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73"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have trended upwards on an annual basis, but fluctuated during the quarters presented. On a quarterly basis, general and administrative expenses fluctuated due to increases in personnel-related expenses and increases in professional services costs related to legal, tax, accounting, and consulting as we continued to scale our business. General and administrative expenses as a percentage of revenue generally decreased for the periods presented, with the exception of the second quarter of 2022, which was impacted by a one-time real estate impairment charge.</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75" w:lineRule="exact"/>
        <w:rPr>
          <w:sz w:val="20"/>
          <w:szCs w:val="20"/>
          <w:color w:val="auto"/>
        </w:rPr>
      </w:pPr>
    </w:p>
    <w:p>
      <w:pPr>
        <w:jc w:val="both"/>
        <w:ind w:right="340" w:firstLine="324"/>
        <w:spacing w:after="0" w:line="282" w:lineRule="auto"/>
        <w:rPr>
          <w:sz w:val="20"/>
          <w:szCs w:val="20"/>
          <w:color w:val="auto"/>
        </w:rPr>
      </w:pPr>
      <w:r>
        <w:rPr>
          <w:rFonts w:ascii="Times New Roman" w:cs="Times New Roman" w:eastAsia="Times New Roman" w:hAnsi="Times New Roman"/>
          <w:sz w:val="18"/>
          <w:szCs w:val="18"/>
          <w:color w:val="auto"/>
        </w:rPr>
        <w:t>Other income, net generally increased as a result of increase in interest income earned on interest-bearing marketable securities and cash and cash equivalents. Interest income increased primarily due to higher average interest rates earned on our marketable securities and cash and cash equivalents.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Funds</w:t>
      </w:r>
    </w:p>
    <w:p>
      <w:pPr>
        <w:spacing w:after="0" w:line="175"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Since inception, we have financed our operations primarily through the net proceeds we have received from the issuances of preferred stock and our revenue. As of December 31, 2024, our principal sources of liquidity were our cash and cash equivalents of $337.7 million and investments in marketable securities of $368.9 million.</w:t>
      </w:r>
    </w:p>
    <w:p>
      <w:pPr>
        <w:spacing w:after="0" w:line="12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are also party to a credit agreement with certain lenders, which provides for a $125.0 million senior secured credit facility maturing on June 5, 2028 (the “credit facility”). As of December 31, 2024, we had letters of credit outstanding under the credit facility in a face amount of $20.1 million, which resulted in remaining borrowing capacity under the credit facility of $104.9 million. As of December 31, 2024, no funds have been drawn under the credit facility. See Note 11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xml:space="preserve"> within the notes to our consolidated financial statements included elsewhere in this prospectus.</w:t>
      </w:r>
    </w:p>
    <w:p>
      <w:pPr>
        <w:spacing w:after="0" w:line="126" w:lineRule="exact"/>
        <w:rPr>
          <w:sz w:val="20"/>
          <w:szCs w:val="20"/>
          <w:color w:val="auto"/>
        </w:rPr>
      </w:pPr>
    </w:p>
    <w:p>
      <w:pPr>
        <w:ind w:firstLine="324"/>
        <w:spacing w:after="0" w:line="243" w:lineRule="auto"/>
        <w:rPr>
          <w:sz w:val="20"/>
          <w:szCs w:val="20"/>
          <w:color w:val="auto"/>
        </w:rPr>
      </w:pPr>
      <w:r>
        <w:rPr>
          <w:rFonts w:ascii="Times New Roman" w:cs="Times New Roman" w:eastAsia="Times New Roman" w:hAnsi="Times New Roman"/>
          <w:sz w:val="18"/>
          <w:szCs w:val="18"/>
          <w:color w:val="auto"/>
        </w:rPr>
        <w:t>Our bank partners also retain accounts and receivables related to Chime-branded credit and liquidity products on their balance sheet, and pursuant to the Bancorp MSA, Bancorp committed to retain certain receivables on its balance sheet in an amount, not to exceed, on an aggregate basis, 200% of its tier 1 capital, with such amount in connection with liquidity products excluding Credit Builder not to exceed 125% of its tier 1 capital (each as measured on the last day of each calendar quarter).</w:t>
      </w:r>
      <w:r>
        <w:rPr>
          <w:rFonts w:ascii="Times New Roman" w:cs="Times New Roman" w:eastAsia="Times New Roman" w:hAnsi="Times New Roman"/>
          <w:sz w:val="23"/>
          <w:szCs w:val="23"/>
          <w:color w:val="auto"/>
          <w:vertAlign w:val="superscript"/>
        </w:rPr>
        <w:t>63</w:t>
      </w:r>
      <w:r>
        <w:rPr>
          <w:rFonts w:ascii="Times New Roman" w:cs="Times New Roman" w:eastAsia="Times New Roman" w:hAnsi="Times New Roman"/>
          <w:sz w:val="18"/>
          <w:szCs w:val="18"/>
          <w:color w:val="auto"/>
        </w:rPr>
        <w:t xml:space="preserve"> Based on Bancorp’s tier 1 capital as of December 31, 2024, the amount of this commitment would have been approximately $1.8 billion (with such amount in connection with liquidity products excluding Credit Builder not to exceed approximately $1.1 billion). See the section titled “—Liquidity Products.”</w:t>
      </w:r>
    </w:p>
    <w:p>
      <w:pPr>
        <w:spacing w:after="0" w:line="14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believe that our current available cash and cash equivalents and investments in marketable securities will be sufficient to meet our working capital needs for at least the next twelve months. Our future capital requirements and the adequacy of available funds will depend on many factors, including, but not limited to our growth, our ability to attract and retain Active Members, the timing and extent of spending to support our efforts to develop our platform, the growth of liquidity products, including MyPay and SpotMe, the expansion of sales and marketing activities, potential merger and acquisition activity, and other strategic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7145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27" w:lineRule="exact"/>
        <w:rPr>
          <w:sz w:val="20"/>
          <w:szCs w:val="20"/>
          <w:color w:val="auto"/>
        </w:rPr>
      </w:pPr>
    </w:p>
    <w:p>
      <w:pPr>
        <w:ind w:left="340" w:right="480" w:hanging="332"/>
        <w:spacing w:after="0" w:line="302" w:lineRule="auto"/>
        <w:tabs>
          <w:tab w:leader="none" w:pos="320" w:val="left"/>
        </w:tabs>
        <w:numPr>
          <w:ilvl w:val="0"/>
          <w:numId w:val="7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Bancorp's tier 1 capital includes common shareholders’ equity, certain qualifying perpetual preferred stock and minority interests in equity accounts of consolidated subsidiaries, less intangibles.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220"/>
          </w:cols>
          <w:pgMar w:left="320" w:top="124" w:right="35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the generation and use of cash for the periods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94"/>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96"/>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provided by (used in):</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activities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(434,133)</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(156,594)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64,140</w:t>
            </w: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Investing activities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45,659</w:t>
            </w:r>
          </w:p>
        </w:tc>
      </w:tr>
      <w:tr>
        <w:trPr>
          <w:trHeight w:val="234"/>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Financing activities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r>
    </w:tbl>
    <w:p>
      <w:pPr>
        <w:spacing w:after="0" w:line="2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73"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Cash provided by operating activities was $64.1 million for the year ended December 31, 2024, which consisted of a net loss of $25.3 million and an increase in working capital of $104.2 million, offset by non-cash adjustments of $193.7 million. The year-over-year improvement of net loss was a result of increased revenue and a decrease in cost of revenue as described above. The increase in working capital was primarily driven by $33.6 million in settlements of our product obligation, an increase of $43.0 million in product collateral and a $40.3 million increase in accounts receivable primarily due to increases in payments revenue and the full launch of MyPay in 2024. Non-cash adjustments of $193.7 million primarily reflect amounts relating to transaction and risk loss, which include the change in fair value of our product obligation, provision for transaction dispute losses, and provision for credit losses as well as amounts relating to stock-based compensation and depreciation and amortization.</w:t>
      </w:r>
    </w:p>
    <w:p>
      <w:pPr>
        <w:spacing w:after="0" w:line="13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Cash used in operating activities was $156.6 million for the year ended December 31, 2023, which consisted of a net loss of $203.2 million and an increase in working capital of $136.7 million, offset by non-cash adjustments of $183.3 million. The year-over-year improvement of net loss was a result of increased revenue and relatively flat operating expenses as described above. The increase in working capital was primarily driven by $76.3 million in settlements of our product obligation and a $53.3 million increase in accounts receivable due to the timing of payments related to our card network incentives. Non-cash adjustments of $183.3 million primarily reflects amounts relating to transaction and risk loss, which include the change in fair value of our product obligation and provision for transaction dispute losses, as well as amounts relating to stock-based compensation, which remained relatively flat year-over-year.</w:t>
      </w:r>
    </w:p>
    <w:p>
      <w:pPr>
        <w:spacing w:after="0" w:line="135"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Cash used in operating activities was $434.1 million for the year ended December 31, 2022, which consisted of a net loss of $470.3 million and an increase in working capital of $158.9 million, offset by non-cash adjustments of $195.1 million. The increase in working capital was primarily due to $60.4 million in settlements of the product obligation, a $51.3 million decrease in accrued and other liabilities, driven by realized losses on accrued transaction disputes, and a $29.3 million increase in accounts receivable driven by revenue increases. Non-cash adjustments reflect amounts relating to transaction and risk loss, which include the change in fair value of our product obligation and provision for transaction dispute losses, stock-based compensation expense, and impairments of our operating lease right-to-use assets and internal use software.</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73"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2024, cash provided by investing activities was $45.7 million primarily due to $1.7 billion in repayments of loans held for investment, $508.3 million in proceeds from maturities of marketable securities and $193.2 million in proceeds from sales of marketable securities partially offset by purchases of loans held for investment of $1.9 billion, purchases of marketable securities of $497.6 million and the cash consideration paid for the acquisition of Salt Labs of $13.3 million.</w:t>
      </w:r>
    </w:p>
    <w:p>
      <w:pPr>
        <w:spacing w:after="0" w:line="126"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cash provided by investing activities was $167.0 million primarily due to $805.5 million in proceeds from maturities of marketable securities, partially offset by purchases of marketable securities of $610.7 million, capitalization of internal-use software of $17.3 million and purchase of property, equipment and software of $10.5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240"/>
          </w:cols>
          <w:pgMar w:left="320" w:top="124" w:right="339" w:bottom="1440" w:gutter="0" w:footer="0" w:header="0"/>
        </w:sectPr>
      </w:pPr>
    </w:p>
    <w:bookmarkStart w:id="121" w:name="page122"/>
    <w:bookmarkEnd w:id="121"/>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2022, cash provided by investing activities was $150.5 million primarily due to $650.2 million in proceeds from maturities of marketable securities, partially offset by purchases of marketable securities of $426.7 million, purchase of property, equipment and software of $48.7 million and capitalization of internal-use software of $24.2 million.</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73" w:lineRule="exact"/>
        <w:rPr>
          <w:sz w:val="20"/>
          <w:szCs w:val="20"/>
          <w:color w:val="auto"/>
        </w:rPr>
      </w:pPr>
    </w:p>
    <w:p>
      <w:pPr>
        <w:jc w:val="both"/>
        <w:ind w:right="320" w:firstLine="324"/>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cash provided by financing activities was $0.5 million primarily due to proceeds from the exercise of stock options of $1.4 million, partially offset by repurchases of common stock of $1.0 million.</w:t>
      </w:r>
    </w:p>
    <w:p>
      <w:pPr>
        <w:spacing w:after="0" w:line="108"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cash provided by financing activities was $0.8 million primarily due to proceeds from the exercise of stock options of $1.7 million, partially offset by the payment of debt issuance costs related to our Credit Facility of $0.8 million and repurchases of common stock of $0.1 million.</w:t>
      </w:r>
    </w:p>
    <w:p>
      <w:pPr>
        <w:spacing w:after="0" w:line="122" w:lineRule="exact"/>
        <w:rPr>
          <w:sz w:val="20"/>
          <w:szCs w:val="20"/>
          <w:color w:val="auto"/>
        </w:rPr>
      </w:pPr>
    </w:p>
    <w:p>
      <w:pPr>
        <w:jc w:val="both"/>
        <w:ind w:right="320" w:firstLine="324"/>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2022, cash provided by financing activities was $1.0 million primarily due to proceeds from the exercise of stock options of $1.5 million, partially offset by repurchases of common stock of $0.5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5"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 xml:space="preserve">As of December 31, 2024, we had future minimum operating lease payments under non-cancelable leases of $115.3 million related to leases we have recognized on our consolidated balance sheet, which are due over the following 7.1 years. Of the non-cancelable lease payments, $20.1 million is payable within 12 months. For additional discussion on our operating leases, see Note 18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within the notes to our consolidated financial statements included elsewhere in this prospectus.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75" w:lineRule="exact"/>
        <w:rPr>
          <w:sz w:val="20"/>
          <w:szCs w:val="20"/>
          <w:color w:val="auto"/>
        </w:rPr>
      </w:pPr>
    </w:p>
    <w:p>
      <w:pPr>
        <w:ind w:right="80" w:firstLine="324"/>
        <w:spacing w:after="0" w:line="277" w:lineRule="auto"/>
        <w:rPr>
          <w:sz w:val="20"/>
          <w:szCs w:val="20"/>
          <w:color w:val="auto"/>
        </w:rPr>
      </w:pPr>
      <w:r>
        <w:rPr>
          <w:rFonts w:ascii="Times New Roman" w:cs="Times New Roman" w:eastAsia="Times New Roman" w:hAnsi="Times New Roman"/>
          <w:sz w:val="17"/>
          <w:szCs w:val="17"/>
          <w:color w:val="auto"/>
        </w:rPr>
        <w:t xml:space="preserve">Our non-cancellable purchase commitments are primarily related to cloud infrastructure services and our third-party payment processor. As of December 31, 2024, we had non-cancellable purchase obligations of $283.7 million, with $84.8 million to be paid within 12 months and the remainder thereafter. In February 2025, we signed an amendment with our third-party payment processor that modifies the terms of our existing agreement to remove certain minimum monthly payments and provides for the payment of an $18 million termination fee by us in March 2026. For additional information on this amendment, see Note 19 — </w:t>
      </w:r>
      <w:r>
        <w:rPr>
          <w:rFonts w:ascii="Times New Roman" w:cs="Times New Roman" w:eastAsia="Times New Roman" w:hAnsi="Times New Roman"/>
          <w:sz w:val="17"/>
          <w:szCs w:val="17"/>
          <w:i w:val="1"/>
          <w:iCs w:val="1"/>
          <w:color w:val="auto"/>
        </w:rPr>
        <w:t>Subsequent Events</w:t>
      </w:r>
      <w:r>
        <w:rPr>
          <w:rFonts w:ascii="Times New Roman" w:cs="Times New Roman" w:eastAsia="Times New Roman" w:hAnsi="Times New Roman"/>
          <w:sz w:val="17"/>
          <w:szCs w:val="17"/>
          <w:color w:val="auto"/>
        </w:rPr>
        <w:t xml:space="preserve"> within the notes to our consolidated financial statements included elsewhere in this prospectus.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financial statements, which have been prepared in accordance with GAAP. GAAP requires us to make certain estimates and judgments that affect the amounts reported in our financial statements. We base our estimates on historical experience, anticipated future trends, and other assumptions we believe to be reasonable under the circumstances. Because these accounting policies require significant judgment, our actual results may differ materially from our estimates.</w:t>
      </w:r>
    </w:p>
    <w:p>
      <w:pPr>
        <w:spacing w:after="0" w:line="12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believe that of our significant accounting policies, which are described in Note 2 to our consolidated financial statements included elsewhere in this prospectus, the following accounting policies involve a greater degree of judgment and complexity. Accordingly, these are the policies we believe are the most critical to aid in fully understanding and evaluating our consolidated financial condition, results of operations, and cash flows.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The application of accounting principles under GAAP related to the recognition and measurement of revenue requires us to make judgments and estimates. When dealing with customer arrangements involving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240"/>
          </w:cols>
          <w:pgMar w:left="320" w:top="124" w:right="339" w:bottom="1440" w:gutter="0" w:footer="0" w:header="0"/>
        </w:sectPr>
      </w:pPr>
    </w:p>
    <w:bookmarkStart w:id="122" w:name="page123"/>
    <w:bookmarkEnd w:id="122"/>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significant judgment is needed to determine whether we act as the principal, reporting revenue on a gross basis, or as the agent, reporting revenue on a net basis. In making this assessment, we evaluate whether we obtain control of the specified goods or services before transferring them to the customer. Any changes in these judgments and estimates could impact the amount of revenue recognized.</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Product Obligation</w:t>
      </w:r>
    </w:p>
    <w:p>
      <w:pPr>
        <w:spacing w:after="0" w:line="175" w:lineRule="exact"/>
        <w:rPr>
          <w:sz w:val="20"/>
          <w:szCs w:val="20"/>
          <w:color w:val="auto"/>
        </w:rPr>
      </w:pPr>
    </w:p>
    <w:p>
      <w:pPr>
        <w:ind w:right="180" w:firstLine="324"/>
        <w:spacing w:after="0" w:line="274" w:lineRule="auto"/>
        <w:rPr>
          <w:sz w:val="20"/>
          <w:szCs w:val="20"/>
          <w:color w:val="auto"/>
        </w:rPr>
      </w:pPr>
      <w:r>
        <w:rPr>
          <w:rFonts w:ascii="Times New Roman" w:cs="Times New Roman" w:eastAsia="Times New Roman" w:hAnsi="Times New Roman"/>
          <w:sz w:val="17"/>
          <w:szCs w:val="17"/>
          <w:color w:val="auto"/>
        </w:rPr>
        <w:t xml:space="preserve">Our product obligation represents expected remaining future cash flows at period end relating to our off-balance sheet receivables from MyPay, SpotMe, as well as other instances where a member’s account is overdrawn, and is payable to our bank partners. This obligation is accounted for as a derivative, initially measured at fair value and subsequently marked-to-market at each reporting period. Since there are no readily observable inputs, product obligation is classified as a Level 3 liability in the fair value hierarchy. Estimating its fair value requires significant judgment and involves use of unobservable inputs, such as the discount rate and expected loss rate. See Note 2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Basis of Presentation and Summary of Significant Accounting Policies</w:t>
      </w:r>
      <w:r>
        <w:rPr>
          <w:rFonts w:ascii="Times New Roman" w:cs="Times New Roman" w:eastAsia="Times New Roman" w:hAnsi="Times New Roman"/>
          <w:sz w:val="17"/>
          <w:szCs w:val="17"/>
          <w:color w:val="auto"/>
        </w:rPr>
        <w:t xml:space="preserve"> and Note 4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Fair Value Measurement</w:t>
      </w:r>
      <w:r>
        <w:rPr>
          <w:rFonts w:ascii="Times New Roman" w:cs="Times New Roman" w:eastAsia="Times New Roman" w:hAnsi="Times New Roman"/>
          <w:sz w:val="17"/>
          <w:szCs w:val="17"/>
          <w:color w:val="auto"/>
        </w:rPr>
        <w:t xml:space="preserve"> within the notes to our consolidated financial statements included elsewhere in this prospectus for further details.</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Accrued Transaction Dispute Losses</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We establish an accrual for estimated losses due to transaction disputes, which represent a potential loss due to member-initiated transaction disputes or due to processing a fraudulent transaction. The accrual is estimated based on available data as of the reporting date, including expected disputes on processed transactions, and historical loss rates. Additions to the accrual are reflected in transaction and risk losses in the consolidated statements of operations while realized losses are offset against the accrual. The accrual for estimated transaction dispute losses is included within accrued and other current liabilities in the consolidated balance sheets. See Note 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Basis of Presentation and Summary of Significant Accounting Policies</w:t>
      </w:r>
      <w:r>
        <w:rPr>
          <w:rFonts w:ascii="Times New Roman" w:cs="Times New Roman" w:eastAsia="Times New Roman" w:hAnsi="Times New Roman"/>
          <w:sz w:val="18"/>
          <w:szCs w:val="18"/>
          <w:color w:val="auto"/>
        </w:rPr>
        <w:t xml:space="preserve"> and Note 10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Significant Balance Sheet Components </w:t>
      </w:r>
      <w:r>
        <w:rPr>
          <w:rFonts w:ascii="Times New Roman" w:cs="Times New Roman" w:eastAsia="Times New Roman" w:hAnsi="Times New Roman"/>
          <w:sz w:val="18"/>
          <w:szCs w:val="18"/>
          <w:color w:val="auto"/>
        </w:rPr>
        <w:t>within the notes to our consolidated financial statements included elsewhere in this prospectus for further details.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Allowance for Expected Credit Losses</w:t>
      </w:r>
    </w:p>
    <w:p>
      <w:pPr>
        <w:spacing w:after="0" w:line="175"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amount of the allowance for expected credit losses represents management’s estimate of expected credit losses over the remaining expected life of our financial assets measured at amortized cost considering available information from internal and external sources. The allowance for expected credit losses is primarily related to expected losses on our loans held for investment.</w:t>
      </w:r>
    </w:p>
    <w:p>
      <w:pPr>
        <w:spacing w:after="0" w:line="12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allowance for expected credit losses on loans held for investment reflects our estimate of uncollectible balances resulting from credit losses and is based on the determination of the amount of lifetime expected credit losses inherent in the loans held for investment as of the reporting date. We measure the allowance for expected credit losses based on a discounted cash flow method, which estimates future cash flows using the roll rate method. The primary area of judgment is the expected loss rates, including how indicative historical losses are of future losses.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75"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We allocate the fair value of the purchase price to the tangible and intangible assets acquired and liabilities assumed based on their estimated fair values. The excess of the fair value of the purchase price over the fair values of these identifiable assets and liabilities is recorded as goodwill. When determining the fair values, management makes significant estimates and assumptions, especially with respect to intangible assets. Significant estimates in valuing certain intangible assets include, but are not limited to the cost and time associated with recreating acquired technology, useful lives, and discount rates. Management's estimates of fair value are based upon assumptions believed to be reasonable, but which are inherently uncertain and unpredictable and, as a result, actual results might differ from estimates.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5"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We measure compensation expense for all stock-based payment awards, including stock options and RSUs, granted to employees, directors, and other service providers, based on the estimated fair value of the awards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240"/>
          </w:cols>
          <w:pgMar w:left="320" w:top="124" w:right="339" w:bottom="1440" w:gutter="0" w:footer="0" w:header="0"/>
        </w:sectPr>
      </w:pPr>
    </w:p>
    <w:bookmarkStart w:id="123" w:name="page124"/>
    <w:bookmarkEnd w:id="123"/>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date of grant. The most significant input in determining the fair value of a stock option is the estimated fair value of our common stock. The estimated fair value of our common stock is also used to measure the grant date fair value of RSUs, PSUs and RSAs.</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73"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We estimate the fair value of stock options granted to employees using the Black-Scholes option-pricing model on the date of grant. The fair value of stock options with service-based vesting conditions is recognized as compensation expense on a straight-line basis over the requisite service period. The Black-Scholes option-pricing model requires the input of subjective assumptions including the following:</w:t>
      </w:r>
    </w:p>
    <w:p>
      <w:pPr>
        <w:spacing w:after="0" w:line="120" w:lineRule="exact"/>
        <w:rPr>
          <w:sz w:val="20"/>
          <w:szCs w:val="20"/>
          <w:color w:val="auto"/>
        </w:rPr>
      </w:pPr>
    </w:p>
    <w:p>
      <w:pPr>
        <w:ind w:left="660" w:right="20" w:hanging="328"/>
        <w:spacing w:after="0" w:line="284" w:lineRule="auto"/>
        <w:tabs>
          <w:tab w:leader="none" w:pos="6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Fair value of common stock. </w:t>
      </w:r>
      <w:r>
        <w:rPr>
          <w:rFonts w:ascii="Times New Roman" w:cs="Times New Roman" w:eastAsia="Times New Roman" w:hAnsi="Times New Roman"/>
          <w:sz w:val="18"/>
          <w:szCs w:val="18"/>
          <w:color w:val="auto"/>
        </w:rPr>
        <w:t>Because our common stock is not yet publicly traded, we are required to estimate the fair value of our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discussed in the section titled “—Common Stock Valuations” below.</w:t>
      </w:r>
    </w:p>
    <w:p>
      <w:pPr>
        <w:spacing w:after="0" w:line="104" w:lineRule="exact"/>
        <w:rPr>
          <w:rFonts w:ascii="Times New Roman" w:cs="Times New Roman" w:eastAsia="Times New Roman" w:hAnsi="Times New Roman"/>
          <w:sz w:val="18"/>
          <w:szCs w:val="18"/>
          <w:color w:val="auto"/>
        </w:rPr>
      </w:pPr>
    </w:p>
    <w:p>
      <w:pPr>
        <w:ind w:left="660" w:right="60" w:hanging="328"/>
        <w:spacing w:after="0" w:line="258" w:lineRule="auto"/>
        <w:tabs>
          <w:tab w:leader="none" w:pos="6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As a result of the lack of historical and implied volatility data of our common stock, the expected stock price volatility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estimated based on the historical volatilities of a specified group of companies in our industry for a period equal to the expected life of the option. We selected companies with comparable characteristics to us, including enterprise value, risk profiles, and position within the industry and with historical share price information sufficient to meet the expected term of the stock options. The historical volatility data has been computed using the daily closing prices for the selected companies.</w:t>
      </w:r>
    </w:p>
    <w:p>
      <w:pPr>
        <w:spacing w:after="0" w:line="129" w:lineRule="exact"/>
        <w:rPr>
          <w:rFonts w:ascii="Times New Roman" w:cs="Times New Roman" w:eastAsia="Times New Roman" w:hAnsi="Times New Roman"/>
          <w:sz w:val="18"/>
          <w:szCs w:val="18"/>
          <w:color w:val="auto"/>
        </w:rPr>
      </w:pPr>
    </w:p>
    <w:p>
      <w:pPr>
        <w:ind w:left="660" w:right="160" w:hanging="328"/>
        <w:spacing w:after="0" w:line="267" w:lineRule="auto"/>
        <w:tabs>
          <w:tab w:leader="none" w:pos="6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The expected term of stock options represents the weighted-average period the stock options are expected to remain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is based on the stock options’ vesting terms and contractual terms, estimated employee termination behavior, and potential future stock price outcomes.</w:t>
      </w:r>
    </w:p>
    <w:p>
      <w:pPr>
        <w:spacing w:after="0" w:line="119" w:lineRule="exact"/>
        <w:rPr>
          <w:rFonts w:ascii="Times New Roman" w:cs="Times New Roman" w:eastAsia="Times New Roman" w:hAnsi="Times New Roman"/>
          <w:sz w:val="18"/>
          <w:szCs w:val="18"/>
          <w:color w:val="auto"/>
        </w:rPr>
      </w:pPr>
    </w:p>
    <w:p>
      <w:pPr>
        <w:ind w:left="660" w:right="180" w:hanging="328"/>
        <w:spacing w:after="0" w:line="284" w:lineRule="auto"/>
        <w:tabs>
          <w:tab w:leader="none" w:pos="6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Risk-free rate. </w:t>
      </w:r>
      <w:r>
        <w:rPr>
          <w:rFonts w:ascii="Times New Roman" w:cs="Times New Roman" w:eastAsia="Times New Roman" w:hAnsi="Times New Roman"/>
          <w:sz w:val="18"/>
          <w:szCs w:val="18"/>
          <w:color w:val="auto"/>
        </w:rPr>
        <w:t>The expected risk-free rate assumption is based on the U.S. Treasury instruments whose term is consistent with the expected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stock options.</w:t>
      </w:r>
    </w:p>
    <w:p>
      <w:pPr>
        <w:spacing w:after="0" w:line="104" w:lineRule="exact"/>
        <w:rPr>
          <w:rFonts w:ascii="Times New Roman" w:cs="Times New Roman" w:eastAsia="Times New Roman" w:hAnsi="Times New Roman"/>
          <w:sz w:val="18"/>
          <w:szCs w:val="18"/>
          <w:color w:val="auto"/>
        </w:rPr>
      </w:pPr>
    </w:p>
    <w:p>
      <w:pPr>
        <w:ind w:left="660" w:right="600" w:hanging="328"/>
        <w:spacing w:after="0" w:line="284" w:lineRule="auto"/>
        <w:tabs>
          <w:tab w:leader="none" w:pos="6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dividend yield. </w:t>
      </w:r>
      <w:r>
        <w:rPr>
          <w:rFonts w:ascii="Times New Roman" w:cs="Times New Roman" w:eastAsia="Times New Roman" w:hAnsi="Times New Roman"/>
          <w:sz w:val="18"/>
          <w:szCs w:val="18"/>
          <w:color w:val="auto"/>
        </w:rPr>
        <w:t>The expected dividend assumption is based on our history and expectation of dividend payouts. We have not paid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and do not expect to do so in the foreseeable future, and as such, the dividend yield has been estimated to be zero.</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RSUs</w:t>
      </w:r>
    </w:p>
    <w:p>
      <w:pPr>
        <w:spacing w:after="0" w:line="173"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We have granted RSUs to our employees and non-employee service providers under our 2012 Plan. RSUs outstanding as of December 31, 2024 have both service-based and liquidity-based vesting conditions. The service-based vesting period for these awards is typically four years. Upon satisfaction of the liquidity-based vesting condition, RSUs for which the service-based vesting condition has also been satisfied will vest immediately, and any remaining unvested RSUs will vest ratably over the remaining service period. The liquidity-based vesting condition is generally satisfied upon the occurrence of a change in control event or the effective date of the registration statement of which this prospectus forms a part.</w:t>
      </w:r>
    </w:p>
    <w:p>
      <w:pPr>
        <w:spacing w:after="0" w:line="1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2024, all stock-based compensation expense related to RSUs remained unrecognized because the liquidity-based vesting condition was not satisfied. If our IPO had occurred on December 31, 2024, we would have recognized $749.0 million of stock-based compensation expense for RSUs that had satisfied or partially satisfied the service-based vesting condition on that date, calculated using the accelerated attribution method, and would have approximately $202.1 million of unrecognized compensation cost that represents the grants that have not met the service-based vesting condition as of December 31, 2024. The unrecognized compensation cost would be expected to be recognized over a weighted average period of 1.8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240"/>
          </w:cols>
          <w:pgMar w:left="320" w:top="124" w:right="339" w:bottom="1440" w:gutter="0" w:footer="0" w:header="0"/>
        </w:sectPr>
      </w:pPr>
    </w:p>
    <w:bookmarkStart w:id="124" w:name="page125"/>
    <w:bookmarkEnd w:id="124"/>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PSUs</w:t>
      </w:r>
    </w:p>
    <w:p>
      <w:pPr>
        <w:spacing w:after="0" w:line="173"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our acquisition of Salt Labs, certain employees are eligible to earn performance-based restricted stock units. The PSUs vest based upon the achievement of designated operational metrics, continued employment, and upon the occurrence of a liquidity event.</w:t>
      </w:r>
    </w:p>
    <w:p>
      <w:pPr>
        <w:spacing w:after="0" w:line="10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2024, all stock-based compensation expense related to PSUs remained unrecognized because the liquidity-based vesting condition was not satisfied. If our IPO had occurred on December 31, 2024, we would have recognized $1.5 million of stock-based compensation expense for PSUs expected to vest under the operational performance-based vesting conditions and that had satisfied or partially satisfied the service-based vesting condition on that date, calculated using the accelerated attribution method, and would have approximately $8.1 million of unrecognized compensation cost that represents the grants that have not met the service-based vesting condition as of December 31, 2024.</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RSAs</w:t>
      </w:r>
    </w:p>
    <w:p>
      <w:pPr>
        <w:spacing w:after="0" w:line="173"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During 2024, we granted restricted stock awards (“RSAs”) to employees. The RSAs consist of awards with a service-based vesting condition and awards with both service-based and performance-based vesting conditions. RSAs are measured at fair value of the underlying common stock on the date of grant. For awards with only service-based vesting conditions, we record compensation cost for these awards using the straight-line method over the requisite service period. Awards with performance-based vesting conditions vest upon the achievement of designated operational metrics and continued employment at the time when the performance condition is achieved. We recognize compensation cost for performance-based RSAs based on the accelerated attribution method when the performance condition is considered probable to be satisfied.</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Common Stock Valuations</w:t>
      </w:r>
    </w:p>
    <w:p>
      <w:pPr>
        <w:spacing w:after="0" w:line="175"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Prior to this offering, given the absence of a public trading market for our common stock, our board of directors exercised reasonable judgment and considered numerous objective and subjective factors to determine the best estimate of fair value of our common stock. These factors included:</w:t>
      </w:r>
    </w:p>
    <w:p>
      <w:pPr>
        <w:spacing w:after="0" w:line="108" w:lineRule="exact"/>
        <w:rPr>
          <w:sz w:val="20"/>
          <w:szCs w:val="20"/>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observed secondary sales of common and redeemable convertible preferred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the Company’s principal market;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contemporaneous valuations performed at periodic intervals by unrelated third-party specialists;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preferences, and privileges of the Company’s redeemable convertible preferred stock relative to those of its common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actual operating and financial performance;</w:t>
      </w:r>
    </w:p>
    <w:p>
      <w:pPr>
        <w:spacing w:after="0" w:line="17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likelihood of achieving a liquidity event, such as an initial public offering or a sale of the Company given prevailing market conditions and the nature and history of its business;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multiples of comparable companies in its industry;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stage of development;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information such as market size and growth;</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illiquidity of stock-based awards involving securities in a private company;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w:t>
      </w:r>
    </w:p>
    <w:p>
      <w:pPr>
        <w:spacing w:after="0" w:line="171"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In estimating the value of our common stock, we evaluate any secondary transactions involving our capital stock. In our evaluation of those transactions, we considered the facts and circumstances of each transaction to determine the extent to which they represented a fair value exchange and assigned the transactions an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200"/>
          </w:cols>
          <w:pgMar w:left="320" w:top="124" w:right="379" w:bottom="1440" w:gutter="0" w:footer="0" w:header="0"/>
        </w:sectPr>
      </w:pPr>
    </w:p>
    <w:bookmarkStart w:id="125" w:name="page126"/>
    <w:bookmarkEnd w:id="125"/>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weighting in the valuation of our common stock. Factors considered include the number of different buyers and sellers, transaction volume, timing relative to the valuation date, whether the transactions occurred between willing and unrelated parties, and whether the transactions involved investors with access to our financial information.</w:t>
      </w:r>
    </w:p>
    <w:p>
      <w:pPr>
        <w:spacing w:after="0" w:line="12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Historically, we have also used both the income and the market approach valuation methods to determine the enterprise value of our business. The income approach estimates fair value based on the expectation of future cash flows that a company will generate. These future cash flows are discounted to their present values using a discount rate based on the venture capital rates of return and is adjusted to reflect the risks inherent in our cash flows. The market approach estimates fair value based on a comparison of the subject company to comparable public companies in a similar line of business. From the comparable companies, a representative market value multiple is determined and then applied to the subject company’s financial forecasts to estimate the value of the subject company.</w:t>
      </w:r>
    </w:p>
    <w:p>
      <w:pPr>
        <w:spacing w:after="0" w:line="133"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In allocating the enterprise value of our business among the various classes of stock prior, we primarily used the option pricing method (“OPM”) and to a lesser extent, the probability-weighted expected return method (“PWERM”). The OPM models each class of stock as a call option with a unique claim on our assets. The PWERM estimates the fair value of common stock based on an analysis of future values for the enterprise.</w:t>
      </w:r>
    </w:p>
    <w:p>
      <w:pPr>
        <w:spacing w:after="0" w:line="122"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After the allocation to the various classes of stock, a discount for lack of marketability (“DLOM”), is applied to arrive at a fair value of the common stock. A DLOM is meant to account for the lack of marketability of a stock that is not traded on public exchanges.</w:t>
      </w:r>
    </w:p>
    <w:p>
      <w:pPr>
        <w:spacing w:after="0" w:line="108"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Application of these approaches involves the use of estimates, judgments, and assumptions that are highly complex and subjective, such as those regarding our expected future revenue, expenses and future cash flows, discount rates, market multiples, the selection of comparable companies, and the probability of possible future events. Changes in any or all of these estimates and assumptions or the relationships between those assumptions impact our valuations as of each valuation date and may have a material impact on the valuation of our common stock.</w:t>
      </w:r>
    </w:p>
    <w:p>
      <w:pPr>
        <w:spacing w:after="0" w:line="126"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auto"/>
        </w:rPr>
        <w:t>For valuations after the completion of this offering, the board of directors will determine the fair value of each share of underlying common stock based on the closing price of our common stock as reported on the date of grant. Future expense amounts for any particular period could be affected by changes in our assumptions or market conditions.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1" w:lineRule="exact"/>
        <w:rPr>
          <w:sz w:val="20"/>
          <w:szCs w:val="20"/>
          <w:color w:val="auto"/>
        </w:rPr>
      </w:pPr>
    </w:p>
    <w:p>
      <w:pPr>
        <w:ind w:right="140" w:firstLine="324"/>
        <w:spacing w:after="0" w:line="268" w:lineRule="auto"/>
        <w:rPr>
          <w:sz w:val="20"/>
          <w:szCs w:val="20"/>
          <w:color w:val="auto"/>
        </w:rPr>
      </w:pPr>
      <w:r>
        <w:rPr>
          <w:rFonts w:ascii="Times New Roman" w:cs="Times New Roman" w:eastAsia="Times New Roman" w:hAnsi="Times New Roman"/>
          <w:sz w:val="18"/>
          <w:szCs w:val="18"/>
          <w:color w:val="auto"/>
        </w:rPr>
        <w:t xml:space="preserve">For a discussion of recently adopted accounting pronouncements and recently issued accounting pronouncements not yet adopted, see Note 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Basis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Presentation and Summary of Significant Accounting Policies </w:t>
      </w:r>
      <w:r>
        <w:rPr>
          <w:rFonts w:ascii="Times New Roman" w:cs="Times New Roman" w:eastAsia="Times New Roman" w:hAnsi="Times New Roman"/>
          <w:sz w:val="18"/>
          <w:szCs w:val="18"/>
          <w:color w:val="auto"/>
        </w:rPr>
        <w:t>within the notes to our consolidated financial statements included elsewhere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 About Market Risk</w:t>
      </w:r>
    </w:p>
    <w:p>
      <w:pPr>
        <w:spacing w:after="0" w:line="175"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We are exposed to different risks arising from our activities. We have operations both within the United States and Canada, and we are exposed to market risks in the ordinary course of our business, including the effects of interest rate changes and foreign currency fluctuations. Information relating to quantitative and qualitative disclosures about these market risks is described below.</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Sensitivity</w:t>
      </w:r>
    </w:p>
    <w:p>
      <w:pPr>
        <w:spacing w:after="0" w:line="17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Our cash and cash equivalents, and marketable debt securities as of December 31, 2024, were held primarily in cash deposits, money market funds, and U.S. government and agency securities. The fair value of our cash, cash equivalents, and marketable debt securities would not be significantly affected by either an increase or decrease in interest rates due mainly to the short-term nature of a majority of these instruments. Additionally, we have the ability to hold these instruments until maturity if necessary to reduce our risk. A hypothetical 100 basis point increase or decrease in interest rates would not have a material effect on our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200"/>
          </w:cols>
          <w:pgMar w:left="320" w:top="124" w:right="379" w:bottom="1440" w:gutter="0" w:footer="0" w:header="0"/>
        </w:sectPr>
      </w:pPr>
    </w:p>
    <w:bookmarkStart w:id="126" w:name="page127"/>
    <w:bookmarkEnd w:id="126"/>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7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All of our revenue is earned in U.S. dollars, and therefore our revenue is not subject to foreign currency risk. Our operations in Canada are denominated in Canadian dollars and may be subject to fluctuations due to changes in foreign currency exchange rates. Fluctuations in foreign currency exchange rates may cause us to recognize transaction gains and losses in our statement of operations. A hypothetical 10% increase or decrease in current exchange rates would not have a material impact on our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000"/>
          </w:cols>
          <w:pgMar w:left="320" w:top="124" w:right="57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111760</wp:posOffset>
            </wp:positionV>
            <wp:extent cx="6995160" cy="90525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0" w:num="1">
            <w:col w:w="9019"/>
          </w:cols>
          <w:pgMar w:left="1440" w:top="124" w:right="1440" w:bottom="1440" w:gutter="0" w:footer="0" w:header="0"/>
        </w:sectPr>
      </w:pPr>
    </w:p>
    <w:bookmarkStart w:id="128" w:name="page129"/>
    <w:bookmarkEnd w:id="128"/>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We created Chime to help everyday people make progress in their financial lives. For too long, millions of Americans, including the 75% of the adult population that earn up to $100,000 annually, have struggled with bank relationships that are not always aligned with their best interests. So we set out to create a new approach, built on a foundation of trust rather than fine print and punitive fees. Through our direct relationships with FDIC-insured bank partners, we deliver easy-to-use products that address the most critical financial needs of everyday people — spending, saving, accessing liquidity, and building credit, all while avoiding punitive fees.</w:t>
      </w:r>
    </w:p>
    <w:p>
      <w:pPr>
        <w:spacing w:after="0" w:line="129" w:lineRule="exact"/>
        <w:rPr>
          <w:sz w:val="20"/>
          <w:szCs w:val="20"/>
          <w:color w:val="auto"/>
        </w:rPr>
      </w:pPr>
    </w:p>
    <w:p>
      <w:pPr>
        <w:ind w:right="40" w:firstLine="324"/>
        <w:spacing w:after="0" w:line="243" w:lineRule="auto"/>
        <w:rPr>
          <w:sz w:val="20"/>
          <w:szCs w:val="20"/>
          <w:color w:val="auto"/>
        </w:rPr>
      </w:pPr>
      <w:r>
        <w:rPr>
          <w:rFonts w:ascii="Times New Roman" w:cs="Times New Roman" w:eastAsia="Times New Roman" w:hAnsi="Times New Roman"/>
          <w:sz w:val="17"/>
          <w:szCs w:val="17"/>
          <w:color w:val="auto"/>
        </w:rPr>
        <w:t>Since our founding, we are proud to have created some of the most impactful product innovations in consumer banking and payments. Through our broad suite of products, we have built trusted relationships with 8.0 million Active Members, with 67% of them relying on Chime to serve as their primary financial relationship as of December 31, 2024.</w:t>
      </w:r>
      <w:r>
        <w:rPr>
          <w:rFonts w:ascii="Times New Roman" w:cs="Times New Roman" w:eastAsia="Times New Roman" w:hAnsi="Times New Roman"/>
          <w:sz w:val="22"/>
          <w:szCs w:val="22"/>
          <w:color w:val="auto"/>
          <w:vertAlign w:val="superscript"/>
        </w:rPr>
        <w:t>64</w:t>
      </w:r>
      <w:r>
        <w:rPr>
          <w:rFonts w:ascii="Times New Roman" w:cs="Times New Roman" w:eastAsia="Times New Roman" w:hAnsi="Times New Roman"/>
          <w:sz w:val="17"/>
          <w:szCs w:val="17"/>
          <w:color w:val="auto"/>
        </w:rPr>
        <w:t xml:space="preserve"> Being the primary account relationship for our members establishes Chime as their central financial hub, and we believe these relationships are the most valuable in consumer financial services. As the central hub, Chime becomes the platform through which members consistently deposit their paychecks and conduct their everyday spend, creating durable and long-lasting relationships with high engagement. In the fourth quarter of 2024, our Active Members used Chime for 55 transactions per month, on average, of which over 75% were purchase transactions.</w:t>
      </w:r>
      <w:r>
        <w:rPr>
          <w:rFonts w:ascii="Times New Roman" w:cs="Times New Roman" w:eastAsia="Times New Roman" w:hAnsi="Times New Roman"/>
          <w:sz w:val="22"/>
          <w:szCs w:val="22"/>
          <w:color w:val="auto"/>
          <w:vertAlign w:val="superscript"/>
        </w:rPr>
        <w:t>65</w:t>
      </w:r>
      <w:r>
        <w:rPr>
          <w:rFonts w:ascii="Times New Roman" w:cs="Times New Roman" w:eastAsia="Times New Roman" w:hAnsi="Times New Roman"/>
          <w:sz w:val="17"/>
          <w:szCs w:val="17"/>
          <w:color w:val="auto"/>
        </w:rPr>
        <w:t xml:space="preserve"> We also have high member satisfaction with 75% of Chime members saying they will be Chime members for life.</w:t>
      </w:r>
      <w:r>
        <w:rPr>
          <w:rFonts w:ascii="Times New Roman" w:cs="Times New Roman" w:eastAsia="Times New Roman" w:hAnsi="Times New Roman"/>
          <w:sz w:val="22"/>
          <w:szCs w:val="22"/>
          <w:color w:val="auto"/>
          <w:vertAlign w:val="superscript"/>
        </w:rPr>
        <w:t>66</w:t>
      </w:r>
      <w:r>
        <w:rPr>
          <w:rFonts w:ascii="Times New Roman" w:cs="Times New Roman" w:eastAsia="Times New Roman" w:hAnsi="Times New Roman"/>
          <w:sz w:val="17"/>
          <w:szCs w:val="17"/>
          <w:color w:val="auto"/>
        </w:rPr>
        <w:t xml:space="preserve"> Among adults earning up to $100,000 annually, we have been the top brand for people establishing new, or switching existing, direct deposit relationships, according to a 2024 survey.</w:t>
      </w:r>
      <w:r>
        <w:rPr>
          <w:rFonts w:ascii="Times New Roman" w:cs="Times New Roman" w:eastAsia="Times New Roman" w:hAnsi="Times New Roman"/>
          <w:sz w:val="22"/>
          <w:szCs w:val="22"/>
          <w:color w:val="auto"/>
          <w:vertAlign w:val="superscript"/>
        </w:rPr>
        <w:t>67</w:t>
      </w:r>
    </w:p>
    <w:p>
      <w:pPr>
        <w:spacing w:after="0" w:line="74"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Our proprietary technology platform and our digital-first approach give us both a radical cost-to-serve advantage and greater innovation velocity compared to traditional banks. We believe these advantages will improve over the long term as we continue to scale. This structural advantage is complemented with a payments-based business model that is aligned with our members: we primarily generate revenue when members spend using a Chime-branded debit or credit card, based on fees paid via the card networks, rather than fees paid to us by our members. Recurring paycheck deposits through our platform also provide us with an advantage to offer our members access to valuable, short-term credit and liquidity products at scale given the privileged repayment position for such products.</w:t>
      </w:r>
    </w:p>
    <w:p>
      <w:pPr>
        <w:spacing w:after="0" w:line="13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are bold in our ambition to build a generational consumer brand that empowers everyday Americans to make progress in their financial journeys. While traditional banks focus on serving people with the largest deposits and highest credit scores, we will continue to raise the bar in financial services for everyday people. In 2024, Time Magazine published its World’s Best Brand survey, which identified Chime among the top five brands in the banking category in America. We believe we are setting a new standard in consumer financial services built on free or low-cost, innovative products and a member-obsessed philosophy. We are just getting started.</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Our mission is to unite everyday people to unlock their financial progress.</w:t>
      </w:r>
    </w:p>
    <w:p>
      <w:pPr>
        <w:spacing w:after="0" w:line="17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Everyday people are the individuals we all have the privilege of interacting with day to day. They work in healthcare, retail, hospitality, a variety of corporate jobs, and are essential workers who form the heart and soul of America. They are ambitious, resilient, and hustle to move their lives forward. Too often, however, their financial realities can make this progress challenging to achieve and easy to lose. In the United States, 196 million people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17145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19" w:lineRule="exact"/>
        <w:rPr>
          <w:sz w:val="20"/>
          <w:szCs w:val="20"/>
          <w:color w:val="auto"/>
        </w:rPr>
      </w:pPr>
    </w:p>
    <w:p>
      <w:pPr>
        <w:ind w:left="340" w:right="80" w:hanging="332"/>
        <w:spacing w:after="0" w:line="271" w:lineRule="auto"/>
        <w:tabs>
          <w:tab w:leader="none" w:pos="320" w:val="left"/>
        </w:tabs>
        <w:numPr>
          <w:ilvl w:val="0"/>
          <w:numId w:val="7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We define a primary financial relationship or primary account relationship as a relationship with a member who made 15 or more purchases using their Chime-branded debit or credit cards in the past calendar month or who had at least one qualifying direct deposit of $200 or more through Chime in the past calendar month.</w:t>
      </w:r>
    </w:p>
    <w:p>
      <w:pPr>
        <w:ind w:left="340" w:right="40" w:hanging="332"/>
        <w:spacing w:after="0" w:line="221" w:lineRule="auto"/>
        <w:tabs>
          <w:tab w:leader="none" w:pos="343" w:val="left"/>
        </w:tabs>
        <w:numPr>
          <w:ilvl w:val="0"/>
          <w:numId w:val="7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Transactions include, but are not limited to, purchases with Chime-branded debit or credit cards (collectively, “purchase transactions”), funding a member account, withdrawing funds from an ATM, sending or receiving funds with Pay Anyone, taking a MyPay advance, or other money movement transactions.</w:t>
      </w:r>
    </w:p>
    <w:p>
      <w:pPr>
        <w:spacing w:after="0" w:line="1" w:lineRule="exact"/>
        <w:rPr>
          <w:rFonts w:ascii="Times New Roman" w:cs="Times New Roman" w:eastAsia="Times New Roman" w:hAnsi="Times New Roman"/>
          <w:sz w:val="19"/>
          <w:szCs w:val="19"/>
          <w:color w:val="auto"/>
          <w:vertAlign w:val="superscript"/>
        </w:rPr>
      </w:pPr>
    </w:p>
    <w:p>
      <w:pPr>
        <w:ind w:left="340" w:right="300" w:hanging="332"/>
        <w:spacing w:after="0" w:line="213" w:lineRule="auto"/>
        <w:tabs>
          <w:tab w:leader="none" w:pos="343" w:val="left"/>
        </w:tabs>
        <w:numPr>
          <w:ilvl w:val="0"/>
          <w:numId w:val="7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Based on a Chime survey conducted in July 2024 of members who direct deposit through Chime (the “Chime Financial Progress Survey”). See the section titled “Industry, Market, and Other Data.”</w:t>
      </w:r>
    </w:p>
    <w:p>
      <w:pPr>
        <w:ind w:left="340" w:right="80" w:hanging="332"/>
        <w:spacing w:after="0" w:line="221" w:lineRule="auto"/>
        <w:tabs>
          <w:tab w:leader="none" w:pos="343" w:val="left"/>
        </w:tabs>
        <w:numPr>
          <w:ilvl w:val="0"/>
          <w:numId w:val="7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Based on a Chime commissioned third-party survey conducted in July 2024 targeting Americans aged 18 to 54 years with a household income up to $100,000 who opened or switched to a new direct deposit account in the preceding 12-month period (the “Banking and Switcher Survey”). See the section titled “Industry, Market, and Other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200"/>
          </w:cols>
          <w:pgMar w:left="320" w:top="124" w:right="379" w:bottom="1440" w:gutter="0" w:footer="0" w:header="0"/>
        </w:sectPr>
      </w:pPr>
    </w:p>
    <w:bookmarkStart w:id="129" w:name="page130"/>
    <w:bookmarkEnd w:id="129"/>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8"/>
          <w:szCs w:val="18"/>
          <w:color w:val="auto"/>
        </w:rPr>
        <w:t>over 75% of the adult population — earn up to $100,000 annually.</w:t>
      </w:r>
      <w:r>
        <w:rPr>
          <w:rFonts w:ascii="Times New Roman" w:cs="Times New Roman" w:eastAsia="Times New Roman" w:hAnsi="Times New Roman"/>
          <w:sz w:val="23"/>
          <w:szCs w:val="23"/>
          <w:color w:val="auto"/>
          <w:vertAlign w:val="superscript"/>
        </w:rPr>
        <w:t>68</w:t>
      </w:r>
      <w:r>
        <w:rPr>
          <w:rFonts w:ascii="Times New Roman" w:cs="Times New Roman" w:eastAsia="Times New Roman" w:hAnsi="Times New Roman"/>
          <w:sz w:val="18"/>
          <w:szCs w:val="18"/>
          <w:color w:val="auto"/>
        </w:rPr>
        <w:t xml:space="preserve"> We primarily focus on attracting and serving these everyday Americans earning up to $100,000 annually. Many live paycheck-to-paycheck, often spending as much as — or more than — they earn each month to support themselves and their families. Everyday people need solutions that help avoid fees, bridge the gaps between paychecks, manage unexpected expenses, build credit, and grow savings for life’s major milestones. Yet, traditional banks have consistently fallen short in addressing these pressing needs for everyday Americans.</w:t>
      </w:r>
    </w:p>
    <w:p>
      <w:pPr>
        <w:spacing w:after="0" w:line="140" w:lineRule="exact"/>
        <w:rPr>
          <w:sz w:val="20"/>
          <w:szCs w:val="20"/>
          <w:color w:val="auto"/>
        </w:rPr>
      </w:pPr>
    </w:p>
    <w:p>
      <w:pPr>
        <w:ind w:right="20" w:firstLine="324"/>
        <w:spacing w:after="0" w:line="246" w:lineRule="auto"/>
        <w:rPr>
          <w:sz w:val="20"/>
          <w:szCs w:val="20"/>
          <w:color w:val="auto"/>
        </w:rPr>
      </w:pPr>
      <w:r>
        <w:rPr>
          <w:rFonts w:ascii="Times New Roman" w:cs="Times New Roman" w:eastAsia="Times New Roman" w:hAnsi="Times New Roman"/>
          <w:sz w:val="18"/>
          <w:szCs w:val="18"/>
          <w:b w:val="1"/>
          <w:bCs w:val="1"/>
          <w:color w:val="auto"/>
        </w:rPr>
        <w:t xml:space="preserve">Traditional banks face structural limitations that prevent them from effectively serving everyday people. </w:t>
      </w:r>
      <w:r>
        <w:rPr>
          <w:rFonts w:ascii="Times New Roman" w:cs="Times New Roman" w:eastAsia="Times New Roman" w:hAnsi="Times New Roman"/>
          <w:sz w:val="18"/>
          <w:szCs w:val="18"/>
          <w:color w:val="auto"/>
        </w:rPr>
        <w:t>Traditional banks rely on a net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margin-based business model with approximately 70% of their revenue coming from customer deposits and lending.</w:t>
      </w:r>
      <w:r>
        <w:rPr>
          <w:rFonts w:ascii="Times New Roman" w:cs="Times New Roman" w:eastAsia="Times New Roman" w:hAnsi="Times New Roman"/>
          <w:sz w:val="23"/>
          <w:szCs w:val="23"/>
          <w:color w:val="auto"/>
          <w:vertAlign w:val="superscript"/>
        </w:rPr>
        <w:t>69</w:t>
      </w:r>
      <w:r>
        <w:rPr>
          <w:rFonts w:ascii="Times New Roman" w:cs="Times New Roman" w:eastAsia="Times New Roman" w:hAnsi="Times New Roman"/>
          <w:sz w:val="18"/>
          <w:szCs w:val="18"/>
          <w:color w:val="auto"/>
        </w:rPr>
        <w:t xml:space="preserve"> This approach works well for the most affluent customers with higher credit scores, who have high deposit balances and large borrowing needs, but is ineffective for everyday Americans, most of whom live paycheck-to-paycheck and often have more modest account balances and limited credit histories. We believe that the majority of Americans can be better served by a payments-based banking model rather than the net interest margin-based model used by traditional banks. Everyday Americans earning up to $100,000 annually are estimated to account for less than 35% of consumer deposits yet over 75% of debit card transaction volume.</w:t>
      </w:r>
      <w:r>
        <w:rPr>
          <w:rFonts w:ascii="Times New Roman" w:cs="Times New Roman" w:eastAsia="Times New Roman" w:hAnsi="Times New Roman"/>
          <w:sz w:val="23"/>
          <w:szCs w:val="23"/>
          <w:color w:val="auto"/>
          <w:vertAlign w:val="superscript"/>
        </w:rPr>
        <w:t>70</w:t>
      </w:r>
      <w:r>
        <w:rPr>
          <w:rFonts w:ascii="Times New Roman" w:cs="Times New Roman" w:eastAsia="Times New Roman" w:hAnsi="Times New Roman"/>
          <w:sz w:val="18"/>
          <w:szCs w:val="18"/>
          <w:color w:val="auto"/>
        </w:rPr>
        <w:t xml:space="preserve"> We are focused on serving everyday Americans with a banking model aligned with this financial reality.</w:t>
      </w:r>
    </w:p>
    <w:p>
      <w:pPr>
        <w:spacing w:after="0" w:line="75" w:lineRule="exact"/>
        <w:rPr>
          <w:sz w:val="20"/>
          <w:szCs w:val="20"/>
          <w:color w:val="auto"/>
        </w:rPr>
      </w:pPr>
    </w:p>
    <w:p>
      <w:pPr>
        <w:ind w:right="100" w:firstLine="324"/>
        <w:spacing w:after="0" w:line="236" w:lineRule="auto"/>
        <w:rPr>
          <w:sz w:val="20"/>
          <w:szCs w:val="20"/>
          <w:color w:val="auto"/>
        </w:rPr>
      </w:pPr>
      <w:r>
        <w:rPr>
          <w:rFonts w:ascii="Times New Roman" w:cs="Times New Roman" w:eastAsia="Times New Roman" w:hAnsi="Times New Roman"/>
          <w:sz w:val="18"/>
          <w:szCs w:val="18"/>
          <w:color w:val="auto"/>
        </w:rPr>
        <w:t>Even if traditional banks were to focus on serving the core needs of everyday Americans, they are structurally limited due to rigid, high-cost business models, driven by their physical branch infrastructure and in-person delivery approach. The average annual cost-to-serve a retail deposit customer is estimated to be approximately three times higher for the three largest incumbent banks and five times higher for mid-sized and regional banks when compared to Chime.</w:t>
      </w:r>
      <w:r>
        <w:rPr>
          <w:rFonts w:ascii="Times New Roman" w:cs="Times New Roman" w:eastAsia="Times New Roman" w:hAnsi="Times New Roman"/>
          <w:sz w:val="23"/>
          <w:szCs w:val="23"/>
          <w:color w:val="auto"/>
          <w:vertAlign w:val="superscript"/>
        </w:rPr>
        <w:t>71</w:t>
      </w:r>
      <w:r>
        <w:rPr>
          <w:rFonts w:ascii="Times New Roman" w:cs="Times New Roman" w:eastAsia="Times New Roman" w:hAnsi="Times New Roman"/>
          <w:sz w:val="18"/>
          <w:szCs w:val="18"/>
          <w:color w:val="auto"/>
        </w:rPr>
        <w:t xml:space="preserve"> Traditional banks impose a range of fees to serve everyday Americans — overdraft fees, minimum balance fees, and monthly maintenance fees. We believe overdraft fees and non-sufficient funds fees can be particularly punitive for everyday Americans because by nature they occur when someone lacks adequate funds in their account. Americans paid an estimated $18.5 billion in banking fees in 2023, with an estimated 95% of these fees paid by everyday American households.</w:t>
      </w:r>
      <w:r>
        <w:rPr>
          <w:rFonts w:ascii="Times New Roman" w:cs="Times New Roman" w:eastAsia="Times New Roman" w:hAnsi="Times New Roman"/>
          <w:sz w:val="23"/>
          <w:szCs w:val="23"/>
          <w:color w:val="auto"/>
          <w:vertAlign w:val="superscript"/>
        </w:rPr>
        <w:t>72</w:t>
      </w:r>
      <w:r>
        <w:rPr>
          <w:rFonts w:ascii="Times New Roman" w:cs="Times New Roman" w:eastAsia="Times New Roman" w:hAnsi="Times New Roman"/>
          <w:sz w:val="18"/>
          <w:szCs w:val="18"/>
          <w:color w:val="auto"/>
        </w:rPr>
        <w:t xml:space="preserve"> This structural reality has led to distrust and poor customer satisfaction for traditional banks among everyday people.</w:t>
      </w:r>
    </w:p>
    <w:p>
      <w:pPr>
        <w:spacing w:after="0" w:line="145" w:lineRule="exact"/>
        <w:rPr>
          <w:sz w:val="20"/>
          <w:szCs w:val="20"/>
          <w:color w:val="auto"/>
        </w:rPr>
      </w:pPr>
    </w:p>
    <w:p>
      <w:pPr>
        <w:ind w:right="20"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We created Chime to help our members move their financial lives forward. </w:t>
      </w:r>
      <w:r>
        <w:rPr>
          <w:rFonts w:ascii="Times New Roman" w:cs="Times New Roman" w:eastAsia="Times New Roman" w:hAnsi="Times New Roman"/>
          <w:sz w:val="18"/>
          <w:szCs w:val="18"/>
          <w:color w:val="auto"/>
        </w:rPr>
        <w:t>Since our founding, we have been focused on building and delivering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affordable, easy-to-use products that address the most critical financial needs of everyday Americans. Through our platform, members effortlessly spend, save, access liquidity, and build credit, all while avoiding punitive fees. We are building a community of members whose experience with Chime improves when family, friends, and co-workers join our platform.</w:t>
      </w:r>
    </w:p>
    <w:p>
      <w:pPr>
        <w:spacing w:after="0" w:line="122" w:lineRule="exact"/>
        <w:rPr>
          <w:sz w:val="20"/>
          <w:szCs w:val="20"/>
          <w:color w:val="auto"/>
        </w:rPr>
      </w:pPr>
    </w:p>
    <w:p>
      <w:pPr>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We built Chime’s business model with a focus on four core pillars that have now become competitive advantages: </w:t>
      </w:r>
      <w:r>
        <w:rPr>
          <w:rFonts w:ascii="Times New Roman" w:cs="Times New Roman" w:eastAsia="Times New Roman" w:hAnsi="Times New Roman"/>
          <w:sz w:val="18"/>
          <w:szCs w:val="18"/>
          <w:color w:val="auto"/>
        </w:rPr>
        <w:t>(1) a focus on serving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members as their primary account relationship; (2) a commitment to innovate on new products that specifically serve the needs of everyday Americans; (3) a radical cost-to-serve advantage driven by our digital-first approach and technology platform, which allow us to be both efficient and flexible; and (4) a marketing and product strategy designed to build a loved brand that resonates with our members.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 A focus on primary account relationships</w:t>
      </w:r>
    </w:p>
    <w:p>
      <w:pPr>
        <w:spacing w:after="0" w:line="175" w:lineRule="exact"/>
        <w:rPr>
          <w:sz w:val="20"/>
          <w:szCs w:val="20"/>
          <w:color w:val="auto"/>
        </w:rPr>
      </w:pPr>
    </w:p>
    <w:p>
      <w:pPr>
        <w:ind w:right="540" w:firstLine="324"/>
        <w:spacing w:after="0" w:line="266" w:lineRule="auto"/>
        <w:rPr>
          <w:sz w:val="20"/>
          <w:szCs w:val="20"/>
          <w:color w:val="auto"/>
        </w:rPr>
      </w:pPr>
      <w:r>
        <w:rPr>
          <w:rFonts w:ascii="Times New Roman" w:cs="Times New Roman" w:eastAsia="Times New Roman" w:hAnsi="Times New Roman"/>
          <w:sz w:val="18"/>
          <w:szCs w:val="18"/>
          <w:color w:val="auto"/>
        </w:rPr>
        <w:t>We designed our business to develop primary account relationships with our members, establishing Chime as their central financial hub. As we become the platform through which members deposit their paychecks and conduct their everyday spending, we create durable and long-lasting relationships with high engagement. We believe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17145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19" w:lineRule="exact"/>
        <w:rPr>
          <w:sz w:val="20"/>
          <w:szCs w:val="20"/>
          <w:color w:val="auto"/>
        </w:rPr>
      </w:pPr>
    </w:p>
    <w:p>
      <w:pPr>
        <w:ind w:left="340" w:hanging="332"/>
        <w:spacing w:after="0"/>
        <w:tabs>
          <w:tab w:leader="none" w:pos="340" w:val="left"/>
        </w:tabs>
        <w:numPr>
          <w:ilvl w:val="0"/>
          <w:numId w:val="7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U.S. Census Bureau, Current Population Survey, 2024 Annual Social and Economic Supplement (CPS ASEC).</w:t>
      </w:r>
    </w:p>
    <w:p>
      <w:pPr>
        <w:spacing w:after="0" w:line="27" w:lineRule="exact"/>
        <w:rPr>
          <w:rFonts w:ascii="Times New Roman" w:cs="Times New Roman" w:eastAsia="Times New Roman" w:hAnsi="Times New Roman"/>
          <w:sz w:val="9"/>
          <w:szCs w:val="9"/>
          <w:color w:val="auto"/>
        </w:rPr>
      </w:pPr>
    </w:p>
    <w:p>
      <w:pPr>
        <w:ind w:left="340" w:hanging="332"/>
        <w:spacing w:after="0" w:line="192" w:lineRule="auto"/>
        <w:tabs>
          <w:tab w:leader="none" w:pos="340" w:val="left"/>
        </w:tabs>
        <w:numPr>
          <w:ilvl w:val="0"/>
          <w:numId w:val="7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S&amp;P Capital IQ Pro. Based on 2023 submissions from banking institutions to the Federal Financial Institutions Examination Council (FFIEC).</w:t>
      </w:r>
    </w:p>
    <w:p>
      <w:pPr>
        <w:spacing w:after="0" w:line="3" w:lineRule="exact"/>
        <w:rPr>
          <w:rFonts w:ascii="Times New Roman" w:cs="Times New Roman" w:eastAsia="Times New Roman" w:hAnsi="Times New Roman"/>
          <w:sz w:val="19"/>
          <w:szCs w:val="19"/>
          <w:color w:val="auto"/>
          <w:vertAlign w:val="superscript"/>
        </w:rPr>
      </w:pPr>
    </w:p>
    <w:p>
      <w:pPr>
        <w:ind w:left="340" w:right="300" w:hanging="332"/>
        <w:spacing w:after="0" w:line="219" w:lineRule="auto"/>
        <w:tabs>
          <w:tab w:leader="none" w:pos="320" w:val="left"/>
        </w:tabs>
        <w:numPr>
          <w:ilvl w:val="0"/>
          <w:numId w:val="7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Chime commissioned study by FS Vector LLC, Chime vs. Traditional Retail Banking Study, January 2025 (the “FS Vector Report”). See the section titled “Industry, Market, and Other Data.”</w:t>
      </w:r>
    </w:p>
    <w:p>
      <w:pPr>
        <w:spacing w:after="0" w:line="1" w:lineRule="exact"/>
        <w:rPr>
          <w:rFonts w:ascii="Times New Roman" w:cs="Times New Roman" w:eastAsia="Times New Roman" w:hAnsi="Times New Roman"/>
          <w:sz w:val="19"/>
          <w:szCs w:val="19"/>
          <w:color w:val="auto"/>
          <w:vertAlign w:val="superscript"/>
        </w:rPr>
      </w:pPr>
    </w:p>
    <w:p>
      <w:pPr>
        <w:jc w:val="both"/>
        <w:ind w:left="340" w:right="220" w:hanging="332"/>
        <w:spacing w:after="0" w:line="227" w:lineRule="auto"/>
        <w:tabs>
          <w:tab w:leader="none" w:pos="343" w:val="left"/>
        </w:tabs>
        <w:numPr>
          <w:ilvl w:val="0"/>
          <w:numId w:val="7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Comparing average cost-to-serve for 2023 (in each case, excluding marketing costs) for the three largest banks by U.S. deposit volume (Bank of America, J.P. Morgan Chase, and Wells Fargo) and for a group of medium-sized and regional banks (BMO, KeyBank, PNC Bank, TD Bank, and U.S. Bank), in each case as estimated by FS Vector Report, to Chime’s average cost-to-serve for 2024; see the section titled “Industry, Market, and Other Data.”</w:t>
      </w:r>
    </w:p>
    <w:p>
      <w:pPr>
        <w:spacing w:after="0" w:line="29" w:lineRule="exact"/>
        <w:rPr>
          <w:rFonts w:ascii="Times New Roman" w:cs="Times New Roman" w:eastAsia="Times New Roman" w:hAnsi="Times New Roman"/>
          <w:sz w:val="19"/>
          <w:szCs w:val="19"/>
          <w:color w:val="auto"/>
          <w:vertAlign w:val="superscript"/>
        </w:rPr>
      </w:pPr>
    </w:p>
    <w:p>
      <w:pPr>
        <w:ind w:left="340" w:hanging="332"/>
        <w:spacing w:after="0" w:line="230" w:lineRule="auto"/>
        <w:tabs>
          <w:tab w:leader="none" w:pos="343" w:val="left"/>
        </w:tabs>
        <w:numPr>
          <w:ilvl w:val="0"/>
          <w:numId w:val="7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95% of banking fees in the United States in 2023 were paid by households earning up to $175,000, a close proxy for American individuals earning up to $100,000 annually, as estimated by FS Vector Report; see the section titled “Industry, Market, and Other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80"/>
          </w:cols>
          <w:pgMar w:left="320" w:top="124" w:right="399" w:bottom="1440" w:gutter="0" w:footer="0" w:header="0"/>
        </w:sectPr>
      </w:pPr>
    </w:p>
    <w:bookmarkStart w:id="130" w:name="page131"/>
    <w:bookmarkEnd w:id="130"/>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primary account relationship is vital and enables lifetime value – the average tenure of a primary deposit account at a traditional bank or credit union is estimated to be between 16 and 24 years.</w:t>
      </w:r>
      <w:r>
        <w:rPr>
          <w:rFonts w:ascii="Times New Roman" w:cs="Times New Roman" w:eastAsia="Times New Roman" w:hAnsi="Times New Roman"/>
          <w:sz w:val="23"/>
          <w:szCs w:val="23"/>
          <w:color w:val="auto"/>
          <w:vertAlign w:val="superscript"/>
        </w:rPr>
        <w:t>73</w:t>
      </w:r>
      <w:r>
        <w:rPr>
          <w:rFonts w:ascii="Times New Roman" w:cs="Times New Roman" w:eastAsia="Times New Roman" w:hAnsi="Times New Roman"/>
          <w:sz w:val="18"/>
          <w:szCs w:val="18"/>
          <w:color w:val="auto"/>
        </w:rPr>
        <w:t xml:space="preserve"> We have now earned the trust to serve 67% of our 8.0 million Active Members in a primary account relationship as of December 31, 2024. We define a primary account relationship as a relationship with a member who made 15 or more purchases using their Chime-branded debit or credit cards in the past calendar month or who had at least one qualifying direct deposit of $200 or more through Chime in the past calendar month. When we serve our members in a primary account relationship, we earn deep and habitual engagement and “top-of-wallet” card spend for their everyday, largely non-discretionary expenses. As a result, in the fourth quarter of 2024, our Active Members engaged in 55 transactions per month with Chime, on average, of which over 75% were purchase transactions. These relationships also provide a privileged repayment advantage for liquidity products and rich, first-party data, including member income, spending, transaction, social graph, and other engagement data, which enables product innovation. As we expand our platform offerings, we believe these relationships will help drive Active Member growth, position us well to continue to cross-sell additional products, and improve our Average Revenue per Active Member (“ARPAM”).</w:t>
      </w:r>
    </w:p>
    <w:p>
      <w:pPr>
        <w:spacing w:after="0" w:line="1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(2) A commitment to innovate on new, member-aligned products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Since our founding, we have built a track record of launching pioneering products to address the most critical financial needs of everyday Americans</w:t>
      </w:r>
    </w:p>
    <w:p>
      <w:pPr>
        <w:spacing w:after="0" w:line="27"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 spending, saving, accessing liquidity, and building credit, all while avoiding punitive fees. We believe our ability to launch free or low-cost, innovative products such as Get Paid Early, SpotMe, Credit Builder, and MyPay has allowed us to build a substantial and growing competitive advantage over traditional banks. Additionally, with the development and launch in 2024 of ChimeCore, our proprietary payment processor and ledger, we have built a foundation for even faster future product innovation to grow our advantage relative to traditional banks over time.</w:t>
      </w:r>
    </w:p>
    <w:p>
      <w:pPr>
        <w:spacing w:after="0" w:line="130" w:lineRule="exact"/>
        <w:rPr>
          <w:sz w:val="20"/>
          <w:szCs w:val="20"/>
          <w:color w:val="auto"/>
        </w:rPr>
      </w:pPr>
    </w:p>
    <w:p>
      <w:pPr>
        <w:ind w:left="640" w:hanging="308"/>
        <w:spacing w:after="0"/>
        <w:tabs>
          <w:tab w:leader="none" w:pos="640" w:val="left"/>
        </w:tabs>
        <w:numPr>
          <w:ilvl w:val="1"/>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 radical cost-to-serve advantage</w:t>
      </w:r>
    </w:p>
    <w:p>
      <w:pPr>
        <w:spacing w:after="0" w:line="175" w:lineRule="exact"/>
        <w:rPr>
          <w:sz w:val="20"/>
          <w:szCs w:val="20"/>
          <w:color w:val="auto"/>
        </w:rPr>
      </w:pPr>
    </w:p>
    <w:p>
      <w:pPr>
        <w:ind w:right="40" w:firstLine="324"/>
        <w:spacing w:after="0" w:line="248" w:lineRule="auto"/>
        <w:rPr>
          <w:sz w:val="20"/>
          <w:szCs w:val="20"/>
          <w:color w:val="auto"/>
        </w:rPr>
      </w:pPr>
      <w:r>
        <w:rPr>
          <w:rFonts w:ascii="Times New Roman" w:cs="Times New Roman" w:eastAsia="Times New Roman" w:hAnsi="Times New Roman"/>
          <w:sz w:val="18"/>
          <w:szCs w:val="18"/>
          <w:color w:val="auto"/>
        </w:rPr>
        <w:t>We constructed our model to serve everyday Americans, which meant taking a digital-first approach and building differentiated technology that allows us to serve our target audience at a significant cost advantage compared to traditional banks. The average annual cost-to-serve a retail deposit customer is estimated to be approximately three times higher for the three largest incumbent banks and five times higher for mid-sized and regional banks when compared to Chime.</w:t>
      </w:r>
      <w:r>
        <w:rPr>
          <w:rFonts w:ascii="Times New Roman" w:cs="Times New Roman" w:eastAsia="Times New Roman" w:hAnsi="Times New Roman"/>
          <w:sz w:val="23"/>
          <w:szCs w:val="23"/>
          <w:color w:val="auto"/>
          <w:vertAlign w:val="superscript"/>
        </w:rPr>
        <w:t>74</w:t>
      </w:r>
      <w:r>
        <w:rPr>
          <w:rFonts w:ascii="Times New Roman" w:cs="Times New Roman" w:eastAsia="Times New Roman" w:hAnsi="Times New Roman"/>
          <w:sz w:val="18"/>
          <w:szCs w:val="18"/>
          <w:color w:val="auto"/>
        </w:rPr>
        <w:t xml:space="preserve"> Our digital-first approach has allowed us to reduce the significant expenses associated with bank branches and ATMs. Through our direct relationships with our bank partners, we conveniently offer access to a suite of banking products on our mobile application, while providing our members with nationwide access to physical locations to conveniently withdraw cash and make cash deposits where and when members need to through our partnerships with ATM and cash deposit networks. We have invested substantially over several years in our cloud-native technology platform, including ChimeCore, to be able to efficiently develop products and process and record financial transactions in-house. As of the end of 2024, we had transitioned all credit card transactions to being processed by ChimeCore, and we expect to complete the full transition to ChimeCore over time. By operating our technology platform in-house, we are able to focus a greater portion of our technology spend on product innovation, avoid costly maintenance of legacy systems, and reduce or eliminate reliance on third-party vendors in areas such as transaction processing, financial ledgering, technology and product development, and technical operations. We have also invested in our data and artificial intelligence (“AI”) platforms. These innovations enabled us to deliver 68% of our member support interactions without the need for human intervention in 2024. Between 2022 and 2024, we reduced our support costs per Active Member by 64% and fraud loss rates by 31% while simultaneously increasing our member support satisfaction scores by 93%.</w:t>
      </w:r>
      <w:r>
        <w:rPr>
          <w:rFonts w:ascii="Times New Roman" w:cs="Times New Roman" w:eastAsia="Times New Roman" w:hAnsi="Times New Roman"/>
          <w:sz w:val="23"/>
          <w:szCs w:val="23"/>
          <w:color w:val="auto"/>
          <w:vertAlign w:val="superscript"/>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17145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72" w:lineRule="exact"/>
        <w:rPr>
          <w:sz w:val="20"/>
          <w:szCs w:val="20"/>
          <w:color w:val="auto"/>
        </w:rPr>
      </w:pPr>
    </w:p>
    <w:p>
      <w:pPr>
        <w:ind w:left="340" w:hanging="332"/>
        <w:spacing w:after="0"/>
        <w:tabs>
          <w:tab w:leader="none" w:pos="340" w:val="left"/>
        </w:tabs>
        <w:numPr>
          <w:ilvl w:val="0"/>
          <w:numId w:val="7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FS Vector Report; see the section titled “Industry, Market, and Other Data.”</w:t>
      </w:r>
    </w:p>
    <w:p>
      <w:pPr>
        <w:spacing w:after="0" w:line="27" w:lineRule="exact"/>
        <w:rPr>
          <w:rFonts w:ascii="Times New Roman" w:cs="Times New Roman" w:eastAsia="Times New Roman" w:hAnsi="Times New Roman"/>
          <w:sz w:val="9"/>
          <w:szCs w:val="9"/>
          <w:color w:val="auto"/>
        </w:rPr>
      </w:pPr>
    </w:p>
    <w:p>
      <w:pPr>
        <w:jc w:val="both"/>
        <w:ind w:left="340" w:right="260" w:hanging="332"/>
        <w:spacing w:after="0" w:line="233" w:lineRule="auto"/>
        <w:tabs>
          <w:tab w:leader="none" w:pos="343" w:val="left"/>
        </w:tabs>
        <w:numPr>
          <w:ilvl w:val="0"/>
          <w:numId w:val="7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Comparing average cost-to-serve for 2023 (in each case, excluding marketing costs) for the three largest banks by U.S. deposit volume (Bank of America, J.P. Morgan Chase, and Wells Fargo) and for a group of medium-sized and regional banks (BMO, KeyBank, PNC Bank, TD Bank, and U.S. Bank), in each case as estimated by FS Vector Report, to Chime’s average cost-to-serve for 2024; see the section titled “Industry, Market, and Other Data.”</w:t>
      </w:r>
    </w:p>
    <w:p>
      <w:pPr>
        <w:spacing w:after="0" w:line="1" w:lineRule="exact"/>
        <w:rPr>
          <w:rFonts w:ascii="Times New Roman" w:cs="Times New Roman" w:eastAsia="Times New Roman" w:hAnsi="Times New Roman"/>
          <w:sz w:val="19"/>
          <w:szCs w:val="19"/>
          <w:color w:val="auto"/>
          <w:vertAlign w:val="superscript"/>
        </w:rPr>
      </w:pPr>
    </w:p>
    <w:p>
      <w:pPr>
        <w:ind w:left="340" w:hanging="332"/>
        <w:spacing w:after="0" w:line="213" w:lineRule="auto"/>
        <w:tabs>
          <w:tab w:leader="none" w:pos="343" w:val="left"/>
        </w:tabs>
        <w:numPr>
          <w:ilvl w:val="0"/>
          <w:numId w:val="7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Based on Service Net Promoter Score (sNPS) scores collected from Chime commissioned third-party surveys conducted on a rolling basis to measure the member support satisfaction of our members. See the section titled “Industry, Market, and Other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220"/>
          </w:cols>
          <w:pgMar w:left="320" w:top="124" w:right="359" w:bottom="1440" w:gutter="0" w:footer="0" w:header="0"/>
        </w:sectPr>
      </w:pPr>
    </w:p>
    <w:bookmarkStart w:id="131" w:name="page132"/>
    <w:bookmarkEnd w:id="131"/>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(4) A loved and trusted brand</w:t>
      </w:r>
    </w:p>
    <w:p>
      <w:pPr>
        <w:spacing w:after="0" w:line="175" w:lineRule="exact"/>
        <w:rPr>
          <w:sz w:val="20"/>
          <w:szCs w:val="20"/>
          <w:color w:val="auto"/>
        </w:rPr>
      </w:pPr>
    </w:p>
    <w:p>
      <w:pPr>
        <w:ind w:firstLine="324"/>
        <w:spacing w:after="0" w:line="238" w:lineRule="auto"/>
        <w:rPr>
          <w:sz w:val="20"/>
          <w:szCs w:val="20"/>
          <w:color w:val="auto"/>
        </w:rPr>
      </w:pPr>
      <w:r>
        <w:rPr>
          <w:rFonts w:ascii="Times New Roman" w:cs="Times New Roman" w:eastAsia="Times New Roman" w:hAnsi="Times New Roman"/>
          <w:sz w:val="18"/>
          <w:szCs w:val="18"/>
          <w:color w:val="auto"/>
        </w:rPr>
        <w:t>In a category where everyday Americans are regularly dissatisfied and lack trust, we deliver products that our members love and that address their critical needs, resulting in Chime’s brand leadership. In 2024, Time Magazine published its World’s Best Brand survey, which identified Chime among the top five brands in the banking category in America. Among Americans earning up to $100,000 annually, our unaided brand awareness of 41% rivals that of the three largest traditional banks in the United States and meaningfully exceeds that of some of the largest peer to peer financial technology companies.</w:t>
      </w:r>
      <w:r>
        <w:rPr>
          <w:rFonts w:ascii="Times New Roman" w:cs="Times New Roman" w:eastAsia="Times New Roman" w:hAnsi="Times New Roman"/>
          <w:sz w:val="23"/>
          <w:szCs w:val="23"/>
          <w:color w:val="auto"/>
          <w:vertAlign w:val="superscript"/>
        </w:rPr>
        <w:t>76</w:t>
      </w:r>
      <w:r>
        <w:rPr>
          <w:rFonts w:ascii="Times New Roman" w:cs="Times New Roman" w:eastAsia="Times New Roman" w:hAnsi="Times New Roman"/>
          <w:sz w:val="18"/>
          <w:szCs w:val="18"/>
          <w:color w:val="auto"/>
        </w:rPr>
        <w:t xml:space="preserve"> We have focused our brand strategy on winning brand ownership in the categories that matter most to everyday Americans. Compared to the three largest traditional banks in the United States, we are: over 80% more likely to be associated with not having hidden fees; more than twice as likely to be associated with allowing members to get paid earlier; and over 50% more likely to be associated with helping members build their credit scores.</w:t>
      </w:r>
      <w:r>
        <w:rPr>
          <w:rFonts w:ascii="Times New Roman" w:cs="Times New Roman" w:eastAsia="Times New Roman" w:hAnsi="Times New Roman"/>
          <w:sz w:val="23"/>
          <w:szCs w:val="23"/>
          <w:color w:val="auto"/>
          <w:vertAlign w:val="superscript"/>
        </w:rPr>
        <w:t>77</w:t>
      </w:r>
      <w:r>
        <w:rPr>
          <w:rFonts w:ascii="Times New Roman" w:cs="Times New Roman" w:eastAsia="Times New Roman" w:hAnsi="Times New Roman"/>
          <w:sz w:val="18"/>
          <w:szCs w:val="18"/>
          <w:color w:val="auto"/>
        </w:rPr>
        <w:t xml:space="preserve"> Our passionate community means our members are our biggest brand ambassadors — in 2024, member referrals have been the single largest channel of new Active Member growth at Chime. Chime members love and trust us and they pay it forward.</w:t>
      </w:r>
    </w:p>
    <w:p>
      <w:pPr>
        <w:spacing w:after="0" w:line="141" w:lineRule="exact"/>
        <w:rPr>
          <w:sz w:val="20"/>
          <w:szCs w:val="20"/>
          <w:color w:val="auto"/>
        </w:rPr>
      </w:pPr>
    </w:p>
    <w:p>
      <w:pPr>
        <w:ind w:right="20" w:firstLine="324"/>
        <w:spacing w:after="0" w:line="226" w:lineRule="auto"/>
        <w:rPr>
          <w:sz w:val="20"/>
          <w:szCs w:val="20"/>
          <w:color w:val="auto"/>
        </w:rPr>
      </w:pPr>
      <w:r>
        <w:rPr>
          <w:rFonts w:ascii="Times New Roman" w:cs="Times New Roman" w:eastAsia="Times New Roman" w:hAnsi="Times New Roman"/>
          <w:sz w:val="18"/>
          <w:szCs w:val="18"/>
          <w:b w:val="1"/>
          <w:bCs w:val="1"/>
          <w:color w:val="auto"/>
        </w:rPr>
        <w:t>Our formula is working</w:t>
      </w:r>
      <w:r>
        <w:rPr>
          <w:rFonts w:ascii="Times New Roman" w:cs="Times New Roman" w:eastAsia="Times New Roman" w:hAnsi="Times New Roman"/>
          <w:sz w:val="18"/>
          <w:szCs w:val="18"/>
          <w:color w:val="auto"/>
        </w:rPr>
        <w:t>. Among adults earning up to $100,000, Chime has been the top brand for people establishing new, or switching existing,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 deposit relationships, obtaining 17% of such relationships, according to a 2024 survey.</w:t>
      </w:r>
      <w:r>
        <w:rPr>
          <w:rFonts w:ascii="Times New Roman" w:cs="Times New Roman" w:eastAsia="Times New Roman" w:hAnsi="Times New Roman"/>
          <w:sz w:val="23"/>
          <w:szCs w:val="23"/>
          <w:color w:val="auto"/>
          <w:vertAlign w:val="superscript"/>
        </w:rPr>
        <w:t>78</w:t>
      </w:r>
      <w:r>
        <w:rPr>
          <w:rFonts w:ascii="Times New Roman" w:cs="Times New Roman" w:eastAsia="Times New Roman" w:hAnsi="Times New Roman"/>
          <w:sz w:val="18"/>
          <w:szCs w:val="18"/>
          <w:color w:val="auto"/>
        </w:rPr>
        <w:t xml:space="preserve"> In 2023, our members generated $92.4 billion in Purchase Volume. The Purchase Volume from Chime-branded debit cards was only surpassed by eight debit card issuers in the United States in 2023.</w:t>
      </w:r>
      <w:r>
        <w:rPr>
          <w:rFonts w:ascii="Times New Roman" w:cs="Times New Roman" w:eastAsia="Times New Roman" w:hAnsi="Times New Roman"/>
          <w:sz w:val="23"/>
          <w:szCs w:val="23"/>
          <w:color w:val="auto"/>
          <w:vertAlign w:val="superscript"/>
        </w:rPr>
        <w:t>79</w:t>
      </w:r>
      <w:r>
        <w:rPr>
          <w:rFonts w:ascii="Times New Roman" w:cs="Times New Roman" w:eastAsia="Times New Roman" w:hAnsi="Times New Roman"/>
          <w:sz w:val="18"/>
          <w:szCs w:val="18"/>
          <w:color w:val="auto"/>
        </w:rPr>
        <w:t xml:space="preserve"> Eighty-five percent of new members who direct deposit through Chime came from an existing direct deposit relationship, most commonly with large incumbent banks.</w:t>
      </w:r>
      <w:r>
        <w:rPr>
          <w:rFonts w:ascii="Times New Roman" w:cs="Times New Roman" w:eastAsia="Times New Roman" w:hAnsi="Times New Roman"/>
          <w:sz w:val="23"/>
          <w:szCs w:val="23"/>
          <w:color w:val="auto"/>
          <w:vertAlign w:val="superscript"/>
        </w:rPr>
        <w:t>80</w:t>
      </w:r>
      <w:r>
        <w:rPr>
          <w:rFonts w:ascii="Times New Roman" w:cs="Times New Roman" w:eastAsia="Times New Roman" w:hAnsi="Times New Roman"/>
          <w:sz w:val="18"/>
          <w:szCs w:val="18"/>
          <w:color w:val="auto"/>
        </w:rPr>
        <w:t xml:space="preserve"> They switch because we have a track record of delivering a meaningful impact on our members’ lives: 97% of our members say we have unlocked their financial progress.</w:t>
      </w:r>
      <w:r>
        <w:rPr>
          <w:rFonts w:ascii="Times New Roman" w:cs="Times New Roman" w:eastAsia="Times New Roman" w:hAnsi="Times New Roman"/>
          <w:sz w:val="23"/>
          <w:szCs w:val="23"/>
          <w:color w:val="auto"/>
          <w:vertAlign w:val="superscript"/>
        </w:rPr>
        <w:t>81</w:t>
      </w:r>
    </w:p>
    <w:p>
      <w:pPr>
        <w:spacing w:after="0" w:line="76" w:lineRule="exact"/>
        <w:rPr>
          <w:sz w:val="20"/>
          <w:szCs w:val="20"/>
          <w:color w:val="auto"/>
        </w:rPr>
      </w:pPr>
    </w:p>
    <w:p>
      <w:pPr>
        <w:ind w:right="80" w:firstLine="324"/>
        <w:spacing w:after="0" w:line="235" w:lineRule="auto"/>
        <w:rPr>
          <w:sz w:val="20"/>
          <w:szCs w:val="20"/>
          <w:color w:val="auto"/>
        </w:rPr>
      </w:pPr>
      <w:r>
        <w:rPr>
          <w:rFonts w:ascii="Times New Roman" w:cs="Times New Roman" w:eastAsia="Times New Roman" w:hAnsi="Times New Roman"/>
          <w:sz w:val="18"/>
          <w:szCs w:val="18"/>
          <w:color w:val="auto"/>
        </w:rPr>
        <w:t>In December 2024, our Active Members had adopted 3.3 Chime products on average. We generated an ARPAM of $245 in the fourth quarter of 2024, and in 2024 we had net dollar transaction profit retention of approximately 107%.</w:t>
      </w:r>
      <w:r>
        <w:rPr>
          <w:rFonts w:ascii="Times New Roman" w:cs="Times New Roman" w:eastAsia="Times New Roman" w:hAnsi="Times New Roman"/>
          <w:sz w:val="23"/>
          <w:szCs w:val="23"/>
          <w:color w:val="auto"/>
          <w:vertAlign w:val="superscript"/>
        </w:rPr>
        <w:t>82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 a market crowded with fintech single point solutions, we 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building long-lasting and deep, multi-product relationships to advance our members’ financial journeys.</w:t>
      </w:r>
    </w:p>
    <w:p>
      <w:pPr>
        <w:spacing w:after="0" w:line="142" w:lineRule="exact"/>
        <w:rPr>
          <w:sz w:val="20"/>
          <w:szCs w:val="20"/>
          <w:color w:val="auto"/>
        </w:rPr>
      </w:pPr>
    </w:p>
    <w:p>
      <w:pPr>
        <w:ind w:right="20" w:firstLine="324"/>
        <w:spacing w:after="0" w:line="245" w:lineRule="auto"/>
        <w:rPr>
          <w:sz w:val="20"/>
          <w:szCs w:val="20"/>
          <w:color w:val="auto"/>
        </w:rPr>
      </w:pPr>
      <w:r>
        <w:rPr>
          <w:rFonts w:ascii="Times New Roman" w:cs="Times New Roman" w:eastAsia="Times New Roman" w:hAnsi="Times New Roman"/>
          <w:sz w:val="18"/>
          <w:szCs w:val="18"/>
          <w:b w:val="1"/>
          <w:bCs w:val="1"/>
          <w:color w:val="auto"/>
        </w:rPr>
        <w:t>We are still early in our growth opportunity</w:t>
      </w:r>
      <w:r>
        <w:rPr>
          <w:rFonts w:ascii="Times New Roman" w:cs="Times New Roman" w:eastAsia="Times New Roman" w:hAnsi="Times New Roman"/>
          <w:sz w:val="18"/>
          <w:szCs w:val="18"/>
          <w:color w:val="auto"/>
        </w:rPr>
        <w:t>. Consumer financial services in the United States remains broken for everyday people in many ways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one of the last industries where incumbents have yet to be truly disrupted by a technology focused competitor. We believe we have a $85 billion annual revenue opportunity by addressing the 196 million Americans earning up to $100,000 annually with our current products alone, and we have penetrated less than 2% of this opportunity today.</w:t>
      </w:r>
      <w:r>
        <w:rPr>
          <w:rFonts w:ascii="Times New Roman" w:cs="Times New Roman" w:eastAsia="Times New Roman" w:hAnsi="Times New Roman"/>
          <w:sz w:val="23"/>
          <w:szCs w:val="23"/>
          <w:color w:val="auto"/>
          <w:vertAlign w:val="superscript"/>
        </w:rPr>
        <w:t>83</w:t>
      </w:r>
      <w:r>
        <w:rPr>
          <w:rFonts w:ascii="Times New Roman" w:cs="Times New Roman" w:eastAsia="Times New Roman" w:hAnsi="Times New Roman"/>
          <w:sz w:val="18"/>
          <w:szCs w:val="18"/>
          <w:color w:val="auto"/>
        </w:rPr>
        <w:t xml:space="preserve"> We believe that our opportunity can grow to $426 billion as we continue to expand our platform, allowing us to meet more needs of our current members, and serve a wider audience of Americans.</w:t>
      </w:r>
      <w:r>
        <w:rPr>
          <w:rFonts w:ascii="Times New Roman" w:cs="Times New Roman" w:eastAsia="Times New Roman" w:hAnsi="Times New Roman"/>
          <w:sz w:val="23"/>
          <w:szCs w:val="23"/>
          <w:color w:val="auto"/>
          <w:vertAlign w:val="superscript"/>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17145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69" w:lineRule="exact"/>
        <w:rPr>
          <w:sz w:val="20"/>
          <w:szCs w:val="20"/>
          <w:color w:val="auto"/>
        </w:rPr>
      </w:pPr>
    </w:p>
    <w:p>
      <w:pPr>
        <w:ind w:left="340" w:right="60" w:hanging="332"/>
        <w:spacing w:after="0" w:line="271" w:lineRule="auto"/>
        <w:tabs>
          <w:tab w:leader="none" w:pos="343" w:val="left"/>
        </w:tabs>
        <w:numPr>
          <w:ilvl w:val="0"/>
          <w:numId w:val="7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Chime brand awareness measured against Bank of America, J.P. Morgan Chase, Wells Fargo, Cash App, PayPal, and Venmo. Based on Chime commissioned third-party surveys conducted in the fourth quarter of 2024 (the “Brand Awareness Survey”). See the section titled “Industry, Market, and Other Data.”</w:t>
      </w:r>
    </w:p>
    <w:p>
      <w:pPr>
        <w:ind w:left="340" w:hanging="332"/>
        <w:spacing w:after="0" w:line="192" w:lineRule="auto"/>
        <w:tabs>
          <w:tab w:leader="none" w:pos="340" w:val="left"/>
        </w:tabs>
        <w:numPr>
          <w:ilvl w:val="0"/>
          <w:numId w:val="7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Brand Awareness Survey; see the section titled “Industry, Market, and Other Data.”</w:t>
      </w:r>
    </w:p>
    <w:p>
      <w:pPr>
        <w:spacing w:after="0" w:line="3" w:lineRule="exact"/>
        <w:rPr>
          <w:rFonts w:ascii="Times New Roman" w:cs="Times New Roman" w:eastAsia="Times New Roman" w:hAnsi="Times New Roman"/>
          <w:sz w:val="19"/>
          <w:szCs w:val="19"/>
          <w:color w:val="auto"/>
          <w:vertAlign w:val="superscript"/>
        </w:rPr>
      </w:pPr>
    </w:p>
    <w:p>
      <w:pPr>
        <w:ind w:left="340" w:hanging="332"/>
        <w:spacing w:after="0" w:line="189" w:lineRule="auto"/>
        <w:tabs>
          <w:tab w:leader="none" w:pos="340" w:val="left"/>
        </w:tabs>
        <w:numPr>
          <w:ilvl w:val="0"/>
          <w:numId w:val="7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Banking and Switcher Survey; see the section titled “Industry, Market, and Other Data.”</w:t>
      </w:r>
    </w:p>
    <w:p>
      <w:pPr>
        <w:spacing w:after="0" w:line="3" w:lineRule="exact"/>
        <w:rPr>
          <w:rFonts w:ascii="Times New Roman" w:cs="Times New Roman" w:eastAsia="Times New Roman" w:hAnsi="Times New Roman"/>
          <w:sz w:val="19"/>
          <w:szCs w:val="19"/>
          <w:color w:val="auto"/>
          <w:vertAlign w:val="superscript"/>
        </w:rPr>
      </w:pPr>
    </w:p>
    <w:p>
      <w:pPr>
        <w:ind w:left="340" w:hanging="332"/>
        <w:spacing w:after="0" w:line="187" w:lineRule="auto"/>
        <w:tabs>
          <w:tab w:leader="none" w:pos="340" w:val="left"/>
        </w:tabs>
        <w:numPr>
          <w:ilvl w:val="0"/>
          <w:numId w:val="7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HSN Consultants, Inc. dba Nilson Report, Nilson Report, Issue 1262, April 2024.</w:t>
      </w:r>
    </w:p>
    <w:p>
      <w:pPr>
        <w:ind w:left="340" w:right="140" w:hanging="332"/>
        <w:spacing w:after="0" w:line="260" w:lineRule="auto"/>
        <w:tabs>
          <w:tab w:leader="none" w:pos="343" w:val="left"/>
        </w:tabs>
        <w:numPr>
          <w:ilvl w:val="0"/>
          <w:numId w:val="7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Existing direct deposit relationship includes previously direct depositing with national banks, credit unions, regional banks, online financial services platforms, prepaid cards and payment apps. Based on Chime commissioned third-party surveys conducted from January through December 2024 on newly enrolled members three days after their enrollment (the “Enrollment Surveys”). See the section titled “Industry, Market, and Other Data.”</w:t>
      </w:r>
    </w:p>
    <w:p>
      <w:pPr>
        <w:ind w:left="340" w:right="40" w:hanging="332"/>
        <w:spacing w:after="0" w:line="227" w:lineRule="auto"/>
        <w:tabs>
          <w:tab w:leader="none" w:pos="343" w:val="left"/>
        </w:tabs>
        <w:numPr>
          <w:ilvl w:val="0"/>
          <w:numId w:val="7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 the Chime Financial Progress Survey 97% of respondents indicated that Chime has helped in at least one of the following aspects of unlocking financial progress: avoiding fees, bridging the gap until their next paycheck, avoiding late or missed bills, managing spending, improving credit scores, saving for an emergency, saving for a long-term goal, or helping pay off high-interest rate debt. See the section titled “Industry, Market, and Other Data.”</w:t>
      </w:r>
    </w:p>
    <w:p>
      <w:pPr>
        <w:spacing w:after="0" w:line="1" w:lineRule="exact"/>
        <w:rPr>
          <w:rFonts w:ascii="Times New Roman" w:cs="Times New Roman" w:eastAsia="Times New Roman" w:hAnsi="Times New Roman"/>
          <w:sz w:val="19"/>
          <w:szCs w:val="19"/>
          <w:color w:val="auto"/>
          <w:vertAlign w:val="superscript"/>
        </w:rPr>
      </w:pPr>
    </w:p>
    <w:p>
      <w:pPr>
        <w:jc w:val="both"/>
        <w:ind w:left="340" w:right="280" w:hanging="332"/>
        <w:spacing w:after="0" w:line="229" w:lineRule="auto"/>
        <w:tabs>
          <w:tab w:leader="none" w:pos="320" w:val="left"/>
        </w:tabs>
        <w:numPr>
          <w:ilvl w:val="0"/>
          <w:numId w:val="7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We calculate net dollar transaction profit retention by dividing transaction profit in the current period from all members that first became active at least one year prior to such period, by transaction profit from those same members in the prior period, inclusive of any members that have churned. We only include members that first became active at least one year prior to avoid comparing a full period of transaction profit in the current period to a partial period of transaction profit in the prior period.</w:t>
      </w:r>
    </w:p>
    <w:p>
      <w:pPr>
        <w:ind w:left="340" w:right="220" w:hanging="332"/>
        <w:spacing w:after="0" w:line="259" w:lineRule="auto"/>
        <w:tabs>
          <w:tab w:leader="none" w:pos="343" w:val="left"/>
        </w:tabs>
        <w:numPr>
          <w:ilvl w:val="0"/>
          <w:numId w:val="7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Revenue opportunity calculated by multiplying the 196 million adult Americans earning up to $100,000 annually by the ARPAM for the fourth quarter of 2024 for members who used at least six products per month in December 2024. Penetration percentage based on 2024 annual revenue.</w:t>
      </w:r>
    </w:p>
    <w:p>
      <w:pPr>
        <w:ind w:left="340" w:hanging="332"/>
        <w:spacing w:after="0" w:line="192" w:lineRule="auto"/>
        <w:tabs>
          <w:tab w:leader="none" w:pos="340" w:val="left"/>
        </w:tabs>
        <w:numPr>
          <w:ilvl w:val="0"/>
          <w:numId w:val="7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FS Vector Report; see the section titled “Industry, Market, and Other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220"/>
          </w:cols>
          <w:pgMar w:left="320" w:top="124" w:right="35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Our winning financial model has enabled us to drive rapid growth and strong operating leverage at scale</w:t>
      </w:r>
      <w:r>
        <w:rPr>
          <w:rFonts w:ascii="Times New Roman" w:cs="Times New Roman" w:eastAsia="Times New Roman" w:hAnsi="Times New Roman"/>
          <w:sz w:val="18"/>
          <w:szCs w:val="18"/>
          <w:color w:val="auto"/>
        </w:rPr>
        <w: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gridSpan w:val="3"/>
            <w:vMerge w:val="restart"/>
          </w:tcPr>
          <w:p>
            <w:pPr>
              <w:ind w:left="118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34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tcBorders>
              <w:bottom w:val="single" w:sz="8" w:color="auto"/>
            </w:tcBorders>
            <w:gridSpan w:val="3"/>
            <w:vMerge w:val="continue"/>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360" w:type="dxa"/>
            <w:vAlign w:val="bottom"/>
          </w:tcPr>
          <w:p>
            <w:pPr>
              <w:spacing w:after="0"/>
              <w:rPr>
                <w:sz w:val="17"/>
                <w:szCs w:val="17"/>
                <w:color w:val="auto"/>
              </w:rPr>
            </w:pPr>
          </w:p>
        </w:tc>
        <w:tc>
          <w:tcPr>
            <w:tcW w:w="1160" w:type="dxa"/>
            <w:vAlign w:val="bottom"/>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188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2022 to 2023</w:t>
            </w:r>
          </w:p>
        </w:tc>
        <w:tc>
          <w:tcPr>
            <w:tcW w:w="114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2023 to 2024</w:t>
            </w:r>
          </w:p>
        </w:tc>
        <w:tc>
          <w:tcPr>
            <w:tcW w:w="0" w:type="dxa"/>
            <w:vAlign w:val="bottom"/>
          </w:tcPr>
          <w:p>
            <w:pPr>
              <w:spacing w:after="0"/>
              <w:rPr>
                <w:sz w:val="1"/>
                <w:szCs w:val="1"/>
                <w:color w:val="auto"/>
              </w:rPr>
            </w:pPr>
          </w:p>
        </w:tc>
      </w:tr>
      <w:tr>
        <w:trPr>
          <w:trHeight w:val="216"/>
        </w:trPr>
        <w:tc>
          <w:tcPr>
            <w:tcW w:w="3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1,008,838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1,278,455</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1,673,269</w:t>
            </w:r>
          </w:p>
        </w:tc>
        <w:tc>
          <w:tcPr>
            <w:tcW w:w="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60" w:type="dxa"/>
            <w:vAlign w:val="bottom"/>
          </w:tcPr>
          <w:p>
            <w:pPr>
              <w:spacing w:after="0"/>
              <w:rPr>
                <w:sz w:val="18"/>
                <w:szCs w:val="18"/>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794,152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1,058,718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1,465,758</w:t>
            </w: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Gross margin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88 %</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Transaction profit</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667,438</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906,343</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1,246,071</w:t>
            </w: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Transaction margin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74 %</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(470,254)</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(203,202)</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(25,344)</w:t>
            </w: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88 %</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Net margin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90 %</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(406,123)</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(189,313)</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(6,984)</w:t>
            </w: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96 %</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Adjusted EBITDA Margin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 %</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97 %</w:t>
            </w:r>
          </w:p>
        </w:tc>
        <w:tc>
          <w:tcPr>
            <w:tcW w:w="0" w:type="dxa"/>
            <w:vAlign w:val="bottom"/>
          </w:tcPr>
          <w:p>
            <w:pPr>
              <w:spacing w:after="0"/>
              <w:rPr>
                <w:sz w:val="1"/>
                <w:szCs w:val="1"/>
                <w:color w:val="auto"/>
              </w:rPr>
            </w:pPr>
          </w:p>
        </w:tc>
      </w:tr>
    </w:tbl>
    <w:p>
      <w:pPr>
        <w:spacing w:after="0" w:line="236" w:lineRule="exact"/>
        <w:rPr>
          <w:sz w:val="20"/>
          <w:szCs w:val="20"/>
          <w:color w:val="auto"/>
        </w:rPr>
      </w:pPr>
    </w:p>
    <w:p>
      <w:pPr>
        <w:ind w:right="460" w:firstLine="324"/>
        <w:spacing w:after="0" w:line="315" w:lineRule="auto"/>
        <w:rPr>
          <w:sz w:val="20"/>
          <w:szCs w:val="20"/>
          <w:color w:val="auto"/>
        </w:rPr>
      </w:pPr>
      <w:r>
        <w:rPr>
          <w:rFonts w:ascii="Times New Roman" w:cs="Times New Roman" w:eastAsia="Times New Roman" w:hAnsi="Times New Roman"/>
          <w:sz w:val="17"/>
          <w:szCs w:val="17"/>
          <w:i w:val="1"/>
          <w:iCs w:val="1"/>
          <w:color w:val="auto"/>
        </w:rPr>
        <w:t>Transaction profit, transaction margin, adjusted EBITDA, and adjusted EBITDA margin are non-GAAP financial measures. See the section titled “Management’s Discussion and Analysis of Financial Condition and Results of Operations—Key Metrics and Non-GAAP Financial Measures.”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MEMBERS ARE EVERYDAY AMERICANS</w:t>
      </w:r>
    </w:p>
    <w:p>
      <w:pPr>
        <w:spacing w:after="0" w:line="175" w:lineRule="exact"/>
        <w:rPr>
          <w:sz w:val="20"/>
          <w:szCs w:val="20"/>
          <w:color w:val="auto"/>
        </w:rPr>
      </w:pPr>
    </w:p>
    <w:p>
      <w:pPr>
        <w:ind w:right="160" w:firstLine="324"/>
        <w:spacing w:after="0" w:line="242" w:lineRule="auto"/>
        <w:rPr>
          <w:sz w:val="20"/>
          <w:szCs w:val="20"/>
          <w:color w:val="auto"/>
        </w:rPr>
      </w:pPr>
      <w:r>
        <w:rPr>
          <w:rFonts w:ascii="Times New Roman" w:cs="Times New Roman" w:eastAsia="Times New Roman" w:hAnsi="Times New Roman"/>
          <w:sz w:val="18"/>
          <w:szCs w:val="18"/>
          <w:color w:val="auto"/>
        </w:rPr>
        <w:t>We serve everyday Americans, the people we meet and interact with every day. They often work in healthcare, retail, hospitality, or a variety of other corporate jobs, and are essential workers who form the heart and soul of America. Chime members reflect the diversity of America, encompassing individuals from a wide range of backgrounds and spanning all 50 states. Fifty-five percent of our members are female</w:t>
      </w:r>
      <w:r>
        <w:rPr>
          <w:rFonts w:ascii="Times New Roman" w:cs="Times New Roman" w:eastAsia="Times New Roman" w:hAnsi="Times New Roman"/>
          <w:sz w:val="23"/>
          <w:szCs w:val="23"/>
          <w:color w:val="auto"/>
          <w:vertAlign w:val="superscript"/>
        </w:rPr>
        <w:t>85</w:t>
      </w:r>
      <w:r>
        <w:rPr>
          <w:rFonts w:ascii="Times New Roman" w:cs="Times New Roman" w:eastAsia="Times New Roman" w:hAnsi="Times New Roman"/>
          <w:sz w:val="18"/>
          <w:szCs w:val="18"/>
          <w:color w:val="auto"/>
        </w:rPr>
        <w:t xml:space="preserve"> and our members range from young adults to those over 60, with an average age of 36.</w:t>
      </w:r>
      <w:r>
        <w:rPr>
          <w:rFonts w:ascii="Times New Roman" w:cs="Times New Roman" w:eastAsia="Times New Roman" w:hAnsi="Times New Roman"/>
          <w:sz w:val="23"/>
          <w:szCs w:val="23"/>
          <w:color w:val="auto"/>
          <w:vertAlign w:val="superscript"/>
        </w:rPr>
        <w:t>86</w:t>
      </w:r>
      <w:r>
        <w:rPr>
          <w:rFonts w:ascii="Times New Roman" w:cs="Times New Roman" w:eastAsia="Times New Roman" w:hAnsi="Times New Roman"/>
          <w:sz w:val="18"/>
          <w:szCs w:val="18"/>
          <w:color w:val="auto"/>
        </w:rPr>
        <w:t xml:space="preserve"> They are ambitious and resilient, and they hustle to move their lives forward.</w:t>
      </w:r>
    </w:p>
    <w:p>
      <w:pPr>
        <w:spacing w:after="0" w:line="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Everyday Americans face challenges in making the financial progress they desire. There are 196 million adults in the United States who earn up to</w:t>
      </w:r>
    </w:p>
    <w:p>
      <w:pPr>
        <w:jc w:val="center"/>
        <w:ind w:right="20"/>
        <w:spacing w:after="0" w:line="232" w:lineRule="auto"/>
        <w:rPr>
          <w:sz w:val="20"/>
          <w:szCs w:val="20"/>
          <w:color w:val="auto"/>
        </w:rPr>
      </w:pPr>
      <w:r>
        <w:rPr>
          <w:rFonts w:ascii="Times New Roman" w:cs="Times New Roman" w:eastAsia="Times New Roman" w:hAnsi="Times New Roman"/>
          <w:sz w:val="17"/>
          <w:szCs w:val="17"/>
          <w:color w:val="auto"/>
        </w:rPr>
        <w:t>$100,000 annually — over 75% of the adult population.</w:t>
      </w:r>
      <w:r>
        <w:rPr>
          <w:rFonts w:ascii="Times New Roman" w:cs="Times New Roman" w:eastAsia="Times New Roman" w:hAnsi="Times New Roman"/>
          <w:sz w:val="22"/>
          <w:szCs w:val="22"/>
          <w:color w:val="auto"/>
          <w:vertAlign w:val="superscript"/>
        </w:rPr>
        <w:t>87</w:t>
      </w:r>
      <w:r>
        <w:rPr>
          <w:rFonts w:ascii="Times New Roman" w:cs="Times New Roman" w:eastAsia="Times New Roman" w:hAnsi="Times New Roman"/>
          <w:sz w:val="17"/>
          <w:szCs w:val="17"/>
          <w:color w:val="auto"/>
        </w:rPr>
        <w:t xml:space="preserve"> Many of these Americans live paycheck-to-paycheck, often spending as much as — or more than</w:t>
      </w:r>
    </w:p>
    <w:p>
      <w:pPr>
        <w:ind w:right="120"/>
        <w:spacing w:after="0" w:line="228" w:lineRule="auto"/>
        <w:rPr>
          <w:sz w:val="20"/>
          <w:szCs w:val="20"/>
          <w:color w:val="auto"/>
        </w:rPr>
      </w:pPr>
      <w:r>
        <w:rPr>
          <w:rFonts w:ascii="Times New Roman" w:cs="Times New Roman" w:eastAsia="Times New Roman" w:hAnsi="Times New Roman"/>
          <w:sz w:val="18"/>
          <w:szCs w:val="18"/>
          <w:color w:val="auto"/>
        </w:rPr>
        <w:t>— they earn each month to support themselves and their families. Living paycheck-to-paycheck is a reality for higher income earners as well. In fact, an estimated 67% of all Americans live paycheck-to-paycheck.</w:t>
      </w:r>
      <w:r>
        <w:rPr>
          <w:rFonts w:ascii="Times New Roman" w:cs="Times New Roman" w:eastAsia="Times New Roman" w:hAnsi="Times New Roman"/>
          <w:sz w:val="23"/>
          <w:szCs w:val="23"/>
          <w:color w:val="auto"/>
          <w:vertAlign w:val="superscript"/>
        </w:rPr>
        <w:t>88</w:t>
      </w:r>
      <w:r>
        <w:rPr>
          <w:rFonts w:ascii="Times New Roman" w:cs="Times New Roman" w:eastAsia="Times New Roman" w:hAnsi="Times New Roman"/>
          <w:sz w:val="18"/>
          <w:szCs w:val="18"/>
          <w:color w:val="auto"/>
        </w:rPr>
        <w:t xml:space="preserve"> As a result, many Americans have low levels of liquidity. These realities can make financial progress challenging to achieve and easy to lose.</w:t>
      </w:r>
    </w:p>
    <w:p>
      <w:pPr>
        <w:spacing w:after="0" w:line="1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Everyday Americans deserve trusted financial solutions that are aligned with their best interests and address their most critical needs across:</w:t>
      </w:r>
    </w:p>
    <w:p>
      <w:pPr>
        <w:spacing w:after="0" w:line="167" w:lineRule="exact"/>
        <w:rPr>
          <w:sz w:val="20"/>
          <w:szCs w:val="20"/>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Spending: </w:t>
      </w:r>
      <w:r>
        <w:rPr>
          <w:rFonts w:ascii="Times New Roman" w:cs="Times New Roman" w:eastAsia="Times New Roman" w:hAnsi="Times New Roman"/>
          <w:sz w:val="18"/>
          <w:szCs w:val="18"/>
          <w:color w:val="auto"/>
        </w:rPr>
        <w:t>to easily pay for daily expenses without being charged punitive fees;</w:t>
      </w:r>
    </w:p>
    <w:p>
      <w:pPr>
        <w:spacing w:after="0" w:line="171" w:lineRule="exact"/>
        <w:rPr>
          <w:rFonts w:ascii="Times New Roman" w:cs="Times New Roman" w:eastAsia="Times New Roman" w:hAnsi="Times New Roman"/>
          <w:sz w:val="18"/>
          <w:szCs w:val="18"/>
          <w:color w:val="auto"/>
        </w:rPr>
      </w:pPr>
    </w:p>
    <w:p>
      <w:pPr>
        <w:ind w:left="660" w:right="40" w:hanging="328"/>
        <w:spacing w:after="0" w:line="286" w:lineRule="auto"/>
        <w:tabs>
          <w:tab w:leader="none" w:pos="65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Liquidity: </w:t>
      </w:r>
      <w:r>
        <w:rPr>
          <w:rFonts w:ascii="Times New Roman" w:cs="Times New Roman" w:eastAsia="Times New Roman" w:hAnsi="Times New Roman"/>
          <w:sz w:val="18"/>
          <w:szCs w:val="18"/>
          <w:color w:val="auto"/>
        </w:rPr>
        <w:t>to bridge the times when money is tight between paychecks, and manage through unexpected expenses such as a car repair or a medical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bill;</w:t>
      </w:r>
    </w:p>
    <w:p>
      <w:pPr>
        <w:spacing w:after="0" w:line="10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Credit Building: </w:t>
      </w:r>
      <w:r>
        <w:rPr>
          <w:rFonts w:ascii="Times New Roman" w:cs="Times New Roman" w:eastAsia="Times New Roman" w:hAnsi="Times New Roman"/>
          <w:sz w:val="18"/>
          <w:szCs w:val="18"/>
          <w:color w:val="auto"/>
        </w:rPr>
        <w:t>to help qualify for an apartment lease, personal loan, or affordable insurance rates;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Savings: </w:t>
      </w:r>
      <w:r>
        <w:rPr>
          <w:rFonts w:ascii="Times New Roman" w:cs="Times New Roman" w:eastAsia="Times New Roman" w:hAnsi="Times New Roman"/>
          <w:sz w:val="18"/>
          <w:szCs w:val="18"/>
          <w:color w:val="auto"/>
        </w:rPr>
        <w:t>to prepare for expenses related to education, retirement, and life’s major milestones;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Community: </w:t>
      </w:r>
      <w:r>
        <w:rPr>
          <w:rFonts w:ascii="Times New Roman" w:cs="Times New Roman" w:eastAsia="Times New Roman" w:hAnsi="Times New Roman"/>
          <w:sz w:val="18"/>
          <w:szCs w:val="18"/>
          <w:color w:val="auto"/>
        </w:rPr>
        <w:t>to conveniently split an expense, share a dinner bill, or send money to family, friends, and co-workers.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17145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0" w:hanging="332"/>
        <w:spacing w:after="0"/>
        <w:tabs>
          <w:tab w:leader="none" w:pos="340" w:val="left"/>
        </w:tabs>
        <w:numPr>
          <w:ilvl w:val="0"/>
          <w:numId w:val="8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Chime Financial Progress Survey; see the section titled “Industry, Market, and Other Data.”</w:t>
      </w:r>
    </w:p>
    <w:p>
      <w:pPr>
        <w:spacing w:after="0" w:line="3" w:lineRule="exact"/>
        <w:rPr>
          <w:rFonts w:ascii="Times New Roman" w:cs="Times New Roman" w:eastAsia="Times New Roman" w:hAnsi="Times New Roman"/>
          <w:sz w:val="19"/>
          <w:szCs w:val="19"/>
          <w:color w:val="auto"/>
          <w:vertAlign w:val="superscript"/>
        </w:rPr>
      </w:pPr>
    </w:p>
    <w:p>
      <w:pPr>
        <w:ind w:left="340" w:hanging="332"/>
        <w:spacing w:after="0" w:line="189" w:lineRule="auto"/>
        <w:tabs>
          <w:tab w:leader="none" w:pos="340" w:val="left"/>
        </w:tabs>
        <w:numPr>
          <w:ilvl w:val="0"/>
          <w:numId w:val="8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Based on Active Members as of December 31, 2024.</w:t>
      </w:r>
    </w:p>
    <w:p>
      <w:pPr>
        <w:spacing w:after="0" w:line="3" w:lineRule="exact"/>
        <w:rPr>
          <w:rFonts w:ascii="Times New Roman" w:cs="Times New Roman" w:eastAsia="Times New Roman" w:hAnsi="Times New Roman"/>
          <w:sz w:val="19"/>
          <w:szCs w:val="19"/>
          <w:color w:val="auto"/>
          <w:vertAlign w:val="superscript"/>
        </w:rPr>
      </w:pPr>
    </w:p>
    <w:p>
      <w:pPr>
        <w:ind w:left="340" w:hanging="332"/>
        <w:spacing w:after="0" w:line="187" w:lineRule="auto"/>
        <w:tabs>
          <w:tab w:leader="none" w:pos="340" w:val="left"/>
        </w:tabs>
        <w:numPr>
          <w:ilvl w:val="0"/>
          <w:numId w:val="8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U.S. Census Bureau, Current Population Survey, 2024 Annual Social and Economic Supplement (CPS ASEC).</w:t>
      </w:r>
    </w:p>
    <w:p>
      <w:pPr>
        <w:ind w:left="340" w:hanging="332"/>
        <w:spacing w:after="0"/>
        <w:tabs>
          <w:tab w:leader="none" w:pos="340" w:val="left"/>
        </w:tabs>
        <w:numPr>
          <w:ilvl w:val="0"/>
          <w:numId w:val="8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FS Vector Report; see the section titled “Industry, Market, and Other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240"/>
          </w:cols>
          <w:pgMar w:left="320" w:top="124" w:right="339" w:bottom="1440" w:gutter="0" w:footer="0" w:header="0"/>
        </w:sectPr>
      </w:pPr>
    </w:p>
    <w:bookmarkStart w:id="133" w:name="page134"/>
    <w:bookmarkEnd w:id="1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379730</wp:posOffset>
            </wp:positionH>
            <wp:positionV relativeFrom="page">
              <wp:posOffset>243205</wp:posOffset>
            </wp:positionV>
            <wp:extent cx="6789420" cy="90525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678942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379730</wp:posOffset>
            </wp:positionH>
            <wp:positionV relativeFrom="page">
              <wp:posOffset>243205</wp:posOffset>
            </wp:positionV>
            <wp:extent cx="6789420" cy="90525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678942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TRADITIONAL BANKS ARE FAILING MANY EVERYDAY AMERICANS</w:t>
      </w:r>
    </w:p>
    <w:p>
      <w:pPr>
        <w:spacing w:after="0" w:line="175" w:lineRule="exact"/>
        <w:rPr>
          <w:sz w:val="20"/>
          <w:szCs w:val="20"/>
          <w:color w:val="auto"/>
        </w:rPr>
      </w:pPr>
    </w:p>
    <w:p>
      <w:pPr>
        <w:ind w:right="80" w:firstLine="324"/>
        <w:spacing w:after="0" w:line="234" w:lineRule="auto"/>
        <w:rPr>
          <w:sz w:val="20"/>
          <w:szCs w:val="20"/>
          <w:color w:val="auto"/>
        </w:rPr>
      </w:pPr>
      <w:r>
        <w:rPr>
          <w:rFonts w:ascii="Times New Roman" w:cs="Times New Roman" w:eastAsia="Times New Roman" w:hAnsi="Times New Roman"/>
          <w:sz w:val="18"/>
          <w:szCs w:val="18"/>
          <w:color w:val="auto"/>
        </w:rPr>
        <w:t>Traditional banks rely on a net interest margin-based business model with approximately 70% of their revenue coming from customer deposits and lending.</w:t>
      </w:r>
      <w:r>
        <w:rPr>
          <w:rFonts w:ascii="Times New Roman" w:cs="Times New Roman" w:eastAsia="Times New Roman" w:hAnsi="Times New Roman"/>
          <w:sz w:val="23"/>
          <w:szCs w:val="23"/>
          <w:color w:val="auto"/>
          <w:vertAlign w:val="superscript"/>
        </w:rPr>
        <w:t>89</w:t>
      </w:r>
      <w:r>
        <w:rPr>
          <w:rFonts w:ascii="Times New Roman" w:cs="Times New Roman" w:eastAsia="Times New Roman" w:hAnsi="Times New Roman"/>
          <w:sz w:val="18"/>
          <w:szCs w:val="18"/>
          <w:color w:val="auto"/>
        </w:rPr>
        <w:t xml:space="preserve"> This approach is effective for, and leads traditional banks to focus on, the most affluent customers with higher credit scores, who have high deposit balances and large borrowing needs. However, this approach is ineffective for everyday Americans, most of whom live paycheck-to-paycheck and often have more modest account balances and limited credit histories. We believe that the majority of Americans can be better served by a payments-based banking model rather than the net interest margin-based model used by traditional banks. Everyday Americans earning up to $100,000 annually are estimated to account for less than 35% of consumer deposits yet over 75% of debit card transaction volume.</w:t>
      </w:r>
      <w:r>
        <w:rPr>
          <w:rFonts w:ascii="Times New Roman" w:cs="Times New Roman" w:eastAsia="Times New Roman" w:hAnsi="Times New Roman"/>
          <w:sz w:val="23"/>
          <w:szCs w:val="23"/>
          <w:color w:val="auto"/>
          <w:vertAlign w:val="superscript"/>
        </w:rPr>
        <w:t>90</w:t>
      </w:r>
      <w:r>
        <w:rPr>
          <w:rFonts w:ascii="Times New Roman" w:cs="Times New Roman" w:eastAsia="Times New Roman" w:hAnsi="Times New Roman"/>
          <w:sz w:val="18"/>
          <w:szCs w:val="18"/>
          <w:color w:val="auto"/>
        </w:rPr>
        <w:t xml:space="preserve"> We are focused on serving everyday Americans with a banking model aligned with this financial reality.</w:t>
      </w:r>
    </w:p>
    <w:p>
      <w:pPr>
        <w:spacing w:after="0" w:line="149" w:lineRule="exact"/>
        <w:rPr>
          <w:sz w:val="20"/>
          <w:szCs w:val="20"/>
          <w:color w:val="auto"/>
        </w:rPr>
      </w:pPr>
    </w:p>
    <w:p>
      <w:pPr>
        <w:ind w:right="160" w:firstLine="324"/>
        <w:spacing w:after="0" w:line="241" w:lineRule="auto"/>
        <w:rPr>
          <w:sz w:val="20"/>
          <w:szCs w:val="20"/>
          <w:color w:val="auto"/>
        </w:rPr>
      </w:pPr>
      <w:r>
        <w:rPr>
          <w:rFonts w:ascii="Times New Roman" w:cs="Times New Roman" w:eastAsia="Times New Roman" w:hAnsi="Times New Roman"/>
          <w:sz w:val="18"/>
          <w:szCs w:val="18"/>
          <w:color w:val="auto"/>
        </w:rPr>
        <w:t>Even if traditional banks were to focus on serving the core needs of everyday Americans, they are structurally limited due to rigid, high-cost business models, driven by their physical branch infrastructure and in-person delivery approach. The average annual cost-to-serve a retail deposit customer is estimated to be approximately three times higher for the three largest incumbent banks and five times higher for mid-sized and regional banks when compared to Chime.</w:t>
      </w:r>
      <w:r>
        <w:rPr>
          <w:rFonts w:ascii="Times New Roman" w:cs="Times New Roman" w:eastAsia="Times New Roman" w:hAnsi="Times New Roman"/>
          <w:sz w:val="23"/>
          <w:szCs w:val="23"/>
          <w:color w:val="auto"/>
          <w:vertAlign w:val="superscript"/>
        </w:rPr>
        <w:t>91</w:t>
      </w:r>
      <w:r>
        <w:rPr>
          <w:rFonts w:ascii="Times New Roman" w:cs="Times New Roman" w:eastAsia="Times New Roman" w:hAnsi="Times New Roman"/>
          <w:sz w:val="18"/>
          <w:szCs w:val="18"/>
          <w:color w:val="auto"/>
        </w:rPr>
        <w:t xml:space="preserve"> In addition, their legacy technology requires significant investments to maintain and upgrade, making it more difficult to serve everyday Americans without fees.</w:t>
      </w:r>
    </w:p>
    <w:p>
      <w:pPr>
        <w:spacing w:after="0" w:line="1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 result of these structural limitations, traditional banks leave everyday Americans with:</w:t>
      </w:r>
    </w:p>
    <w:p>
      <w:pPr>
        <w:spacing w:after="0" w:line="167" w:lineRule="exact"/>
        <w:rPr>
          <w:sz w:val="20"/>
          <w:szCs w:val="20"/>
          <w:color w:val="auto"/>
        </w:rPr>
      </w:pPr>
    </w:p>
    <w:p>
      <w:pPr>
        <w:ind w:left="660" w:hanging="328"/>
        <w:spacing w:after="0" w:line="246" w:lineRule="auto"/>
        <w:tabs>
          <w:tab w:leader="none" w:pos="65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Expensive products and fees. </w:t>
      </w:r>
      <w:r>
        <w:rPr>
          <w:rFonts w:ascii="Times New Roman" w:cs="Times New Roman" w:eastAsia="Times New Roman" w:hAnsi="Times New Roman"/>
          <w:sz w:val="18"/>
          <w:szCs w:val="18"/>
          <w:color w:val="auto"/>
        </w:rPr>
        <w:t>Monthly maintenance fees for low balances, overdraft fees, and insufficient funds fees create expensive banking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experiences that can financially strain everyday Americans. Americans paid an estimated $18.5 billion in banking fees in 2023, with an estimated 95% of these fees paid by everyday American households.</w:t>
      </w:r>
      <w:r>
        <w:rPr>
          <w:rFonts w:ascii="Times New Roman" w:cs="Times New Roman" w:eastAsia="Times New Roman" w:hAnsi="Times New Roman"/>
          <w:sz w:val="23"/>
          <w:szCs w:val="23"/>
          <w:color w:val="auto"/>
          <w:vertAlign w:val="superscript"/>
        </w:rPr>
        <w:t>92</w:t>
      </w:r>
      <w:r>
        <w:rPr>
          <w:rFonts w:ascii="Times New Roman" w:cs="Times New Roman" w:eastAsia="Times New Roman" w:hAnsi="Times New Roman"/>
          <w:sz w:val="18"/>
          <w:szCs w:val="18"/>
          <w:color w:val="auto"/>
        </w:rPr>
        <w:t xml:space="preserve"> Because everyday Americans lack the account balances to drive sufficient net interest income, traditional banks use punitive fees to drive revenue from these customers and offset their high cost structures. These fees can come at the most inopportune times — such as when account balances are low or during unexpected crises — making it even harder to manage finances and recover from financial shocks. Even among other financial technology companies, fee practices can vary: for example, while some companies may provide fee-free access to comparable products, such companies may not offer access to a full suite of banking products or may require minimum direct deposit balances to avoid or reduce fees, including in-network ATM withdrawal fees; and some other financial technology companies primarily rely on fee-based or subscription models.</w:t>
      </w:r>
    </w:p>
    <w:p>
      <w:pPr>
        <w:spacing w:after="0" w:line="137" w:lineRule="exact"/>
        <w:rPr>
          <w:rFonts w:ascii="Times New Roman" w:cs="Times New Roman" w:eastAsia="Times New Roman" w:hAnsi="Times New Roman"/>
          <w:sz w:val="18"/>
          <w:szCs w:val="18"/>
          <w:color w:val="auto"/>
        </w:rPr>
      </w:pPr>
    </w:p>
    <w:p>
      <w:pPr>
        <w:ind w:left="660" w:right="40" w:hanging="328"/>
        <w:spacing w:after="0" w:line="242" w:lineRule="auto"/>
        <w:tabs>
          <w:tab w:leader="none" w:pos="65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Friction and lack of transparency. </w:t>
      </w:r>
      <w:r>
        <w:rPr>
          <w:rFonts w:ascii="Times New Roman" w:cs="Times New Roman" w:eastAsia="Times New Roman" w:hAnsi="Times New Roman"/>
          <w:sz w:val="18"/>
          <w:szCs w:val="18"/>
          <w:color w:val="auto"/>
        </w:rPr>
        <w:t>Traditional banking experiences can be frustrating and full of friction with slow check processing, delays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fund transfers, and outdated systems that require physical branch visits. In addition, banking products often lack transparency with disclosures that can be mired in obscure terms and fee schedules that can span dozens of pages. For many, these fees are unexpected: among American households that were charged an overdraft fee, only 22% reported that they anticipated their last fee</w:t>
      </w:r>
      <w:r>
        <w:rPr>
          <w:rFonts w:ascii="Times New Roman" w:cs="Times New Roman" w:eastAsia="Times New Roman" w:hAnsi="Times New Roman"/>
          <w:sz w:val="23"/>
          <w:szCs w:val="23"/>
          <w:color w:val="auto"/>
          <w:vertAlign w:val="superscript"/>
        </w:rPr>
        <w:t>93</w:t>
      </w:r>
      <w:r>
        <w:rPr>
          <w:rFonts w:ascii="Times New Roman" w:cs="Times New Roman" w:eastAsia="Times New Roman" w:hAnsi="Times New Roman"/>
          <w:sz w:val="18"/>
          <w:szCs w:val="18"/>
          <w:color w:val="auto"/>
        </w:rPr>
        <w:t xml:space="preserve"> Further, long customer support wait times add to an already unsatisfying customer experience. This emphasizes the need for more straightforward and transparent banking solutions.</w:t>
      </w:r>
    </w:p>
    <w:p>
      <w:pPr>
        <w:spacing w:after="0" w:line="140" w:lineRule="exact"/>
        <w:rPr>
          <w:rFonts w:ascii="Times New Roman" w:cs="Times New Roman" w:eastAsia="Times New Roman" w:hAnsi="Times New Roman"/>
          <w:sz w:val="18"/>
          <w:szCs w:val="18"/>
          <w:color w:val="auto"/>
        </w:rPr>
      </w:pPr>
    </w:p>
    <w:p>
      <w:pPr>
        <w:ind w:left="660" w:right="100" w:hanging="328"/>
        <w:spacing w:after="0" w:line="286" w:lineRule="auto"/>
        <w:tabs>
          <w:tab w:leader="none" w:pos="65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Unmet needs across liquidity, building credit, and savings. </w:t>
      </w:r>
      <w:r>
        <w:rPr>
          <w:rFonts w:ascii="Times New Roman" w:cs="Times New Roman" w:eastAsia="Times New Roman" w:hAnsi="Times New Roman"/>
          <w:sz w:val="18"/>
          <w:szCs w:val="18"/>
          <w:color w:val="auto"/>
        </w:rPr>
        <w:t>Traditional banks impose stringent lending criteria that often put liquidity solutions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 of reach — especially for the over 45 million Americans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17145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2" w:lineRule="exact"/>
        <w:rPr>
          <w:sz w:val="20"/>
          <w:szCs w:val="20"/>
          <w:color w:val="auto"/>
        </w:rPr>
      </w:pPr>
    </w:p>
    <w:p>
      <w:pPr>
        <w:ind w:left="340" w:hanging="332"/>
        <w:spacing w:after="0"/>
        <w:tabs>
          <w:tab w:leader="none" w:pos="340" w:val="left"/>
        </w:tabs>
        <w:numPr>
          <w:ilvl w:val="0"/>
          <w:numId w:val="8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S&amp;P Capital IQ Pro. Based on 2023 submissions from banking institutions to the Federal Financial Institutions Examination Council (FFIEC).</w:t>
      </w:r>
    </w:p>
    <w:p>
      <w:pPr>
        <w:spacing w:after="0" w:line="27" w:lineRule="exact"/>
        <w:rPr>
          <w:rFonts w:ascii="Times New Roman" w:cs="Times New Roman" w:eastAsia="Times New Roman" w:hAnsi="Times New Roman"/>
          <w:sz w:val="9"/>
          <w:szCs w:val="9"/>
          <w:color w:val="auto"/>
        </w:rPr>
      </w:pPr>
    </w:p>
    <w:p>
      <w:pPr>
        <w:ind w:left="340" w:hanging="332"/>
        <w:spacing w:after="0" w:line="192" w:lineRule="auto"/>
        <w:tabs>
          <w:tab w:leader="none" w:pos="340" w:val="left"/>
        </w:tabs>
        <w:numPr>
          <w:ilvl w:val="0"/>
          <w:numId w:val="8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FS Vector Report; see the section titled “Industry, Market, and Other Data.”</w:t>
      </w:r>
    </w:p>
    <w:p>
      <w:pPr>
        <w:spacing w:after="0" w:line="3" w:lineRule="exact"/>
        <w:rPr>
          <w:rFonts w:ascii="Times New Roman" w:cs="Times New Roman" w:eastAsia="Times New Roman" w:hAnsi="Times New Roman"/>
          <w:sz w:val="19"/>
          <w:szCs w:val="19"/>
          <w:color w:val="auto"/>
          <w:vertAlign w:val="superscript"/>
        </w:rPr>
      </w:pPr>
    </w:p>
    <w:p>
      <w:pPr>
        <w:jc w:val="both"/>
        <w:ind w:left="340" w:right="280" w:hanging="332"/>
        <w:spacing w:after="0" w:line="227" w:lineRule="auto"/>
        <w:tabs>
          <w:tab w:leader="none" w:pos="343" w:val="left"/>
        </w:tabs>
        <w:numPr>
          <w:ilvl w:val="0"/>
          <w:numId w:val="8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Comparing average cost-to-serve for 2023 (in each case, excluding marketing costs) for the three largest banks by U.S. deposit volume (Bank of America, J.P. Morgan Chase, and Wells Fargo) and for a group of medium-sized and regional banks (BMO, KeyBank, PNC Bank, TD Bank, and U.S. Bank), in each case as estimated by FS Vector Report, to Chime’s average cost-to-serve for 2024; see the section titled “Industry, Market, and Other Data.”</w:t>
      </w:r>
    </w:p>
    <w:p>
      <w:pPr>
        <w:spacing w:after="0" w:line="1" w:lineRule="exact"/>
        <w:rPr>
          <w:rFonts w:ascii="Times New Roman" w:cs="Times New Roman" w:eastAsia="Times New Roman" w:hAnsi="Times New Roman"/>
          <w:sz w:val="19"/>
          <w:szCs w:val="19"/>
          <w:color w:val="auto"/>
          <w:vertAlign w:val="superscript"/>
        </w:rPr>
      </w:pPr>
    </w:p>
    <w:p>
      <w:pPr>
        <w:ind w:left="340" w:right="80" w:hanging="332"/>
        <w:spacing w:after="0" w:line="259" w:lineRule="auto"/>
        <w:tabs>
          <w:tab w:leader="none" w:pos="343" w:val="left"/>
        </w:tabs>
        <w:numPr>
          <w:ilvl w:val="0"/>
          <w:numId w:val="8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95% of banking fees in the United States in 2023 were paid by households earning up to $175,000, a close proxy for American individuals earning up to $100,000 annually, as estimated by FS Vector Report; see the section titled “Industry, Market, and Other Data.”</w:t>
      </w:r>
    </w:p>
    <w:p>
      <w:pPr>
        <w:ind w:left="340" w:right="40" w:hanging="332"/>
        <w:spacing w:after="0" w:line="221" w:lineRule="auto"/>
        <w:tabs>
          <w:tab w:leader="none" w:pos="343" w:val="left"/>
        </w:tabs>
        <w:numPr>
          <w:ilvl w:val="0"/>
          <w:numId w:val="8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Among households charged an overdraft fee in 2023, 43% reported being surprised by their most recent fee, 35% thought it was possible, and only 22% anticipated it. FS Vector Report; see the section titled “Industry, Market, and Other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240"/>
          </w:cols>
          <w:pgMar w:left="320" w:top="124" w:right="33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60" w:right="20"/>
        <w:spacing w:after="0" w:line="229" w:lineRule="auto"/>
        <w:rPr>
          <w:sz w:val="20"/>
          <w:szCs w:val="20"/>
          <w:color w:val="auto"/>
        </w:rPr>
      </w:pPr>
      <w:r>
        <w:rPr>
          <w:rFonts w:ascii="Times New Roman" w:cs="Times New Roman" w:eastAsia="Times New Roman" w:hAnsi="Times New Roman"/>
          <w:sz w:val="18"/>
          <w:szCs w:val="18"/>
          <w:color w:val="auto"/>
        </w:rPr>
        <w:t>lacking sufficient credit history or experience with traditional credit products.</w:t>
      </w:r>
      <w:r>
        <w:rPr>
          <w:rFonts w:ascii="Times New Roman" w:cs="Times New Roman" w:eastAsia="Times New Roman" w:hAnsi="Times New Roman"/>
          <w:sz w:val="23"/>
          <w:szCs w:val="23"/>
          <w:color w:val="auto"/>
          <w:vertAlign w:val="superscript"/>
        </w:rPr>
        <w:t>94</w:t>
      </w:r>
      <w:r>
        <w:rPr>
          <w:rFonts w:ascii="Times New Roman" w:cs="Times New Roman" w:eastAsia="Times New Roman" w:hAnsi="Times New Roman"/>
          <w:sz w:val="18"/>
          <w:szCs w:val="18"/>
          <w:color w:val="auto"/>
        </w:rPr>
        <w:t xml:space="preserve"> This too often leads everyday Americans to rely on expensive overdrafts or other high-cost credit products, or forego important expenses altogether. The incumbent banks often fail to provide customer-friendly options to help build credit, as secured credit cards typically require security deposits in the hundreds of dollars. Seventy-nine percent of Americans say they are trying to improve their credit according to a 2023 survey.</w:t>
      </w:r>
      <w:r>
        <w:rPr>
          <w:rFonts w:ascii="Times New Roman" w:cs="Times New Roman" w:eastAsia="Times New Roman" w:hAnsi="Times New Roman"/>
          <w:sz w:val="23"/>
          <w:szCs w:val="23"/>
          <w:color w:val="auto"/>
          <w:vertAlign w:val="superscript"/>
        </w:rPr>
        <w:t>95</w:t>
      </w:r>
      <w:r>
        <w:rPr>
          <w:rFonts w:ascii="Times New Roman" w:cs="Times New Roman" w:eastAsia="Times New Roman" w:hAnsi="Times New Roman"/>
          <w:sz w:val="18"/>
          <w:szCs w:val="18"/>
          <w:color w:val="auto"/>
        </w:rPr>
        <w:t xml:space="preserve"> Moreover, traditional banks can impose strict requirements such as minimum balance thresholds that limit access to low-fee checking and high yield savings options.</w:t>
      </w:r>
    </w:p>
    <w:p>
      <w:pPr>
        <w:spacing w:after="0" w:line="148" w:lineRule="exact"/>
        <w:rPr>
          <w:sz w:val="20"/>
          <w:szCs w:val="20"/>
          <w:color w:val="auto"/>
        </w:rPr>
      </w:pPr>
    </w:p>
    <w:p>
      <w:pPr>
        <w:ind w:right="120" w:firstLine="324"/>
        <w:spacing w:after="0" w:line="268" w:lineRule="auto"/>
        <w:rPr>
          <w:sz w:val="20"/>
          <w:szCs w:val="20"/>
          <w:color w:val="auto"/>
        </w:rPr>
      </w:pPr>
      <w:r>
        <w:rPr>
          <w:rFonts w:ascii="Times New Roman" w:cs="Times New Roman" w:eastAsia="Times New Roman" w:hAnsi="Times New Roman"/>
          <w:sz w:val="18"/>
          <w:szCs w:val="18"/>
          <w:color w:val="auto"/>
        </w:rPr>
        <w:t>The misalignment of traditional banks’ business models have led to distrust and poor customer satisfaction among everyday Americans, often leaving them stuck on their journeys to make financial progress. People are seeking better alternatives and this is leading to significant changes in consumer banking. Fewer than half of customers are certain they will keep their current bank in the next year.</w:t>
      </w:r>
      <w:r>
        <w:rPr>
          <w:rFonts w:ascii="Times New Roman" w:cs="Times New Roman" w:eastAsia="Times New Roman" w:hAnsi="Times New Roman"/>
          <w:sz w:val="23"/>
          <w:szCs w:val="23"/>
          <w:color w:val="auto"/>
          <w:vertAlign w:val="superscript"/>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17145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50" w:lineRule="exact"/>
        <w:rPr>
          <w:sz w:val="20"/>
          <w:szCs w:val="20"/>
          <w:color w:val="auto"/>
        </w:rPr>
      </w:pPr>
    </w:p>
    <w:p>
      <w:pPr>
        <w:ind w:left="340" w:hanging="332"/>
        <w:spacing w:after="0"/>
        <w:tabs>
          <w:tab w:leader="none" w:pos="340" w:val="left"/>
        </w:tabs>
        <w:numPr>
          <w:ilvl w:val="0"/>
          <w:numId w:val="8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TransUnion, More than 45 Million Americans are Either Credit Unserved or Underserved; Approximately 20% Migrate to Being Credit Active Every Two Years, April 2022.</w:t>
      </w:r>
    </w:p>
    <w:p>
      <w:pPr>
        <w:spacing w:after="0" w:line="27" w:lineRule="exact"/>
        <w:rPr>
          <w:rFonts w:ascii="Times New Roman" w:cs="Times New Roman" w:eastAsia="Times New Roman" w:hAnsi="Times New Roman"/>
          <w:sz w:val="9"/>
          <w:szCs w:val="9"/>
          <w:color w:val="auto"/>
        </w:rPr>
      </w:pPr>
    </w:p>
    <w:p>
      <w:pPr>
        <w:ind w:left="340" w:hanging="332"/>
        <w:spacing w:after="0" w:line="221" w:lineRule="auto"/>
        <w:tabs>
          <w:tab w:leader="none" w:pos="343" w:val="left"/>
        </w:tabs>
        <w:numPr>
          <w:ilvl w:val="0"/>
          <w:numId w:val="8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Based on survey data published in November 2023. NerdWallet, Survey: 4 in 5 Americans Are Trying to Improve Their Credit, November 2023. See the section titled “Industry, Market, and Other Data.”</w:t>
      </w:r>
    </w:p>
    <w:p>
      <w:pPr>
        <w:spacing w:after="0" w:line="1" w:lineRule="exact"/>
        <w:rPr>
          <w:rFonts w:ascii="Times New Roman" w:cs="Times New Roman" w:eastAsia="Times New Roman" w:hAnsi="Times New Roman"/>
          <w:sz w:val="19"/>
          <w:szCs w:val="19"/>
          <w:color w:val="auto"/>
          <w:vertAlign w:val="superscript"/>
        </w:rPr>
      </w:pPr>
    </w:p>
    <w:p>
      <w:pPr>
        <w:ind w:left="340" w:hanging="332"/>
        <w:spacing w:after="0" w:line="192" w:lineRule="auto"/>
        <w:tabs>
          <w:tab w:leader="none" w:pos="340" w:val="left"/>
        </w:tabs>
        <w:numPr>
          <w:ilvl w:val="0"/>
          <w:numId w:val="8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J.D. Power, Retail Bank Customer Satisfaction Holds Steady but Trust Declines, J.D. Power Finds, March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240"/>
          </w:cols>
          <w:pgMar w:left="320" w:top="124" w:right="339" w:bottom="1440" w:gutter="0" w:footer="0" w:header="0"/>
        </w:sectPr>
      </w:pPr>
    </w:p>
    <w:bookmarkStart w:id="137" w:name="page138"/>
    <w:bookmarkEnd w:id="1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379730</wp:posOffset>
            </wp:positionH>
            <wp:positionV relativeFrom="page">
              <wp:posOffset>346075</wp:posOffset>
            </wp:positionV>
            <wp:extent cx="6789420" cy="90525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678942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379730</wp:posOffset>
            </wp:positionH>
            <wp:positionV relativeFrom="page">
              <wp:posOffset>346075</wp:posOffset>
            </wp:positionV>
            <wp:extent cx="6789420" cy="90525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678942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379730</wp:posOffset>
            </wp:positionH>
            <wp:positionV relativeFrom="page">
              <wp:posOffset>346075</wp:posOffset>
            </wp:positionV>
            <wp:extent cx="6789420" cy="90525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678942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379730</wp:posOffset>
            </wp:positionH>
            <wp:positionV relativeFrom="page">
              <wp:posOffset>346075</wp:posOffset>
            </wp:positionV>
            <wp:extent cx="6789420" cy="90525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678942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WELCOME TO CHIME</w:t>
      </w:r>
    </w:p>
    <w:p>
      <w:pPr>
        <w:spacing w:after="0" w:line="175"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At Chime, we are driven by our mission to unite everyday people to unlock their financial progress. In an industry riddled with punitive fees, we have pioneered a business model that succeeds when we earn and maintain our members’ trust. This alignment keeps us authentically focused on developing affordable, easy-to-use products that address our members’ most critical financial needs.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Solve for Critical Member Needs</w:t>
      </w:r>
    </w:p>
    <w:p>
      <w:pPr>
        <w:spacing w:after="0" w:line="175" w:lineRule="exact"/>
        <w:rPr>
          <w:sz w:val="20"/>
          <w:szCs w:val="20"/>
          <w:color w:val="auto"/>
        </w:rPr>
      </w:pPr>
    </w:p>
    <w:p>
      <w:pPr>
        <w:jc w:val="both"/>
        <w:ind w:right="140" w:firstLine="324"/>
        <w:spacing w:after="0" w:line="312" w:lineRule="auto"/>
        <w:rPr>
          <w:sz w:val="20"/>
          <w:szCs w:val="20"/>
          <w:color w:val="auto"/>
        </w:rPr>
      </w:pPr>
      <w:r>
        <w:rPr>
          <w:rFonts w:ascii="Times New Roman" w:cs="Times New Roman" w:eastAsia="Times New Roman" w:hAnsi="Times New Roman"/>
          <w:sz w:val="17"/>
          <w:szCs w:val="17"/>
          <w:color w:val="auto"/>
        </w:rPr>
        <w:t>We are a technology company that offers everyday Americans access to a broad range of free or low-cost, innovative products, with banking services provided by our FDIC-insured bank partners. Chime is only offered in the United States today. Our products positively impact our members’ lives across:</w:t>
      </w:r>
    </w:p>
    <w:p>
      <w:pPr>
        <w:spacing w:after="0" w:line="82" w:lineRule="exact"/>
        <w:rPr>
          <w:sz w:val="20"/>
          <w:szCs w:val="20"/>
          <w:color w:val="auto"/>
        </w:rPr>
      </w:pPr>
    </w:p>
    <w:p>
      <w:pPr>
        <w:jc w:val="both"/>
        <w:ind w:right="120" w:firstLine="324"/>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 xml:space="preserve">Spending. </w:t>
      </w:r>
      <w:r>
        <w:rPr>
          <w:rFonts w:ascii="Times New Roman" w:cs="Times New Roman" w:eastAsia="Times New Roman" w:hAnsi="Times New Roman"/>
          <w:sz w:val="18"/>
          <w:szCs w:val="18"/>
          <w:color w:val="auto"/>
        </w:rPr>
        <w:t>Through our platform, our members access FDIC-insured checking accounts and linked debit cards, secured credit cards, and other mobile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banking features that allow them to confidently manage their money and pay for their everyday expenses. Ninety percent of our members say that Chime helped them avoid bank fees.</w:t>
      </w:r>
      <w:r>
        <w:rPr>
          <w:rFonts w:ascii="Times New Roman" w:cs="Times New Roman" w:eastAsia="Times New Roman" w:hAnsi="Times New Roman"/>
          <w:sz w:val="23"/>
          <w:szCs w:val="23"/>
          <w:color w:val="auto"/>
          <w:vertAlign w:val="superscript"/>
        </w:rPr>
        <w:t>97</w:t>
      </w:r>
      <w:r>
        <w:rPr>
          <w:rFonts w:ascii="Times New Roman" w:cs="Times New Roman" w:eastAsia="Times New Roman" w:hAnsi="Times New Roman"/>
          <w:sz w:val="18"/>
          <w:szCs w:val="18"/>
          <w:color w:val="auto"/>
        </w:rPr>
        <w:t xml:space="preserve"> With Get Paid Early, members that direct deposit through Chime can access their paycheck up to two days early for free.</w:t>
      </w:r>
    </w:p>
    <w:p>
      <w:pPr>
        <w:spacing w:after="0" w:line="47" w:lineRule="exact"/>
        <w:rPr>
          <w:sz w:val="20"/>
          <w:szCs w:val="20"/>
          <w:color w:val="auto"/>
        </w:rPr>
      </w:pPr>
    </w:p>
    <w:p>
      <w:pPr>
        <w:ind w:right="6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Liquidity. </w:t>
      </w:r>
      <w:r>
        <w:rPr>
          <w:rFonts w:ascii="Times New Roman" w:cs="Times New Roman" w:eastAsia="Times New Roman" w:hAnsi="Times New Roman"/>
          <w:sz w:val="18"/>
          <w:szCs w:val="18"/>
          <w:color w:val="auto"/>
        </w:rPr>
        <w:t>The liquidity products offered through our platform are designed to provide our eligible members access to short-term liquidity when they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need it most for free or at a low cost. These products include SpotMe, which we believe was the industry’s first fee-free overdraft protection product of its kind, and MyPay, which allows our members to access up to $500 of their pay on demand before payday. As of December 31, 2024, our members have accessed over $38.7 billion through SpotMe since its full product launch in 2019, and over $5.3 billion through MyPay since its full product launch in July 2024.</w:t>
      </w:r>
    </w:p>
    <w:p>
      <w:pPr>
        <w:spacing w:after="0" w:line="125" w:lineRule="exact"/>
        <w:rPr>
          <w:sz w:val="20"/>
          <w:szCs w:val="20"/>
          <w:color w:val="auto"/>
        </w:rPr>
      </w:pPr>
    </w:p>
    <w:p>
      <w:pPr>
        <w:ind w:right="80" w:firstLine="324"/>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Credit Building. </w:t>
      </w:r>
      <w:r>
        <w:rPr>
          <w:rFonts w:ascii="Times New Roman" w:cs="Times New Roman" w:eastAsia="Times New Roman" w:hAnsi="Times New Roman"/>
          <w:sz w:val="18"/>
          <w:szCs w:val="18"/>
          <w:color w:val="auto"/>
        </w:rPr>
        <w:t>Credit Builder secured credit cards help our members build credit safely, without the risk of taking on debt. Unlike unsecured credit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cards and many other secured credit cards, Credit Builder secured credit cards have no annual fees or late fees, no interest charges on missed payments, no minimum security deposits, and no application fees. We believe when we launched Credit Builder in 2020, it was the first secured credit card of its kind in our industry without such fees, interest charges, or minimum security deposit requirements. Seventy-nine percent of Americans say they are trying to improve their credit according to a 2023 survey.</w:t>
      </w:r>
      <w:r>
        <w:rPr>
          <w:rFonts w:ascii="Times New Roman" w:cs="Times New Roman" w:eastAsia="Times New Roman" w:hAnsi="Times New Roman"/>
          <w:sz w:val="23"/>
          <w:szCs w:val="23"/>
          <w:color w:val="auto"/>
          <w:vertAlign w:val="superscript"/>
        </w:rPr>
        <w:t>98</w:t>
      </w:r>
      <w:r>
        <w:rPr>
          <w:rFonts w:ascii="Times New Roman" w:cs="Times New Roman" w:eastAsia="Times New Roman" w:hAnsi="Times New Roman"/>
          <w:sz w:val="18"/>
          <w:szCs w:val="18"/>
          <w:color w:val="auto"/>
        </w:rPr>
        <w:t xml:space="preserve"> A third-party study found that members using Credit Builder saw an average FICO score increase of 30 points within the first six months of use.</w:t>
      </w:r>
      <w:r>
        <w:rPr>
          <w:rFonts w:ascii="Times New Roman" w:cs="Times New Roman" w:eastAsia="Times New Roman" w:hAnsi="Times New Roman"/>
          <w:sz w:val="23"/>
          <w:szCs w:val="23"/>
          <w:color w:val="auto"/>
          <w:vertAlign w:val="superscript"/>
        </w:rPr>
        <w:t>99</w:t>
      </w:r>
    </w:p>
    <w:p>
      <w:pPr>
        <w:spacing w:after="0" w:line="67" w:lineRule="exact"/>
        <w:rPr>
          <w:sz w:val="20"/>
          <w:szCs w:val="20"/>
          <w:color w:val="auto"/>
        </w:rPr>
      </w:pPr>
    </w:p>
    <w:p>
      <w:pPr>
        <w:ind w:right="80" w:firstLine="324"/>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Savings and Perks. </w:t>
      </w:r>
      <w:r>
        <w:rPr>
          <w:rFonts w:ascii="Times New Roman" w:cs="Times New Roman" w:eastAsia="Times New Roman" w:hAnsi="Times New Roman"/>
          <w:sz w:val="17"/>
          <w:szCs w:val="17"/>
          <w:color w:val="auto"/>
        </w:rPr>
        <w:t>Through our platform, our members access FDIC-insured high yield savings accounts that help our members effortlessly grow</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their savings with attractive rates and automatic features such as Round Ups and Save When I Get Paid. These products have no minimum balances, no monthly fees, and no maximums on earned interest. We also offer exclusive deals to help our members save on food and groceries, gas, utilities, and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7145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ind w:left="320" w:hanging="312"/>
        <w:spacing w:after="0"/>
        <w:tabs>
          <w:tab w:leader="none" w:pos="320" w:val="left"/>
        </w:tabs>
        <w:numPr>
          <w:ilvl w:val="0"/>
          <w:numId w:val="8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Chime Financial Progress Survey; see the section titled “Industry, Market, and Other Data.”</w:t>
      </w:r>
    </w:p>
    <w:p>
      <w:pPr>
        <w:spacing w:after="0" w:line="27" w:lineRule="exact"/>
        <w:rPr>
          <w:rFonts w:ascii="Times New Roman" w:cs="Times New Roman" w:eastAsia="Times New Roman" w:hAnsi="Times New Roman"/>
          <w:sz w:val="9"/>
          <w:szCs w:val="9"/>
          <w:color w:val="auto"/>
        </w:rPr>
      </w:pPr>
    </w:p>
    <w:p>
      <w:pPr>
        <w:ind w:left="340" w:hanging="332"/>
        <w:spacing w:after="0" w:line="221" w:lineRule="auto"/>
        <w:tabs>
          <w:tab w:leader="none" w:pos="325" w:val="left"/>
        </w:tabs>
        <w:numPr>
          <w:ilvl w:val="0"/>
          <w:numId w:val="8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Based on survey data published in November 2023. NerdWallet, Survey: 4 in 5 Americans Are Trying to Improve Their Credit, November 2023. See the section titled “Industry, Market, and Other Data.”</w:t>
      </w:r>
    </w:p>
    <w:p>
      <w:pPr>
        <w:spacing w:after="0" w:line="1" w:lineRule="exact"/>
        <w:rPr>
          <w:rFonts w:ascii="Times New Roman" w:cs="Times New Roman" w:eastAsia="Times New Roman" w:hAnsi="Times New Roman"/>
          <w:sz w:val="19"/>
          <w:szCs w:val="19"/>
          <w:color w:val="auto"/>
          <w:vertAlign w:val="superscript"/>
        </w:rPr>
      </w:pPr>
    </w:p>
    <w:p>
      <w:pPr>
        <w:ind w:left="340" w:right="220" w:hanging="332"/>
        <w:spacing w:after="0" w:line="221" w:lineRule="auto"/>
        <w:tabs>
          <w:tab w:leader="none" w:pos="289" w:val="left"/>
        </w:tabs>
        <w:numPr>
          <w:ilvl w:val="0"/>
          <w:numId w:val="8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Based on a Chime commissioned study conducted by Experian in January 2024 measuring FICO Score 8 improvements of Chime members who made their first purchase with the Chime Credit Builder secured credit card between June and October 2022 (the “Experian Study”). See the section titled “Industry, Market, and Other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220"/>
          </w:cols>
          <w:pgMar w:left="320" w:top="124" w:right="359" w:bottom="1440" w:gutter="0" w:footer="0" w:header="0"/>
        </w:sectPr>
      </w:pPr>
    </w:p>
    <w:bookmarkStart w:id="142" w:name="page143"/>
    <w:bookmarkEnd w:id="142"/>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Community. </w:t>
      </w:r>
      <w:r>
        <w:rPr>
          <w:rFonts w:ascii="Times New Roman" w:cs="Times New Roman" w:eastAsia="Times New Roman" w:hAnsi="Times New Roman"/>
          <w:sz w:val="18"/>
          <w:szCs w:val="18"/>
          <w:color w:val="auto"/>
        </w:rPr>
        <w:t>We know that financial progress is often not achieved solely in isolation, but also with the support of others. We have built Chime to be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community, where our members’ experiences improve when family, friends, and co-workers join our platform. Community-focused products include SpotMe Boost, which allows members to temporarily increase SpotMe overdraft limits of other members, and Pay Anyone, a peer-to-peer payments product which lets our members send money instantly to others, including to those without a Chime account. Community also strengthens our business: as our members have expanded their community networks on Chime, we see that their engagement and ARPAM has grown. More than 80% of our Active Members had a community connection on Chime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95250</wp:posOffset>
            </wp:positionV>
            <wp:extent cx="5349240" cy="26060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349240"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160"/>
          </w:cols>
          <w:pgMar w:left="320" w:top="124" w:right="419" w:bottom="1440" w:gutter="0" w:footer="0" w:header="0"/>
        </w:sectPr>
      </w:pPr>
    </w:p>
    <w:bookmarkStart w:id="143" w:name="page144"/>
    <w:bookmarkEnd w:id="143"/>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Make It Easy</w:t>
      </w:r>
    </w:p>
    <w:p>
      <w:pPr>
        <w:spacing w:after="0" w:line="175"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At Chime, we believe in the adage that “retail is detail.” Our employees, known as Chimers, sweat the details of all aspects of our member experience to make Chime:</w:t>
      </w:r>
    </w:p>
    <w:p>
      <w:pPr>
        <w:spacing w:after="0" w:line="104" w:lineRule="exact"/>
        <w:rPr>
          <w:sz w:val="20"/>
          <w:szCs w:val="20"/>
          <w:color w:val="auto"/>
        </w:rPr>
      </w:pPr>
    </w:p>
    <w:p>
      <w:pPr>
        <w:ind w:firstLine="324"/>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Convenient. </w:t>
      </w:r>
      <w:r>
        <w:rPr>
          <w:rFonts w:ascii="Times New Roman" w:cs="Times New Roman" w:eastAsia="Times New Roman" w:hAnsi="Times New Roman"/>
          <w:sz w:val="18"/>
          <w:szCs w:val="18"/>
          <w:color w:val="auto"/>
        </w:rPr>
        <w:t>Convenience begins with our enrollment process, through which new members can create an account in as little as two minutes. All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products are conveniently available through our mobile application, allowing members to avoid in-person branch visits. We make it easy for our members to access the information they need quickly, from how we display information in the app to how we tailor push notifications and other important account communications. We also provide access to over 50,000 fee-free ATMs, a larger network than the three largest U.S. banks combined</w:t>
      </w:r>
      <w:r>
        <w:rPr>
          <w:rFonts w:ascii="Times New Roman" w:cs="Times New Roman" w:eastAsia="Times New Roman" w:hAnsi="Times New Roman"/>
          <w:sz w:val="23"/>
          <w:szCs w:val="23"/>
          <w:color w:val="auto"/>
          <w:vertAlign w:val="superscript"/>
        </w:rPr>
        <w:t>100</w:t>
      </w:r>
      <w:r>
        <w:rPr>
          <w:rFonts w:ascii="Times New Roman" w:cs="Times New Roman" w:eastAsia="Times New Roman" w:hAnsi="Times New Roman"/>
          <w:sz w:val="18"/>
          <w:szCs w:val="18"/>
          <w:color w:val="auto"/>
        </w:rPr>
        <w:t>, and 8,000 fee-free cash deposit locations at Walgreens.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3215005</wp:posOffset>
            </wp:positionV>
            <wp:extent cx="17145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714500"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103505</wp:posOffset>
            </wp:positionV>
            <wp:extent cx="1440180" cy="2940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440180" cy="2940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80" w:hanging="372"/>
        <w:spacing w:after="0"/>
        <w:tabs>
          <w:tab w:leader="none" w:pos="380" w:val="left"/>
        </w:tabs>
        <w:numPr>
          <w:ilvl w:val="0"/>
          <w:numId w:val="8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Based on the number of ATMs reported by Bank of America, J.P. Morgan Chase, and Wells Fargo as of October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240"/>
          </w:cols>
          <w:pgMar w:left="320" w:top="124" w:right="339" w:bottom="1440" w:gutter="0" w:footer="0" w:header="0"/>
        </w:sectPr>
      </w:pPr>
    </w:p>
    <w:bookmarkStart w:id="144" w:name="page145"/>
    <w:bookmarkEnd w:id="144"/>
    <w:p>
      <w:pPr>
        <w:jc w:val="center"/>
        <w:ind w:right="-2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Transparent. </w:t>
      </w:r>
      <w:r>
        <w:rPr>
          <w:rFonts w:ascii="Times New Roman" w:cs="Times New Roman" w:eastAsia="Times New Roman" w:hAnsi="Times New Roman"/>
          <w:sz w:val="18"/>
          <w:szCs w:val="18"/>
          <w:color w:val="auto"/>
        </w:rPr>
        <w:t>We build trust with our members, in part, through our transparent pricing and product features. The Chime app and our tailored push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notifications provide members with clear visibility into their balances and transaction activity, helping members stay connected and avoid surprises. If a product is not free, we pride ourselves on offering a simple and transparent pricing structure. We also clearly display the amount members can access through liquidity products at any time, giving them peace of mind.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92075</wp:posOffset>
            </wp:positionV>
            <wp:extent cx="1551940" cy="31718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551940" cy="317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0940"/>
          </w:cols>
          <w:pgMar w:left="320" w:top="124" w:right="639" w:bottom="1440" w:gutter="0" w:footer="0" w:header="0"/>
        </w:sectPr>
      </w:pPr>
    </w:p>
    <w:bookmarkStart w:id="145" w:name="page146"/>
    <w:bookmarkEnd w:id="145"/>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2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Personalized. </w:t>
      </w:r>
      <w:r>
        <w:rPr>
          <w:rFonts w:ascii="Times New Roman" w:cs="Times New Roman" w:eastAsia="Times New Roman" w:hAnsi="Times New Roman"/>
          <w:sz w:val="18"/>
          <w:szCs w:val="18"/>
          <w:color w:val="auto"/>
        </w:rPr>
        <w:t>We focus on individualizing the member experience, starting with personalized onboarding journeys when new members join Chime.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members’ deep and habitual engagement with Chime generates rich, first-party data, including member income, spending, transaction, social graph, and other engagement data. We leverage this data to deliver deeply personalized experiences to our members, such as individually tailored limits for liquidity products, personalized local rewards, and targeted referral incentives. We also use data to predict our members’ questions and provide proactive fraud and risk alerts before they reach out to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93345</wp:posOffset>
            </wp:positionV>
            <wp:extent cx="1645920" cy="3086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645920" cy="3086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Believe in Free</w:t>
      </w:r>
    </w:p>
    <w:p>
      <w:pPr>
        <w:spacing w:after="0" w:line="175" w:lineRule="exact"/>
        <w:rPr>
          <w:sz w:val="20"/>
          <w:szCs w:val="20"/>
          <w:color w:val="auto"/>
        </w:rPr>
      </w:pPr>
    </w:p>
    <w:p>
      <w:pPr>
        <w:jc w:val="both"/>
        <w:ind w:firstLine="324"/>
        <w:spacing w:after="0" w:line="277" w:lineRule="auto"/>
        <w:rPr>
          <w:sz w:val="20"/>
          <w:szCs w:val="20"/>
          <w:color w:val="auto"/>
        </w:rPr>
      </w:pPr>
      <w:r>
        <w:rPr>
          <w:rFonts w:ascii="Times New Roman" w:cs="Times New Roman" w:eastAsia="Times New Roman" w:hAnsi="Times New Roman"/>
          <w:sz w:val="17"/>
          <w:szCs w:val="17"/>
          <w:color w:val="auto"/>
        </w:rPr>
        <w:t>In a category dominated by high-cost providers for the segment we serve, Chime is doing something different than traditional banks: making banking free or low-cost for everyday Americans. We offer our members free access to checking accounts, Chime-branded debit and credit cards, SpotMe, MyPay, and high yield savings accounts. We also offer access to over 50,000 fee-free ATMs. We do not charge overdraft fees with SpotMe or non-sufficient funds fees, do not charge monthly maintenance fees, and do not require minimum security deposits for Credit Builder. For those seeking extra convenience, such as instant access to earned pay through MyPay or out-of-network ATMs, Chime offers a low-fee option that a member may choose to utilize.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Differentiated Approach Creates an Attractive Business Model for Serving Everyday Americans</w:t>
      </w:r>
    </w:p>
    <w:p>
      <w:pPr>
        <w:spacing w:after="0" w:line="175"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We have taken a fundamentally different approach than traditional banks. Built on our proprietary technology platform, our operating model is low-cost and powered by a payments-driven revenue model focused on profiting with our members, not from them.</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Low-Cost Operating Model</w:t>
      </w:r>
    </w:p>
    <w:p>
      <w:pPr>
        <w:spacing w:after="0" w:line="175"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We have developed a low-cost operating model that allows us to serve everyday Americans at a significant cost advantage compared to traditional banks. The average annual cost-to-serve a retail deposit customer is estimated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140"/>
          </w:cols>
          <w:pgMar w:left="320" w:top="124" w:right="439" w:bottom="1440" w:gutter="0" w:footer="0" w:header="0"/>
        </w:sectPr>
      </w:pPr>
    </w:p>
    <w:bookmarkStart w:id="146" w:name="page147"/>
    <w:bookmarkEnd w:id="146"/>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approximately three times higher for the three largest incumbent banks and five times higher for mid-sized and regional banks when compared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Chime.</w:t>
      </w:r>
      <w:r>
        <w:rPr>
          <w:rFonts w:ascii="Times New Roman" w:cs="Times New Roman" w:eastAsia="Times New Roman" w:hAnsi="Times New Roman"/>
          <w:sz w:val="23"/>
          <w:szCs w:val="23"/>
          <w:color w:val="auto"/>
          <w:vertAlign w:val="superscript"/>
        </w:rPr>
        <w:t>101</w:t>
      </w:r>
      <w:r>
        <w:rPr>
          <w:rFonts w:ascii="Times New Roman" w:cs="Times New Roman" w:eastAsia="Times New Roman" w:hAnsi="Times New Roman"/>
          <w:sz w:val="18"/>
          <w:szCs w:val="18"/>
          <w:color w:val="auto"/>
        </w:rPr>
        <w:t xml:space="preserve"> Our low-cost operating model is centered on our:</w:t>
      </w:r>
    </w:p>
    <w:p>
      <w:pPr>
        <w:spacing w:after="0" w:line="91" w:lineRule="exact"/>
        <w:rPr>
          <w:sz w:val="20"/>
          <w:szCs w:val="20"/>
          <w:color w:val="auto"/>
        </w:rPr>
      </w:pPr>
    </w:p>
    <w:p>
      <w:pPr>
        <w:ind w:left="660" w:right="200" w:hanging="328"/>
        <w:spacing w:after="0" w:line="262" w:lineRule="auto"/>
        <w:tabs>
          <w:tab w:leader="none" w:pos="65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Digital-First Partnership Strategy. </w:t>
      </w:r>
      <w:r>
        <w:rPr>
          <w:rFonts w:ascii="Times New Roman" w:cs="Times New Roman" w:eastAsia="Times New Roman" w:hAnsi="Times New Roman"/>
          <w:sz w:val="18"/>
          <w:szCs w:val="18"/>
          <w:color w:val="auto"/>
        </w:rPr>
        <w:t>Our digital-first approach allows us to remain asset-light, avoiding physical branch and ATM infrastructure,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significantly drive down costs. We make Chime products conveniently available through our mobile application, while providing our members with nationwide access to physical locations to conveniently withdraw cash and make cash deposits where and when members need them through our partnerships with ATM and cash deposit networks.</w:t>
      </w:r>
    </w:p>
    <w:p>
      <w:pPr>
        <w:spacing w:after="0" w:line="124" w:lineRule="exact"/>
        <w:rPr>
          <w:rFonts w:ascii="Times New Roman" w:cs="Times New Roman" w:eastAsia="Times New Roman" w:hAnsi="Times New Roman"/>
          <w:sz w:val="18"/>
          <w:szCs w:val="18"/>
          <w:color w:val="auto"/>
        </w:rPr>
      </w:pPr>
    </w:p>
    <w:p>
      <w:pPr>
        <w:ind w:left="980" w:hanging="324"/>
        <w:spacing w:after="0" w:line="257" w:lineRule="auto"/>
        <w:tabs>
          <w:tab w:leader="none" w:pos="976"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Bank Partnerships</w:t>
      </w:r>
      <w:r>
        <w:rPr>
          <w:rFonts w:ascii="Times New Roman" w:cs="Times New Roman" w:eastAsia="Times New Roman" w:hAnsi="Times New Roman"/>
          <w:sz w:val="18"/>
          <w:szCs w:val="18"/>
          <w:color w:val="auto"/>
        </w:rPr>
        <w:t>. We partner with The Bancorp Bank, N.A. (“Bancorp”) and Stride Bank, N.A. (“Stride”), FDIC-insured community banks,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provide banking services through our mobile platform, including checking and high yield savings accounts, debit and credit cards, and liquidity products. Through our bank partnerships, we enjoy the benefits of the scale and infrastructure of a bank while minimizing the costs of capital investment, physical branches, and other bank infrastructure. These partnerships enable us to generate revenue from our members’ use of their Chime-branded debit and credit cards and other products, while also securing access to low-cost lending capital for scaling the liquidity products offered through our platform.</w:t>
      </w:r>
    </w:p>
    <w:p>
      <w:pPr>
        <w:spacing w:after="0" w:line="126" w:lineRule="exact"/>
        <w:rPr>
          <w:rFonts w:ascii="Times New Roman" w:cs="Times New Roman" w:eastAsia="Times New Roman" w:hAnsi="Times New Roman"/>
          <w:sz w:val="18"/>
          <w:szCs w:val="18"/>
          <w:color w:val="auto"/>
        </w:rPr>
      </w:pPr>
    </w:p>
    <w:p>
      <w:pPr>
        <w:ind w:left="660" w:right="240" w:hanging="328"/>
        <w:spacing w:after="0" w:line="244" w:lineRule="auto"/>
        <w:tabs>
          <w:tab w:leader="none" w:pos="65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Vertically-Integrated Technology Platform. </w:t>
      </w:r>
      <w:r>
        <w:rPr>
          <w:rFonts w:ascii="Times New Roman" w:cs="Times New Roman" w:eastAsia="Times New Roman" w:hAnsi="Times New Roman"/>
          <w:sz w:val="18"/>
          <w:szCs w:val="18"/>
          <w:color w:val="auto"/>
        </w:rPr>
        <w:t>Our proprietary, cloud-native technology platform is a key component of our low-cost operating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model. This technology platform includes ChimeCore, our proprietary payment processor and ledger, which today handles a portion of our member transactions, and also includes our data and AI platforms. Our data streaming platform captures and processes real-time data with sub-second latency, handling approximately 50 billion events per month.</w:t>
      </w:r>
      <w:r>
        <w:rPr>
          <w:rFonts w:ascii="Times New Roman" w:cs="Times New Roman" w:eastAsia="Times New Roman" w:hAnsi="Times New Roman"/>
          <w:sz w:val="23"/>
          <w:szCs w:val="23"/>
          <w:color w:val="auto"/>
          <w:vertAlign w:val="superscript"/>
        </w:rPr>
        <w:t>102</w:t>
      </w:r>
      <w:r>
        <w:rPr>
          <w:rFonts w:ascii="Times New Roman" w:cs="Times New Roman" w:eastAsia="Times New Roman" w:hAnsi="Times New Roman"/>
          <w:sz w:val="18"/>
          <w:szCs w:val="18"/>
          <w:color w:val="auto"/>
        </w:rPr>
        <w:t xml:space="preserve"> By building our technology platform in-house, we can reduce spend on maintenance and expensive legacy vendors. Our scalable infrastructure has allowed us to grow our capacity based on business needs and supported $115.2 billion in Purchase Volume and 88% gross profit margin in 2024.</w:t>
      </w:r>
    </w:p>
    <w:p>
      <w:pPr>
        <w:spacing w:after="0" w:line="136" w:lineRule="exact"/>
        <w:rPr>
          <w:rFonts w:ascii="Times New Roman" w:cs="Times New Roman" w:eastAsia="Times New Roman" w:hAnsi="Times New Roman"/>
          <w:sz w:val="18"/>
          <w:szCs w:val="18"/>
          <w:color w:val="auto"/>
        </w:rPr>
      </w:pPr>
    </w:p>
    <w:p>
      <w:pPr>
        <w:ind w:left="660" w:right="20" w:hanging="328"/>
        <w:spacing w:after="0" w:line="262" w:lineRule="auto"/>
        <w:tabs>
          <w:tab w:leader="none" w:pos="65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Operational Excellence Enhanced by AI. </w:t>
      </w:r>
      <w:r>
        <w:rPr>
          <w:rFonts w:ascii="Times New Roman" w:cs="Times New Roman" w:eastAsia="Times New Roman" w:hAnsi="Times New Roman"/>
          <w:sz w:val="18"/>
          <w:szCs w:val="18"/>
          <w:color w:val="auto"/>
        </w:rPr>
        <w:t>Built on over a decade of iteration, we have developed operational excellence in our risk management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member support capabilities. As a result, we have been able to maintain low loss rates and deliver efficient member support, while improving member service satisfaction levels. We believe that strong risk management and high-quality, 24/7 support is critical to driving sustainable growth and building long-lasting, trusted relationships with our members.</w:t>
      </w:r>
    </w:p>
    <w:p>
      <w:pPr>
        <w:spacing w:after="0" w:line="124" w:lineRule="exact"/>
        <w:rPr>
          <w:rFonts w:ascii="Times New Roman" w:cs="Times New Roman" w:eastAsia="Times New Roman" w:hAnsi="Times New Roman"/>
          <w:sz w:val="18"/>
          <w:szCs w:val="18"/>
          <w:color w:val="auto"/>
        </w:rPr>
      </w:pPr>
    </w:p>
    <w:p>
      <w:pPr>
        <w:ind w:left="980" w:hanging="324"/>
        <w:spacing w:after="0" w:line="254" w:lineRule="auto"/>
        <w:tabs>
          <w:tab w:leader="none" w:pos="976"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Effective Risk Management</w:t>
      </w:r>
      <w:r>
        <w:rPr>
          <w:rFonts w:ascii="Times New Roman" w:cs="Times New Roman" w:eastAsia="Times New Roman" w:hAnsi="Times New Roman"/>
          <w:sz w:val="18"/>
          <w:szCs w:val="18"/>
          <w:color w:val="auto"/>
        </w:rPr>
        <w:t>. We have built an in-house risk decisioning platform that leverages rich, first-party data, including member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spending, transaction, social graph, and other engagement data, as well as traditional and alternative credit bureau data (but not credit score data) and other external data sources to effectively manage fraud risk, credit risk, and financial crimes. Our proprietary AI and ML models have helped reduce our fraud loss rates, which declined by 31% between the years ended December 31, 2022 and 2024. Further, recurring paycheck deposits through our platform, combined with automated repayment features, provide a privileged repayment position for liquidity products, keeping loss rates low. Through December 31, 2024, the aggregate volume since full product launch for MyPay and SpotMe was $5.3 billion and $38.7 billion. From full product launch in July 2024 through the end of 2024, risk losses related to MyPay have been below 1.75% of total dollars advanced since July 2024, while risk losses related to SpotMe from 2022 through the end of 2024 have been below 0.40% of total dollars overdrawn since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17145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34" w:lineRule="exact"/>
        <w:rPr>
          <w:sz w:val="20"/>
          <w:szCs w:val="20"/>
          <w:color w:val="auto"/>
        </w:rPr>
      </w:pPr>
    </w:p>
    <w:p>
      <w:pPr>
        <w:jc w:val="both"/>
        <w:ind w:left="340" w:right="240" w:hanging="332"/>
        <w:spacing w:after="0" w:line="267" w:lineRule="auto"/>
        <w:tabs>
          <w:tab w:leader="none" w:pos="343" w:val="left"/>
        </w:tabs>
        <w:numPr>
          <w:ilvl w:val="0"/>
          <w:numId w:val="8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Comparing average cost-to-serve for 2023 (in each case, excluding marketing costs) for the three largest banks by U.S. deposit volume (Bank of America, J.P. Morgan Chase, and Wells Fargo) and for a group of medium-sized and regional banks (BMO, KeyBank, PNC Bank, TD Bank, and U.S. Bank), in each case as estimated by FS Vector Report, to Chime’s average cost-to-serve for 2024; see the section titled “Industry, Market, and Other Data.”</w:t>
      </w:r>
    </w:p>
    <w:p>
      <w:pPr>
        <w:spacing w:after="0" w:line="1" w:lineRule="exact"/>
        <w:rPr>
          <w:rFonts w:ascii="Times New Roman" w:cs="Times New Roman" w:eastAsia="Times New Roman" w:hAnsi="Times New Roman"/>
          <w:sz w:val="9"/>
          <w:szCs w:val="9"/>
          <w:color w:val="auto"/>
        </w:rPr>
      </w:pPr>
    </w:p>
    <w:p>
      <w:pPr>
        <w:ind w:left="340" w:hanging="332"/>
        <w:spacing w:after="0" w:line="192" w:lineRule="auto"/>
        <w:tabs>
          <w:tab w:leader="none" w:pos="340" w:val="left"/>
        </w:tabs>
        <w:numPr>
          <w:ilvl w:val="0"/>
          <w:numId w:val="8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Based on the average of the three months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200"/>
          </w:cols>
          <w:pgMar w:left="320" w:top="124" w:right="379" w:bottom="1440" w:gutter="0" w:footer="0" w:header="0"/>
        </w:sectPr>
      </w:pPr>
    </w:p>
    <w:bookmarkStart w:id="147" w:name="page148"/>
    <w:bookmarkEnd w:id="147"/>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980" w:right="20" w:hanging="324"/>
        <w:spacing w:after="0" w:line="260" w:lineRule="auto"/>
        <w:tabs>
          <w:tab w:leader="none" w:pos="97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Scaled Member Support</w:t>
      </w:r>
      <w:r>
        <w:rPr>
          <w:rFonts w:ascii="Times New Roman" w:cs="Times New Roman" w:eastAsia="Times New Roman" w:hAnsi="Times New Roman"/>
          <w:sz w:val="18"/>
          <w:szCs w:val="18"/>
          <w:color w:val="auto"/>
        </w:rPr>
        <w:t>. We have built an advanced support program designed to provide real-time, 24/7 assistance to our members. We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invested in automation and AI to improve the efficiency of our service delivery while also improving our members’ support experience. In 2024, we managed 68% of our member support interactions through our automated solutions, which include our AI-enabled chatbot. Between 2022 and 2024, we reduced our support costs per Active Member by 64% while simultaneously increasing our member support satisfaction scores by 93%.</w:t>
      </w:r>
      <w:r>
        <w:rPr>
          <w:rFonts w:ascii="Times New Roman" w:cs="Times New Roman" w:eastAsia="Times New Roman" w:hAnsi="Times New Roman"/>
          <w:sz w:val="23"/>
          <w:szCs w:val="23"/>
          <w:color w:val="auto"/>
          <w:vertAlign w:val="superscript"/>
        </w:rPr>
        <w:t>103</w:t>
      </w:r>
    </w:p>
    <w:p>
      <w:pPr>
        <w:spacing w:after="0" w:line="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Payments-Driven Revenue Model</w:t>
      </w:r>
    </w:p>
    <w:p>
      <w:pPr>
        <w:spacing w:after="0" w:line="175"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Unlike the traditional banks’ net interest margin-driven revenue model, we have an asset-light, payments-driven revenue model. We generate the substantial majority of our revenue through interchange-based fees paid via the card networks, not paid to us by our members, whenever Chime-branded debit and credit cards are used.</w:t>
      </w:r>
    </w:p>
    <w:p>
      <w:pPr>
        <w:spacing w:after="0" w:line="12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At the same time, we are strongly positioned to complement and reinforce our payments revenue by offering our members access to short-term liquidity at scale in a low-cost, low-risk, and asset-light way. Our primary account relationships provide rich, first-party data regarding our members’ income and spending behavior as well as a privileged repayment advantage from paycheck direct depositors, which reduces the risk profile of liquidity products. Given the short duration of the liquidity products offered through our platform, we are able to facilitate the origination of large volumes with only modest balance sheet needs, and nimbly adjust our risk exposure. Our model does not face the same asset-liability mismatch risk inherent in the traditional banking model that uses short term deposits to fund long-dated assets.</w:t>
      </w:r>
    </w:p>
    <w:p>
      <w:pPr>
        <w:spacing w:after="0" w:line="133"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We created Chime to make a positive impact and help our members move their financial lives forward. To do this, we have developed a model that is aligned with everyday Americans — a model that succeeds when we earn and maintain our members’ trust.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Primary Account Relationships Power Our Self-Reinforcing Flywheel</w:t>
      </w:r>
    </w:p>
    <w:p>
      <w:pPr>
        <w:spacing w:after="0" w:line="175"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designed our business to develop primary account relationships with our members, establishing Chime as their central financial hub. We believe this is the most valuable relationship in consumer financial services. As the central hub, Chime becomes the platform through which members deposit their paychecks and conduct their everyday spending. As of December 31, 2024, 67% of our Active Members had a primary account relationship with Chime. We define a primary account relationship as a relationship with a member who made 15 or more purchases using their Chime-branded debit or credit cards in the past calendar month or who had at least one qualifying direct deposit of $200 or more through Chime in the past calendar month. Primary account relationships form a key part of our member-aligned, self-reinforcing flywheel that powers our business.</w:t>
      </w:r>
    </w:p>
    <w:p>
      <w:pPr>
        <w:spacing w:after="0" w:line="133"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When we earn the privilege to serve our members through a primary account relationship, we become deeply embedded in their financial lives, and gain several key benefits:</w:t>
      </w:r>
    </w:p>
    <w:p>
      <w:pPr>
        <w:spacing w:after="0" w:line="104" w:lineRule="exact"/>
        <w:rPr>
          <w:sz w:val="20"/>
          <w:szCs w:val="20"/>
          <w:color w:val="auto"/>
        </w:rPr>
      </w:pPr>
    </w:p>
    <w:p>
      <w:pPr>
        <w:ind w:right="80" w:firstLine="324"/>
        <w:spacing w:after="0" w:line="230"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Deep, Habitual Engagement and Predictable, Recurring Spend. </w:t>
      </w:r>
      <w:r>
        <w:rPr>
          <w:rFonts w:ascii="Times New Roman" w:cs="Times New Roman" w:eastAsia="Times New Roman" w:hAnsi="Times New Roman"/>
          <w:sz w:val="17"/>
          <w:szCs w:val="17"/>
          <w:color w:val="auto"/>
        </w:rPr>
        <w:t>Our members are highly engaged on our platform, and typically use Chime-branded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debit and credit cards to pay for their everyday, largely non-discretionary expenses, with 70% of purchases being made in categories such as food and groceries, gas, and utilities.</w:t>
      </w:r>
      <w:r>
        <w:rPr>
          <w:rFonts w:ascii="Times New Roman" w:cs="Times New Roman" w:eastAsia="Times New Roman" w:hAnsi="Times New Roman"/>
          <w:sz w:val="22"/>
          <w:szCs w:val="22"/>
          <w:color w:val="auto"/>
          <w:vertAlign w:val="superscript"/>
        </w:rPr>
        <w:t>104</w:t>
      </w:r>
      <w:r>
        <w:rPr>
          <w:rFonts w:ascii="Times New Roman" w:cs="Times New Roman" w:eastAsia="Times New Roman" w:hAnsi="Times New Roman"/>
          <w:sz w:val="17"/>
          <w:szCs w:val="17"/>
          <w:color w:val="auto"/>
        </w:rPr>
        <w:t xml:space="preserve"> This results in predictable, recurring spend across our member cohorts. In the fourth quarter of 2024, our Active Members interacted with our app an average of 147 times per month</w:t>
      </w:r>
      <w:r>
        <w:rPr>
          <w:rFonts w:ascii="Times New Roman" w:cs="Times New Roman" w:eastAsia="Times New Roman" w:hAnsi="Times New Roman"/>
          <w:sz w:val="22"/>
          <w:szCs w:val="22"/>
          <w:color w:val="auto"/>
          <w:vertAlign w:val="superscript"/>
        </w:rPr>
        <w:t>105</w:t>
      </w:r>
      <w:r>
        <w:rPr>
          <w:rFonts w:ascii="Times New Roman" w:cs="Times New Roman" w:eastAsia="Times New Roman" w:hAnsi="Times New Roman"/>
          <w:sz w:val="17"/>
          <w:szCs w:val="17"/>
          <w:color w:val="auto"/>
        </w:rPr>
        <w:t xml:space="preserve"> and completed an average of 55 transactions per month. In 2024, our Active Members demonstrated approximately 97% net dollar Purchase Volume retention.</w:t>
      </w:r>
      <w:r>
        <w:rPr>
          <w:rFonts w:ascii="Times New Roman" w:cs="Times New Roman" w:eastAsia="Times New Roman" w:hAnsi="Times New Roman"/>
          <w:sz w:val="22"/>
          <w:szCs w:val="22"/>
          <w:color w:val="auto"/>
          <w:vertAlign w:val="superscript"/>
        </w:rPr>
        <w:t>106</w:t>
      </w:r>
      <w:r>
        <w:rPr>
          <w:rFonts w:ascii="Times New Roman" w:cs="Times New Roman" w:eastAsia="Times New Roman" w:hAnsi="Times New Roman"/>
          <w:sz w:val="17"/>
          <w:szCs w:val="17"/>
          <w:color w:val="auto"/>
        </w:rPr>
        <w:t xml:space="preserve"> We believe our engagement — as measured by transactions per Active Member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is among the highest, or is the highest, in the consumer fintech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17145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89" w:lineRule="exact"/>
        <w:rPr>
          <w:sz w:val="20"/>
          <w:szCs w:val="20"/>
          <w:color w:val="auto"/>
        </w:rPr>
      </w:pPr>
    </w:p>
    <w:p>
      <w:pPr>
        <w:ind w:left="340" w:right="200" w:hanging="332"/>
        <w:spacing w:after="0" w:line="271" w:lineRule="auto"/>
        <w:tabs>
          <w:tab w:leader="none" w:pos="381" w:val="left"/>
        </w:tabs>
        <w:numPr>
          <w:ilvl w:val="0"/>
          <w:numId w:val="9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Based on Service Net Promoter Score (sNPS) scores collected from Chime commissioned third-party surveys conducted on a rolling basis to measure the member support satisfaction of our members. See the section titled “Industry, Market, and Other Data.”</w:t>
      </w:r>
    </w:p>
    <w:p>
      <w:pPr>
        <w:ind w:left="340" w:hanging="332"/>
        <w:spacing w:after="0" w:line="192" w:lineRule="auto"/>
        <w:tabs>
          <w:tab w:leader="none" w:pos="340" w:val="left"/>
        </w:tabs>
        <w:numPr>
          <w:ilvl w:val="0"/>
          <w:numId w:val="9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Based on Purchase Volume from January 1 to December 31, 2024 categorized by merchant category.</w:t>
      </w:r>
    </w:p>
    <w:p>
      <w:pPr>
        <w:spacing w:after="0" w:line="3" w:lineRule="exact"/>
        <w:rPr>
          <w:rFonts w:ascii="Times New Roman" w:cs="Times New Roman" w:eastAsia="Times New Roman" w:hAnsi="Times New Roman"/>
          <w:sz w:val="19"/>
          <w:szCs w:val="19"/>
          <w:color w:val="auto"/>
          <w:vertAlign w:val="superscript"/>
        </w:rPr>
      </w:pPr>
    </w:p>
    <w:p>
      <w:pPr>
        <w:ind w:left="340" w:hanging="332"/>
        <w:spacing w:after="0" w:line="189" w:lineRule="auto"/>
        <w:tabs>
          <w:tab w:leader="none" w:pos="340" w:val="left"/>
        </w:tabs>
        <w:numPr>
          <w:ilvl w:val="0"/>
          <w:numId w:val="9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Interactions are defined as every time a member opens the Chime mobile application.</w:t>
      </w:r>
    </w:p>
    <w:p>
      <w:pPr>
        <w:spacing w:after="0" w:line="3" w:lineRule="exact"/>
        <w:rPr>
          <w:rFonts w:ascii="Times New Roman" w:cs="Times New Roman" w:eastAsia="Times New Roman" w:hAnsi="Times New Roman"/>
          <w:sz w:val="19"/>
          <w:szCs w:val="19"/>
          <w:color w:val="auto"/>
          <w:vertAlign w:val="superscript"/>
        </w:rPr>
      </w:pPr>
    </w:p>
    <w:p>
      <w:pPr>
        <w:jc w:val="both"/>
        <w:ind w:left="340" w:right="260" w:hanging="332"/>
        <w:spacing w:after="0" w:line="226" w:lineRule="auto"/>
        <w:tabs>
          <w:tab w:leader="none" w:pos="343" w:val="left"/>
        </w:tabs>
        <w:numPr>
          <w:ilvl w:val="0"/>
          <w:numId w:val="9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We calculate net dollar Purchase Volume retention by dividing Purchase Volume in the current period from all members that first became active at least one year prior to such period, by Purchase Volume from those same members in the prior period, inclusive of any members that have churned. We only include members that first became active at least one year prior to avoid comparing a full period of Purchase Volume in the current period to a partial period of Purchase Volume in the prior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220"/>
          </w:cols>
          <w:pgMar w:left="320" w:top="124" w:right="359" w:bottom="1440" w:gutter="0" w:footer="0" w:header="0"/>
        </w:sectPr>
      </w:pPr>
    </w:p>
    <w:bookmarkStart w:id="148" w:name="page149"/>
    <w:bookmarkEnd w:id="148"/>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Advantaged Unit Economics. </w:t>
      </w:r>
      <w:r>
        <w:rPr>
          <w:rFonts w:ascii="Times New Roman" w:cs="Times New Roman" w:eastAsia="Times New Roman" w:hAnsi="Times New Roman"/>
          <w:sz w:val="18"/>
          <w:szCs w:val="18"/>
          <w:color w:val="auto"/>
        </w:rPr>
        <w:t>Our members’ “top-of-wallet,” recurring Purchase Volume drives a high level of ARPAM and sustained cohort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performance. We monetize this volume at high margins as a result of our low-cost operating model and scale. In the fourth quarter of 2024, our ARPAM was $245, the substantial majority of which was from payments revenue, up from $212 in the fourth quarter of 2023. In 2024, our gross margin and transaction margin were 88% and 74%, up from 83% and 71% in 2023. We believe our monetization and unit economics compare favorably to others in the consumer fintech category. Given the durability of our primary account relationships, our cohorts have sustained consistent transaction profit generation, as evidenced by our approximately 107% net dollar transaction profit retention in 2024.</w:t>
      </w:r>
    </w:p>
    <w:p>
      <w:pPr>
        <w:spacing w:after="0" w:line="132"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Our primary account relationships also provide us several strategic benefits, which enhance our ability to offer affordable, easy-to-use products that address the most critical financial needs of our members:</w:t>
      </w:r>
    </w:p>
    <w:p>
      <w:pPr>
        <w:spacing w:after="0" w:line="104" w:lineRule="exact"/>
        <w:rPr>
          <w:sz w:val="20"/>
          <w:szCs w:val="20"/>
          <w:color w:val="auto"/>
        </w:rPr>
      </w:pPr>
    </w:p>
    <w:p>
      <w:pPr>
        <w:ind w:right="4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Access to Rich, First-Party Data. </w:t>
      </w:r>
      <w:r>
        <w:rPr>
          <w:rFonts w:ascii="Times New Roman" w:cs="Times New Roman" w:eastAsia="Times New Roman" w:hAnsi="Times New Roman"/>
          <w:sz w:val="18"/>
          <w:szCs w:val="18"/>
          <w:color w:val="auto"/>
        </w:rPr>
        <w:t>Our members’ deep and habitual engagement with Chime generates rich, first-party data, including member income,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spending, transaction, social graph, and other engagement data. This data enables us to better understand our members’ financial lives and serve them in a more personalized way. We leverage our data to improve the member experience, including through individually tailored limits for liquidity products, personalized local rewards, and targeted referral incentives.</w:t>
      </w:r>
    </w:p>
    <w:p>
      <w:pPr>
        <w:spacing w:after="0" w:line="122" w:lineRule="exact"/>
        <w:rPr>
          <w:sz w:val="20"/>
          <w:szCs w:val="20"/>
          <w:color w:val="auto"/>
        </w:rPr>
      </w:pPr>
    </w:p>
    <w:p>
      <w:pPr>
        <w:ind w:right="14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Privileged Repayment Advantage. </w:t>
      </w:r>
      <w:r>
        <w:rPr>
          <w:rFonts w:ascii="Times New Roman" w:cs="Times New Roman" w:eastAsia="Times New Roman" w:hAnsi="Times New Roman"/>
          <w:sz w:val="18"/>
          <w:szCs w:val="18"/>
          <w:color w:val="auto"/>
        </w:rPr>
        <w:t>When members direct deposit their paychecks through Chime, it provides a first-in-line repayment position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Chime-branded liquidity products. When combined with our strong underwriting capabilities, this positions us to offer our members instant access to low-cost liquidity when our members need it most, while maintaining low loss rates.</w:t>
      </w:r>
    </w:p>
    <w:p>
      <w:pPr>
        <w:spacing w:after="0" w:line="121"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Finally, because we are our members’ central financial hub, we are able to cross sell our products at high attach rates. Our monthly attach rates across the most used products for December 2024 are: 91% for debit cards, 69% for High Yield Savings, 53% for SpotMe, 51% for Pay Anyone, 36% for Credit Builder, and 28% for MyPay. We define monthly attach rates as the percentage of Active Members who used a given product in a month.</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Strong product adoption powers the growth of our business in two ways:</w:t>
      </w:r>
    </w:p>
    <w:p>
      <w:pPr>
        <w:spacing w:after="0" w:line="167" w:lineRule="exact"/>
        <w:rPr>
          <w:sz w:val="20"/>
          <w:szCs w:val="20"/>
          <w:color w:val="auto"/>
        </w:rPr>
      </w:pPr>
    </w:p>
    <w:p>
      <w:pPr>
        <w:ind w:right="20" w:firstLine="324"/>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ARPAM Growth. </w:t>
      </w:r>
      <w:r>
        <w:rPr>
          <w:rFonts w:ascii="Times New Roman" w:cs="Times New Roman" w:eastAsia="Times New Roman" w:hAnsi="Times New Roman"/>
          <w:sz w:val="17"/>
          <w:szCs w:val="17"/>
          <w:color w:val="auto"/>
        </w:rPr>
        <w:t>As our Active Members adopt more of our products, we observe higher levels of Purchase Volume per Active Member and ARPAM.</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For example, Active Members who used six or more products in December 2024 generated 1.8 times as much Purchase Volume, on average, in 2024</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1.8 times as much ARPAM, on average, in the fourth quarter of 2024 compared to all Active Members, on average, across the same period.</w:t>
      </w:r>
      <w:r>
        <w:rPr>
          <w:rFonts w:ascii="Times New Roman" w:cs="Times New Roman" w:eastAsia="Times New Roman" w:hAnsi="Times New Roman"/>
          <w:sz w:val="23"/>
          <w:szCs w:val="23"/>
          <w:color w:val="auto"/>
          <w:vertAlign w:val="superscript"/>
        </w:rPr>
        <w:t>107</w:t>
      </w:r>
    </w:p>
    <w:p>
      <w:pPr>
        <w:spacing w:after="0" w:line="101" w:lineRule="exact"/>
        <w:rPr>
          <w:sz w:val="20"/>
          <w:szCs w:val="20"/>
          <w:color w:val="auto"/>
        </w:rPr>
      </w:pPr>
    </w:p>
    <w:p>
      <w:pPr>
        <w:ind w:right="20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Active Member Growth. </w:t>
      </w:r>
      <w:r>
        <w:rPr>
          <w:rFonts w:ascii="Times New Roman" w:cs="Times New Roman" w:eastAsia="Times New Roman" w:hAnsi="Times New Roman"/>
          <w:sz w:val="18"/>
          <w:szCs w:val="18"/>
          <w:color w:val="auto"/>
        </w:rPr>
        <w:t>As our members adopt more of our products, they refer family and friends to Chime at higher rates. Active Members who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used six or more products in December 2024 referred 1.8 times more members to our platform on average in 2024 compared to the average across all Active Members. This has helped build referrals into our single biggest channel for new Active Member growth in 2024. Additionally, members who use more products have demonstrated higher retention.</w:t>
      </w:r>
    </w:p>
    <w:p>
      <w:pPr>
        <w:spacing w:after="0" w:line="12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believe these flywheel effects will continue to grow stronger over time. As we add more products to our platform, we provide prospective members with additional reasons to try Chime. As we have scaled, our cost-to-serve has continued to improve, allowing us to reinvest more in the member experience. Finally, as our member base grows, our opportunity to drive more member referrals increases. Our model is aligned with our members: as we continue to execute on our mission to unite everyday people to unlock their financial progress, our flywheel gets stronger.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17145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23" w:lineRule="exact"/>
        <w:rPr>
          <w:sz w:val="20"/>
          <w:szCs w:val="20"/>
          <w:color w:val="auto"/>
        </w:rPr>
      </w:pPr>
    </w:p>
    <w:p>
      <w:pPr>
        <w:ind w:left="340" w:right="180" w:hanging="332"/>
        <w:spacing w:after="0" w:line="281" w:lineRule="auto"/>
        <w:tabs>
          <w:tab w:leader="none" w:pos="343" w:val="left"/>
        </w:tabs>
        <w:numPr>
          <w:ilvl w:val="0"/>
          <w:numId w:val="9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products counted towards this measure are: Chime-branded debit cards (including purchases, ATM withdrawals with the debit card and cash deposits), Credit Builder (including purchases and ATM withdrawals with the Credit Builder secured credit card), Pay Anyone, High Yield Savings (with a balance), SpotMe, Tax Filing, MyPay, Credit Tracking, and Chime Deals &amp; Offers.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240"/>
          </w:cols>
          <w:pgMar w:left="320" w:top="124" w:right="339" w:bottom="1440" w:gutter="0" w:footer="0" w:header="0"/>
        </w:sectPr>
      </w:pPr>
    </w:p>
    <w:bookmarkStart w:id="149" w:name="page150"/>
    <w:bookmarkEnd w:id="1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3268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379730</wp:posOffset>
            </wp:positionH>
            <wp:positionV relativeFrom="page">
              <wp:posOffset>346075</wp:posOffset>
            </wp:positionV>
            <wp:extent cx="6789420" cy="90525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clrChange>
                        <a:clrFrom>
                          <a:srgbClr val="FFFFFF"/>
                        </a:clrFrom>
                        <a:clrTo>
                          <a:srgbClr val="FFFFFF">
                            <a:alpha val="0"/>
                          </a:srgbClr>
                        </a:clrTo>
                      </a:clrChange>
                      <a:extLst>
                        <a:ext uri="{28A0092B-C50C-407E-A947-70E740481C1C}"/>
                      </a:extLst>
                    </a:blip>
                    <a:srcRect/>
                    <a:stretch>
                      <a:fillRect/>
                    </a:stretch>
                  </pic:blipFill>
                  <pic:spPr bwMode="auto">
                    <a:xfrm>
                      <a:off x="0" y="0"/>
                      <a:ext cx="678942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379730</wp:posOffset>
            </wp:positionH>
            <wp:positionV relativeFrom="page">
              <wp:posOffset>346075</wp:posOffset>
            </wp:positionV>
            <wp:extent cx="6789420" cy="90525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678942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379730</wp:posOffset>
            </wp:positionH>
            <wp:positionV relativeFrom="page">
              <wp:posOffset>346075</wp:posOffset>
            </wp:positionV>
            <wp:extent cx="6789420" cy="90525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678942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379730</wp:posOffset>
            </wp:positionH>
            <wp:positionV relativeFrom="page">
              <wp:posOffset>346075</wp:posOffset>
            </wp:positionV>
            <wp:extent cx="6789420" cy="90525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678942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ADVANTAGES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 focus on primary account relationships</w:t>
      </w:r>
    </w:p>
    <w:p>
      <w:pPr>
        <w:spacing w:after="0" w:line="175" w:lineRule="exact"/>
        <w:rPr>
          <w:sz w:val="20"/>
          <w:szCs w:val="20"/>
          <w:color w:val="auto"/>
        </w:rPr>
      </w:pPr>
    </w:p>
    <w:p>
      <w:pPr>
        <w:ind w:right="60" w:firstLine="324"/>
        <w:spacing w:after="0" w:line="246" w:lineRule="auto"/>
        <w:rPr>
          <w:sz w:val="20"/>
          <w:szCs w:val="20"/>
          <w:color w:val="auto"/>
        </w:rPr>
      </w:pPr>
      <w:r>
        <w:rPr>
          <w:rFonts w:ascii="Times New Roman" w:cs="Times New Roman" w:eastAsia="Times New Roman" w:hAnsi="Times New Roman"/>
          <w:sz w:val="18"/>
          <w:szCs w:val="18"/>
          <w:color w:val="auto"/>
        </w:rPr>
        <w:t>We designed our business to develop primary account relationships with our members, establishing Chime as their central financial hub. As we become the platform through which members deposit their paychecks and conduct their everyday spending, we create durable and long-lasting relationships with high engagement. We believe the primary account relationship is vital and enables lifetime value – the average tenure of a primary deposit account at a traditional bank or credit union is estimated to be between 16 and 24 years.</w:t>
      </w:r>
      <w:r>
        <w:rPr>
          <w:rFonts w:ascii="Times New Roman" w:cs="Times New Roman" w:eastAsia="Times New Roman" w:hAnsi="Times New Roman"/>
          <w:sz w:val="23"/>
          <w:szCs w:val="23"/>
          <w:color w:val="auto"/>
          <w:vertAlign w:val="superscript"/>
        </w:rPr>
        <w:t>108</w:t>
      </w:r>
      <w:r>
        <w:rPr>
          <w:rFonts w:ascii="Times New Roman" w:cs="Times New Roman" w:eastAsia="Times New Roman" w:hAnsi="Times New Roman"/>
          <w:sz w:val="18"/>
          <w:szCs w:val="18"/>
          <w:color w:val="auto"/>
        </w:rPr>
        <w:t xml:space="preserve"> We have now earned the trust to serve 67% of our 8.0 million Active Members in a primary account relationship as of December 31, 2024. When we serve our members in a primary account relationship, we earn deep and habitual engagement and “top-of-wallet” card spend for their everyday, largely non-discretionary expenses. As a result, in the fourth quarter of 2024, our Active Members engaged in 55 transactions per month with Chime, on average, of which over 75% were purchase transactions. These relationships also provide a privileged repayment advantage for liquidity products and rich, first-party data, including member income, spending, transaction, social graph, and other engagement data, which enables product innovation. As we expand our platform offerings, we believe these relationships will help drive Active Member growth, position us well to continue to cross-sell additional products, and improve our ARPAM.</w:t>
      </w:r>
    </w:p>
    <w:p>
      <w:pPr>
        <w:spacing w:after="0" w:line="1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 commitment to innovate on new, member-aligned products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Since our founding, we have built a track record of launching pioneering products to address the most critical financial needs of everyday Americans</w:t>
      </w:r>
    </w:p>
    <w:p>
      <w:pPr>
        <w:spacing w:after="0" w:line="2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 spending, saving, accessing liquidity, and building credit, all while avoiding punitive fees. We believe our ability to launch free or low-cost, innovative products such as Get Paid Early, SpotMe, Credit Builder, and MyPay has allowed us to build a substantial and growing competitive advantage over traditional banks. Additionally, with the development and launch in 2024 of ChimeCore, our proprietary payment processor and ledger, we have built a foundation for even faster future product innovation to grow our advantage relative to traditional banks over time.</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 radical cost-to-serve advantage</w:t>
      </w:r>
    </w:p>
    <w:p>
      <w:pPr>
        <w:spacing w:after="0" w:line="175" w:lineRule="exact"/>
        <w:rPr>
          <w:sz w:val="20"/>
          <w:szCs w:val="20"/>
          <w:color w:val="auto"/>
        </w:rPr>
      </w:pPr>
    </w:p>
    <w:p>
      <w:pPr>
        <w:ind w:firstLine="324"/>
        <w:spacing w:after="0" w:line="247" w:lineRule="auto"/>
        <w:rPr>
          <w:sz w:val="20"/>
          <w:szCs w:val="20"/>
          <w:color w:val="auto"/>
        </w:rPr>
      </w:pPr>
      <w:r>
        <w:rPr>
          <w:rFonts w:ascii="Times New Roman" w:cs="Times New Roman" w:eastAsia="Times New Roman" w:hAnsi="Times New Roman"/>
          <w:sz w:val="18"/>
          <w:szCs w:val="18"/>
          <w:color w:val="auto"/>
        </w:rPr>
        <w:t>We constructed our model to serve everyday Americans, which meant taking a digital-first approach and building differentiated technology that allows us to serve our target audience at a significant cost advantage compared to traditional banks. The average annual cost-to-serve a retail deposit customer is estimated to be approximately three times higher for the three largest incumbent banks and five times higher for mid-sized and regional banks when compared to Chime.</w:t>
      </w:r>
      <w:r>
        <w:rPr>
          <w:rFonts w:ascii="Times New Roman" w:cs="Times New Roman" w:eastAsia="Times New Roman" w:hAnsi="Times New Roman"/>
          <w:sz w:val="23"/>
          <w:szCs w:val="23"/>
          <w:color w:val="auto"/>
          <w:vertAlign w:val="superscript"/>
        </w:rPr>
        <w:t>109</w:t>
      </w:r>
      <w:r>
        <w:rPr>
          <w:rFonts w:ascii="Times New Roman" w:cs="Times New Roman" w:eastAsia="Times New Roman" w:hAnsi="Times New Roman"/>
          <w:sz w:val="18"/>
          <w:szCs w:val="18"/>
          <w:color w:val="auto"/>
        </w:rPr>
        <w:t xml:space="preserve"> Our digital-first approach has allowed us to reduce the significant expenses associated with bank branches and ATMs. Through our direct relationships with our bank partners, we conveniently offer access to a suite of banking products on our mobile application, while providing our members with nationwide access to physical locations to conveniently withdraw cash and make cash deposits where and when members need to through our partnerships with ATM and cash deposit networks. We have invested substantially over several years in our cloud-native technology platform, including ChimeCore, to be able to efficiently develop products and process and record financial transactions in-house. As of the end of 2024, we had transitioned all credit card transactions to being processed by ChimeCore, and we expect to complete the full transition to ChimeCore over time. By operating our technology platform in-house, we are able to focus a greater portion of our technology spend on product innovation, avoid costly maintenance of legacy systems, and reduce or eliminate reliance on third-party vendors in areas such as transaction processing, financial ledgering, technology and product development, and technical operations. We have also invested in our data and AI platforms. These innovations enabled us to deliver 68% of our member support interactions without the need for human intervention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17145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39" w:lineRule="exact"/>
        <w:rPr>
          <w:sz w:val="20"/>
          <w:szCs w:val="20"/>
          <w:color w:val="auto"/>
        </w:rPr>
      </w:pPr>
    </w:p>
    <w:p>
      <w:pPr>
        <w:ind w:left="340" w:hanging="332"/>
        <w:spacing w:after="0"/>
        <w:tabs>
          <w:tab w:leader="none" w:pos="340" w:val="left"/>
        </w:tabs>
        <w:numPr>
          <w:ilvl w:val="0"/>
          <w:numId w:val="9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FS Vector Report; see the section titled “Industry, Market, and Other Data.”</w:t>
      </w:r>
    </w:p>
    <w:p>
      <w:pPr>
        <w:spacing w:after="0" w:line="27" w:lineRule="exact"/>
        <w:rPr>
          <w:rFonts w:ascii="Times New Roman" w:cs="Times New Roman" w:eastAsia="Times New Roman" w:hAnsi="Times New Roman"/>
          <w:sz w:val="9"/>
          <w:szCs w:val="9"/>
          <w:color w:val="auto"/>
        </w:rPr>
      </w:pPr>
    </w:p>
    <w:p>
      <w:pPr>
        <w:jc w:val="both"/>
        <w:ind w:left="340" w:right="220" w:hanging="332"/>
        <w:spacing w:after="0" w:line="233" w:lineRule="auto"/>
        <w:tabs>
          <w:tab w:leader="none" w:pos="343" w:val="left"/>
        </w:tabs>
        <w:numPr>
          <w:ilvl w:val="0"/>
          <w:numId w:val="9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Comparing average cost-to-serve for 2023 (in each case, excluding marketing costs) for the three largest banks by U.S. deposit volume (Bank of America, J.P. Morgan Chase, and Wells Fargo) and for a group of medium-sized and regional banks (BMO, KeyBank, PNC Bank, TD Bank, and U.S. Bank), in each case as estimated by FS Vector Report, to Chime’s average cost-to-serve for 2024; see the section titled “Industry, Market, and Other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180"/>
          </w:cols>
          <w:pgMar w:left="320" w:top="124" w:right="399" w:bottom="1440" w:gutter="0" w:footer="0" w:header="0"/>
        </w:sectPr>
      </w:pPr>
    </w:p>
    <w:bookmarkStart w:id="155" w:name="page156"/>
    <w:bookmarkEnd w:id="155"/>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540"/>
        <w:spacing w:after="0" w:line="283" w:lineRule="auto"/>
        <w:rPr>
          <w:sz w:val="20"/>
          <w:szCs w:val="20"/>
          <w:color w:val="auto"/>
        </w:rPr>
      </w:pPr>
      <w:r>
        <w:rPr>
          <w:rFonts w:ascii="Times New Roman" w:cs="Times New Roman" w:eastAsia="Times New Roman" w:hAnsi="Times New Roman"/>
          <w:sz w:val="18"/>
          <w:szCs w:val="18"/>
          <w:color w:val="auto"/>
        </w:rPr>
        <w:t>Between 2022 and 2024, we reduced our support costs per Active Member by 64% and fraud loss rates by 31% while simultaneously increasing our member support satisfaction scores by 93%.</w:t>
      </w:r>
      <w:r>
        <w:rPr>
          <w:rFonts w:ascii="Times New Roman" w:cs="Times New Roman" w:eastAsia="Times New Roman" w:hAnsi="Times New Roman"/>
          <w:sz w:val="23"/>
          <w:szCs w:val="23"/>
          <w:color w:val="auto"/>
          <w:vertAlign w:val="superscript"/>
        </w:rPr>
        <w:t>110</w:t>
      </w:r>
    </w:p>
    <w:p>
      <w:pPr>
        <w:spacing w:after="0" w:line="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 loved and trusted brand</w:t>
      </w:r>
    </w:p>
    <w:p>
      <w:pPr>
        <w:spacing w:after="0" w:line="175" w:lineRule="exact"/>
        <w:rPr>
          <w:sz w:val="20"/>
          <w:szCs w:val="20"/>
          <w:color w:val="auto"/>
        </w:rPr>
      </w:pPr>
    </w:p>
    <w:p>
      <w:pPr>
        <w:ind w:firstLine="324"/>
        <w:spacing w:after="0" w:line="238" w:lineRule="auto"/>
        <w:rPr>
          <w:sz w:val="20"/>
          <w:szCs w:val="20"/>
          <w:color w:val="auto"/>
        </w:rPr>
      </w:pPr>
      <w:r>
        <w:rPr>
          <w:rFonts w:ascii="Times New Roman" w:cs="Times New Roman" w:eastAsia="Times New Roman" w:hAnsi="Times New Roman"/>
          <w:sz w:val="18"/>
          <w:szCs w:val="18"/>
          <w:color w:val="auto"/>
        </w:rPr>
        <w:t>In a category where everyday Americans are regularly dissatisfied and lack trust, we deliver products that our members love and that address their critical needs, resulting in Chime’s brand leadership. In 2024, Time Magazine published its World’s Best Brand survey, which identified Chime among the top five brands in the banking category in America. Among Americans earning up to $100,000 annually, our unaided brand awareness of 41% rivals that of the three largest traditional banks in the United States and meaningfully exceeds that of some of the largest peer to peer financial technology companies.</w:t>
      </w:r>
      <w:r>
        <w:rPr>
          <w:rFonts w:ascii="Times New Roman" w:cs="Times New Roman" w:eastAsia="Times New Roman" w:hAnsi="Times New Roman"/>
          <w:sz w:val="23"/>
          <w:szCs w:val="23"/>
          <w:color w:val="auto"/>
          <w:vertAlign w:val="superscript"/>
        </w:rPr>
        <w:t>111</w:t>
      </w:r>
      <w:r>
        <w:rPr>
          <w:rFonts w:ascii="Times New Roman" w:cs="Times New Roman" w:eastAsia="Times New Roman" w:hAnsi="Times New Roman"/>
          <w:sz w:val="18"/>
          <w:szCs w:val="18"/>
          <w:color w:val="auto"/>
        </w:rPr>
        <w:t xml:space="preserve"> We have focused our brand strategy on winning brand ownership in the categories that matter most to everyday Americans. Compared to the three largest traditional banks in the United States, we are: over 80% more likely to be associated with not having hidden fees; more than twice as likely to be associated with allowing members to get paid earlier; and over 50% more likely to be associated with helping members build their credit scores.</w:t>
      </w:r>
      <w:r>
        <w:rPr>
          <w:rFonts w:ascii="Times New Roman" w:cs="Times New Roman" w:eastAsia="Times New Roman" w:hAnsi="Times New Roman"/>
          <w:sz w:val="23"/>
          <w:szCs w:val="23"/>
          <w:color w:val="auto"/>
          <w:vertAlign w:val="superscript"/>
        </w:rPr>
        <w:t>112</w:t>
      </w:r>
      <w:r>
        <w:rPr>
          <w:rFonts w:ascii="Times New Roman" w:cs="Times New Roman" w:eastAsia="Times New Roman" w:hAnsi="Times New Roman"/>
          <w:sz w:val="18"/>
          <w:szCs w:val="18"/>
          <w:color w:val="auto"/>
        </w:rPr>
        <w:t xml:space="preserve"> Our passionate community means our members are our biggest brand ambassadors — in 2024, member referrals have been the single largest channel of new Active Member growth at Chime. Chime members love and trust us and they pay it forward.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 OPPORTUNITY</w:t>
      </w:r>
    </w:p>
    <w:p>
      <w:pPr>
        <w:spacing w:after="0" w:line="175"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We believe there is a massive market opportunity that comes with transforming financial services for everyday Americans. We view our addressable market across three opportunities: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Expanding Our Lead</w:t>
      </w:r>
    </w:p>
    <w:p>
      <w:pPr>
        <w:spacing w:after="0" w:line="172" w:lineRule="exact"/>
        <w:rPr>
          <w:sz w:val="20"/>
          <w:szCs w:val="20"/>
          <w:color w:val="auto"/>
        </w:rPr>
      </w:pPr>
    </w:p>
    <w:p>
      <w:pPr>
        <w:ind w:right="20" w:firstLine="324"/>
        <w:spacing w:after="0" w:line="233" w:lineRule="auto"/>
        <w:rPr>
          <w:sz w:val="20"/>
          <w:szCs w:val="20"/>
          <w:color w:val="auto"/>
        </w:rPr>
      </w:pPr>
      <w:r>
        <w:rPr>
          <w:rFonts w:ascii="Times New Roman" w:cs="Times New Roman" w:eastAsia="Times New Roman" w:hAnsi="Times New Roman"/>
          <w:sz w:val="18"/>
          <w:szCs w:val="18"/>
          <w:color w:val="auto"/>
        </w:rPr>
        <w:t>We estimate our SAM to be a $85 billion annual revenue opportunity.</w:t>
      </w:r>
      <w:r>
        <w:rPr>
          <w:rFonts w:ascii="Times New Roman" w:cs="Times New Roman" w:eastAsia="Times New Roman" w:hAnsi="Times New Roman"/>
          <w:sz w:val="23"/>
          <w:szCs w:val="23"/>
          <w:color w:val="auto"/>
          <w:vertAlign w:val="superscript"/>
        </w:rPr>
        <w:t>113</w:t>
      </w:r>
      <w:r>
        <w:rPr>
          <w:rFonts w:ascii="Times New Roman" w:cs="Times New Roman" w:eastAsia="Times New Roman" w:hAnsi="Times New Roman"/>
          <w:sz w:val="18"/>
          <w:szCs w:val="18"/>
          <w:color w:val="auto"/>
        </w:rPr>
        <w:t xml:space="preserve"> We derive this estimate from multiplying the ARPAM generated among our highly engaged members of $436 by the 196 million Americans earning up to $100,000 annually.</w:t>
      </w:r>
      <w:r>
        <w:rPr>
          <w:rFonts w:ascii="Times New Roman" w:cs="Times New Roman" w:eastAsia="Times New Roman" w:hAnsi="Times New Roman"/>
          <w:sz w:val="23"/>
          <w:szCs w:val="23"/>
          <w:color w:val="auto"/>
          <w:vertAlign w:val="superscript"/>
        </w:rPr>
        <w:t>114</w:t>
      </w:r>
      <w:r>
        <w:rPr>
          <w:rFonts w:ascii="Times New Roman" w:cs="Times New Roman" w:eastAsia="Times New Roman" w:hAnsi="Times New Roman"/>
          <w:sz w:val="18"/>
          <w:szCs w:val="18"/>
          <w:color w:val="auto"/>
        </w:rPr>
        <w:t xml:space="preserve"> With 8.0 million Active Members as of December 31, 2024, our SAM represents an opportunity to grow our Active Member base by almost 25 times. Further, our SAM represents an opportunity to increase our ARPAM by 1.8 times by increasing member engagement. In the fourth quarter of 2024, our ARPAM was $245 across all Active Members, but ARPAM was $436 for Active Members who used six or more products in December 2024. These highly engaged members represented 12% of our Active Member base as of December 31, 2024.</w:t>
      </w:r>
    </w:p>
    <w:p>
      <w:pPr>
        <w:spacing w:after="0" w:line="1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Addressing Additional Financial Needs of Everyday Americans</w:t>
      </w:r>
    </w:p>
    <w:p>
      <w:pPr>
        <w:spacing w:after="0" w:line="175" w:lineRule="exact"/>
        <w:rPr>
          <w:sz w:val="20"/>
          <w:szCs w:val="20"/>
          <w:color w:val="auto"/>
        </w:rPr>
      </w:pPr>
    </w:p>
    <w:p>
      <w:pPr>
        <w:ind w:firstLine="324"/>
        <w:spacing w:after="0" w:line="245" w:lineRule="auto"/>
        <w:rPr>
          <w:sz w:val="20"/>
          <w:szCs w:val="20"/>
          <w:color w:val="auto"/>
        </w:rPr>
      </w:pPr>
      <w:r>
        <w:rPr>
          <w:rFonts w:ascii="Times New Roman" w:cs="Times New Roman" w:eastAsia="Times New Roman" w:hAnsi="Times New Roman"/>
          <w:sz w:val="18"/>
          <w:szCs w:val="18"/>
          <w:color w:val="auto"/>
        </w:rPr>
        <w:t>By developing and introducing new products, services, and features to address the additional financial needs of the 196 million Americans in our target audience today, we believe our total addressable market (“TAM”) can expand to a $312 billion annual revenue opportunity.</w:t>
      </w:r>
      <w:r>
        <w:rPr>
          <w:rFonts w:ascii="Times New Roman" w:cs="Times New Roman" w:eastAsia="Times New Roman" w:hAnsi="Times New Roman"/>
          <w:sz w:val="23"/>
          <w:szCs w:val="23"/>
          <w:color w:val="auto"/>
          <w:vertAlign w:val="superscript"/>
        </w:rPr>
        <w:t>115</w:t>
      </w:r>
      <w:r>
        <w:rPr>
          <w:rFonts w:ascii="Times New Roman" w:cs="Times New Roman" w:eastAsia="Times New Roman" w:hAnsi="Times New Roman"/>
          <w:sz w:val="18"/>
          <w:szCs w:val="18"/>
          <w:color w:val="auto"/>
        </w:rPr>
        <w:t xml:space="preserve"> Beyond our existing product offerings, we believe there is a significant opportunity to provide our members with access to products that address their broader needs while building off our success in spending, saving, and liquidity products. The $312 billion annual revenue opportunity is estimated for Americans earning up to $100,000 annually across our core products as well as opportunities including installment loans (such as home, auto, and personal loans); unsecured credit cards; longer-term saving; retirement, investing, and wealth management; insurance; and enhanced rewards. As we contemplate future products, we expect to continue our asset-light framework by continuing to keep a minimal balance sheet and to continue to maintain our free or low-cost pricing philosophy. We believe our vertically-integrated technology platform, low-cost operating model, rich first-party data, and privileged repayment position provide critical advantages for us to continue to drive product innovation to address even more of our target audience’s financial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17145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83" w:lineRule="exact"/>
        <w:rPr>
          <w:sz w:val="20"/>
          <w:szCs w:val="20"/>
          <w:color w:val="auto"/>
        </w:rPr>
      </w:pPr>
    </w:p>
    <w:p>
      <w:pPr>
        <w:ind w:left="340" w:right="200" w:hanging="332"/>
        <w:spacing w:after="0" w:line="271" w:lineRule="auto"/>
        <w:tabs>
          <w:tab w:leader="none" w:pos="378" w:val="left"/>
        </w:tabs>
        <w:numPr>
          <w:ilvl w:val="0"/>
          <w:numId w:val="9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Based on Service Net Promoter Score (sNPS) scores collected from Chime commissioned third-party surveys conducted on a rolling basis to measure the member support satisfaction of our members. See the section titled “Industry, Market, and Other Data.”</w:t>
      </w:r>
    </w:p>
    <w:p>
      <w:pPr>
        <w:ind w:left="320" w:hanging="312"/>
        <w:spacing w:after="0" w:line="192" w:lineRule="auto"/>
        <w:tabs>
          <w:tab w:leader="none" w:pos="320" w:val="left"/>
        </w:tabs>
        <w:numPr>
          <w:ilvl w:val="0"/>
          <w:numId w:val="9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Brand Awareness Survey; see the section titled “Industry, Market, and Other Data.”</w:t>
      </w:r>
    </w:p>
    <w:p>
      <w:pPr>
        <w:spacing w:after="0" w:line="3" w:lineRule="exact"/>
        <w:rPr>
          <w:rFonts w:ascii="Times New Roman" w:cs="Times New Roman" w:eastAsia="Times New Roman" w:hAnsi="Times New Roman"/>
          <w:sz w:val="19"/>
          <w:szCs w:val="19"/>
          <w:color w:val="auto"/>
          <w:vertAlign w:val="superscript"/>
        </w:rPr>
      </w:pPr>
    </w:p>
    <w:p>
      <w:pPr>
        <w:ind w:left="340" w:hanging="332"/>
        <w:spacing w:after="0" w:line="189" w:lineRule="auto"/>
        <w:tabs>
          <w:tab w:leader="none" w:pos="340" w:val="left"/>
        </w:tabs>
        <w:numPr>
          <w:ilvl w:val="0"/>
          <w:numId w:val="9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Brand Awareness Survey; see the section titled “Industry, Market, and Other Data.”</w:t>
      </w:r>
    </w:p>
    <w:p>
      <w:pPr>
        <w:spacing w:after="0" w:line="3" w:lineRule="exact"/>
        <w:rPr>
          <w:rFonts w:ascii="Times New Roman" w:cs="Times New Roman" w:eastAsia="Times New Roman" w:hAnsi="Times New Roman"/>
          <w:sz w:val="19"/>
          <w:szCs w:val="19"/>
          <w:color w:val="auto"/>
          <w:vertAlign w:val="superscript"/>
        </w:rPr>
      </w:pPr>
    </w:p>
    <w:p>
      <w:pPr>
        <w:ind w:left="340" w:right="100" w:hanging="332"/>
        <w:spacing w:after="0" w:line="213" w:lineRule="auto"/>
        <w:tabs>
          <w:tab w:leader="none" w:pos="340" w:val="left"/>
        </w:tabs>
        <w:numPr>
          <w:ilvl w:val="0"/>
          <w:numId w:val="9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Estimated revenue opportunity calculated by multiplying the 196 million adult Americans earning up to $100,000 annually by the ARPAM for the fourth quarter of 2024 for members who used at least six products per month in December 2024.</w:t>
      </w:r>
    </w:p>
    <w:p>
      <w:pPr>
        <w:ind w:left="340" w:hanging="332"/>
        <w:spacing w:after="0"/>
        <w:tabs>
          <w:tab w:leader="none" w:pos="340" w:val="left"/>
        </w:tabs>
        <w:numPr>
          <w:ilvl w:val="0"/>
          <w:numId w:val="9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ARPAM for highest engaged members is the ARPAM of members who used at least six products per month in December 2024.</w:t>
      </w:r>
    </w:p>
    <w:p>
      <w:pPr>
        <w:spacing w:after="0" w:line="11" w:lineRule="exact"/>
        <w:rPr>
          <w:rFonts w:ascii="Times New Roman" w:cs="Times New Roman" w:eastAsia="Times New Roman" w:hAnsi="Times New Roman"/>
          <w:sz w:val="9"/>
          <w:szCs w:val="9"/>
          <w:color w:val="auto"/>
        </w:rPr>
      </w:pPr>
    </w:p>
    <w:p>
      <w:pPr>
        <w:ind w:left="360" w:hanging="352"/>
        <w:spacing w:after="0" w:line="192" w:lineRule="auto"/>
        <w:tabs>
          <w:tab w:leader="none" w:pos="360" w:val="left"/>
        </w:tabs>
        <w:numPr>
          <w:ilvl w:val="0"/>
          <w:numId w:val="9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FS Vector Report; see the section titled “Industry, Market, and Other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220"/>
          </w:cols>
          <w:pgMar w:left="320" w:top="124" w:right="359" w:bottom="1440" w:gutter="0" w:footer="0" w:header="0"/>
        </w:sectPr>
      </w:pPr>
    </w:p>
    <w:bookmarkStart w:id="156" w:name="page157"/>
    <w:bookmarkEnd w:id="156"/>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Additionally, with our position at the center of our members’ financial lives, we believe we have a differentiated ability to drive strong attach rates on these new offerings.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Broadening Our Audience</w:t>
      </w:r>
    </w:p>
    <w:p>
      <w:pPr>
        <w:spacing w:after="0" w:line="175" w:lineRule="exact"/>
        <w:rPr>
          <w:sz w:val="20"/>
          <w:szCs w:val="20"/>
          <w:color w:val="auto"/>
        </w:rPr>
      </w:pPr>
    </w:p>
    <w:p>
      <w:pPr>
        <w:ind w:right="20" w:firstLine="324"/>
        <w:spacing w:after="0" w:line="229" w:lineRule="auto"/>
        <w:rPr>
          <w:sz w:val="20"/>
          <w:szCs w:val="20"/>
          <w:color w:val="auto"/>
        </w:rPr>
      </w:pPr>
      <w:r>
        <w:rPr>
          <w:rFonts w:ascii="Times New Roman" w:cs="Times New Roman" w:eastAsia="Times New Roman" w:hAnsi="Times New Roman"/>
          <w:sz w:val="18"/>
          <w:szCs w:val="18"/>
          <w:color w:val="auto"/>
        </w:rPr>
        <w:t>We believe that our annual revenue opportunity can grow to $426 billion as we continue to expand our platform and target the broader market of 227 million Americans earning up to $200,000 annually.</w:t>
      </w:r>
      <w:r>
        <w:rPr>
          <w:rFonts w:ascii="Times New Roman" w:cs="Times New Roman" w:eastAsia="Times New Roman" w:hAnsi="Times New Roman"/>
          <w:sz w:val="23"/>
          <w:szCs w:val="23"/>
          <w:color w:val="auto"/>
          <w:vertAlign w:val="superscript"/>
        </w:rPr>
        <w:t>116</w:t>
      </w:r>
      <w:r>
        <w:rPr>
          <w:rFonts w:ascii="Times New Roman" w:cs="Times New Roman" w:eastAsia="Times New Roman" w:hAnsi="Times New Roman"/>
          <w:sz w:val="18"/>
          <w:szCs w:val="18"/>
          <w:color w:val="auto"/>
        </w:rPr>
        <w:t xml:space="preserve"> Given nearly half of Americans earning more than $100,000 annually are estimated to live paycheck to paycheck,</w:t>
      </w:r>
      <w:r>
        <w:rPr>
          <w:rFonts w:ascii="Times New Roman" w:cs="Times New Roman" w:eastAsia="Times New Roman" w:hAnsi="Times New Roman"/>
          <w:sz w:val="23"/>
          <w:szCs w:val="23"/>
          <w:color w:val="auto"/>
          <w:vertAlign w:val="superscript"/>
        </w:rPr>
        <w:t>117</w:t>
      </w:r>
      <w:r>
        <w:rPr>
          <w:rFonts w:ascii="Times New Roman" w:cs="Times New Roman" w:eastAsia="Times New Roman" w:hAnsi="Times New Roman"/>
          <w:sz w:val="18"/>
          <w:szCs w:val="18"/>
          <w:color w:val="auto"/>
        </w:rPr>
        <w:t xml:space="preserve"> many of these Americans’ financial priorities overlap with those of our current target audience. However, they are also looking for solutions that provide broader access to credit, investing, insurance, and saving on expenses. As we broaden our platform and address more complex financial challenges for our members, we will also be well-positioned to address the financial needs of a wider audience.</w:t>
      </w:r>
    </w:p>
    <w:p>
      <w:pPr>
        <w:spacing w:after="0" w:line="145"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Our overall $426 billion TAM reflects a transformative opportunity to become the market leader in consumer financial services, delivering innovative solutions that support the evolving financial needs of everyday Americans. While these SAM and TAM figures reflect total annual revenue opportunities that are inclusive of major portions of the financial services sector in the United States and it would be challenging to achieve these levels of growth and market penetration, we believe they demonstrate the significant room for us to continue to grow and serve additional members and member needs over time.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STRATEGIES</w:t>
      </w:r>
    </w:p>
    <w:p>
      <w:pPr>
        <w:spacing w:after="0" w:line="175"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We believe that we are in the early stages of addressing our significant serviceable and total addressable market opportunities. Key elements of our growth strategy include our plans to:</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Attract and Acquire Active Members</w:t>
      </w:r>
    </w:p>
    <w:p>
      <w:pPr>
        <w:spacing w:after="0" w:line="17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We see a substantial opportunity to grow our Active Members through our comprehensive marketing strategy, which includes social media engagement, product-led marketing, data-driven member acquisition, and member referrals. This strategy enables us to efficiently acquire new Active Members through both paid and organic channels. Since 2022, over half of our new Active Members are acquired through our organic and member-driven channels, which include word-of-mouth, referrals, and peer-to-peer payments received through Pay Anyone. We aim to develop primary account relationships that drive deep levels of engagement and “top-of-wallet,” recurring card spend, fueling our payments-driven revenue model.</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Increase Adoption of Our Existing Products</w:t>
      </w:r>
    </w:p>
    <w:p>
      <w:pPr>
        <w:spacing w:after="0" w:line="175" w:lineRule="exact"/>
        <w:rPr>
          <w:sz w:val="20"/>
          <w:szCs w:val="20"/>
          <w:color w:val="auto"/>
        </w:rPr>
      </w:pPr>
    </w:p>
    <w:p>
      <w:pPr>
        <w:ind w:firstLine="324"/>
        <w:spacing w:after="0" w:line="244" w:lineRule="auto"/>
        <w:rPr>
          <w:sz w:val="20"/>
          <w:szCs w:val="20"/>
          <w:color w:val="auto"/>
        </w:rPr>
      </w:pPr>
      <w:r>
        <w:rPr>
          <w:rFonts w:ascii="Times New Roman" w:cs="Times New Roman" w:eastAsia="Times New Roman" w:hAnsi="Times New Roman"/>
          <w:sz w:val="18"/>
          <w:szCs w:val="18"/>
          <w:color w:val="auto"/>
        </w:rPr>
        <w:t>We have an opportunity to deepen our relationship with our members by increasing their adoption of existing products. As Active Members engage with more products, they increase their Purchase Volume and generate greater platform-related revenue, both of which drive higher ARPAM. Active Members who used six or more products in December 2024 generated 1.8 times more ARPAM, on average, as of the fourth quarter of 2024 than the ARPAM of all Active Members. Greater product adoption also increases member retention and growth through referrals. Our annual member retention rate in 2024 for Active Members who used six or more products in December 2023 is 14% higher than the average annual retention rate for all Active Members across the same period.</w:t>
      </w:r>
      <w:r>
        <w:rPr>
          <w:rFonts w:ascii="Times New Roman" w:cs="Times New Roman" w:eastAsia="Times New Roman" w:hAnsi="Times New Roman"/>
          <w:sz w:val="23"/>
          <w:szCs w:val="23"/>
          <w:color w:val="auto"/>
          <w:vertAlign w:val="superscript"/>
        </w:rPr>
        <w:t>118</w:t>
      </w:r>
      <w:r>
        <w:rPr>
          <w:rFonts w:ascii="Times New Roman" w:cs="Times New Roman" w:eastAsia="Times New Roman" w:hAnsi="Times New Roman"/>
          <w:sz w:val="18"/>
          <w:szCs w:val="18"/>
          <w:color w:val="auto"/>
        </w:rPr>
        <w:t xml:space="preserve"> Active Members who used six or more products in December 2024 referred 1.8 times as many new members, on average, to Chime in 2024 as the average across all Active Members.</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Expand Our Market Opportunity</w:t>
      </w:r>
    </w:p>
    <w:p>
      <w:pPr>
        <w:spacing w:after="0" w:line="171" w:lineRule="exact"/>
        <w:rPr>
          <w:sz w:val="20"/>
          <w:szCs w:val="20"/>
          <w:color w:val="auto"/>
        </w:rPr>
      </w:pPr>
    </w:p>
    <w:p>
      <w:pPr>
        <w:ind w:left="660" w:right="140" w:hanging="328"/>
        <w:spacing w:after="0" w:line="286" w:lineRule="auto"/>
        <w:tabs>
          <w:tab w:leader="none" w:pos="65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Develop New Products. </w:t>
      </w:r>
      <w:r>
        <w:rPr>
          <w:rFonts w:ascii="Times New Roman" w:cs="Times New Roman" w:eastAsia="Times New Roman" w:hAnsi="Times New Roman"/>
          <w:sz w:val="18"/>
          <w:szCs w:val="18"/>
          <w:color w:val="auto"/>
        </w:rPr>
        <w:t>We intend to continue expanding our product offerings to address additional financial needs of everyday Americans.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believe that over time we can increase our total addressable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17145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2" w:lineRule="exact"/>
        <w:rPr>
          <w:sz w:val="20"/>
          <w:szCs w:val="20"/>
          <w:color w:val="auto"/>
        </w:rPr>
      </w:pPr>
    </w:p>
    <w:p>
      <w:pPr>
        <w:ind w:left="340" w:right="340" w:hanging="332"/>
        <w:spacing w:after="0" w:line="271" w:lineRule="auto"/>
        <w:tabs>
          <w:tab w:leader="none" w:pos="340" w:val="left"/>
        </w:tabs>
        <w:numPr>
          <w:ilvl w:val="0"/>
          <w:numId w:val="9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Based on the products and opportunities used in the $312 billion annual revenue opportunity, but including the revenue opportunity for Americans earning up to $200,000 annually. FS Vector Report; see the section titled “Industry, Market, and Other Data.”</w:t>
      </w:r>
    </w:p>
    <w:p>
      <w:pPr>
        <w:ind w:left="340" w:hanging="332"/>
        <w:spacing w:after="0" w:line="192" w:lineRule="auto"/>
        <w:tabs>
          <w:tab w:leader="none" w:pos="340" w:val="left"/>
        </w:tabs>
        <w:numPr>
          <w:ilvl w:val="0"/>
          <w:numId w:val="9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FS Vector Report; see the section titled “Industry, Market, and Other Data.”</w:t>
      </w:r>
    </w:p>
    <w:p>
      <w:pPr>
        <w:spacing w:after="0" w:line="3" w:lineRule="exact"/>
        <w:rPr>
          <w:rFonts w:ascii="Times New Roman" w:cs="Times New Roman" w:eastAsia="Times New Roman" w:hAnsi="Times New Roman"/>
          <w:sz w:val="19"/>
          <w:szCs w:val="19"/>
          <w:color w:val="auto"/>
          <w:vertAlign w:val="superscript"/>
        </w:rPr>
      </w:pPr>
    </w:p>
    <w:p>
      <w:pPr>
        <w:ind w:left="340" w:right="220" w:hanging="332"/>
        <w:spacing w:after="0" w:line="219" w:lineRule="auto"/>
        <w:tabs>
          <w:tab w:leader="none" w:pos="340" w:val="left"/>
        </w:tabs>
        <w:numPr>
          <w:ilvl w:val="0"/>
          <w:numId w:val="9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We calculate annual member retention rates by product attachment by comparing the number of Active Members who used the specified number of products in a month to the number of such members who remained active in the same month in the following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220"/>
          </w:cols>
          <w:pgMar w:left="320" w:top="124" w:right="359" w:bottom="1440" w:gutter="0" w:footer="0" w:header="0"/>
        </w:sectPr>
      </w:pPr>
    </w:p>
    <w:bookmarkStart w:id="157" w:name="page158"/>
    <w:bookmarkEnd w:id="157"/>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60" w:right="280"/>
        <w:spacing w:after="0" w:line="282" w:lineRule="auto"/>
        <w:rPr>
          <w:sz w:val="20"/>
          <w:szCs w:val="20"/>
          <w:color w:val="auto"/>
        </w:rPr>
      </w:pPr>
      <w:r>
        <w:rPr>
          <w:rFonts w:ascii="Times New Roman" w:cs="Times New Roman" w:eastAsia="Times New Roman" w:hAnsi="Times New Roman"/>
          <w:sz w:val="18"/>
          <w:szCs w:val="18"/>
          <w:color w:val="auto"/>
        </w:rPr>
        <w:t>market opportunity by offering products in areas such as installment lending; unsecured credit cards; longer term saving; investing and wealth management; insurance; and enhanced member rewards.</w:t>
      </w:r>
    </w:p>
    <w:p>
      <w:pPr>
        <w:spacing w:after="0" w:line="104" w:lineRule="exact"/>
        <w:rPr>
          <w:sz w:val="20"/>
          <w:szCs w:val="20"/>
          <w:color w:val="auto"/>
        </w:rPr>
      </w:pPr>
    </w:p>
    <w:p>
      <w:pPr>
        <w:ind w:left="660" w:right="20" w:hanging="328"/>
        <w:spacing w:after="0" w:line="262" w:lineRule="auto"/>
        <w:tabs>
          <w:tab w:leader="none" w:pos="65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 our Audience. </w:t>
      </w:r>
      <w:r>
        <w:rPr>
          <w:rFonts w:ascii="Times New Roman" w:cs="Times New Roman" w:eastAsia="Times New Roman" w:hAnsi="Times New Roman"/>
          <w:sz w:val="18"/>
          <w:szCs w:val="18"/>
          <w:color w:val="auto"/>
        </w:rPr>
        <w:t>As we expand our product offerings and the range of financial needs we address, we believe we can attract and acquire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more members across a broader range of incomes, including those who earn up to $200,000 annually, who have many of the same financial needs as our current target demographic. We believe that as we broaden our platform and address more complex financial challenges for our members, we will also be well-positioned to address the financial needs of a wider audience.</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Expand into the Employer Channel with Chime Enterprise</w:t>
      </w:r>
    </w:p>
    <w:p>
      <w:pPr>
        <w:spacing w:after="0" w:line="175"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In 2024, we established Chime Enterprise in order to offer a suite of innovative products, including MyPay, through employers via an employee financial wellness solution. We believe that through the employer channel, we can access a large pipeline of new members at an efficient cost to drive continued Active Member growth. We are early in our journey with Chime Enterprise, having established it following our acquisition of Salt Labs in June 2024.</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Selectively Pursue Strategic Investments and Acquisitions</w:t>
      </w:r>
    </w:p>
    <w:p>
      <w:pPr>
        <w:spacing w:after="0" w:line="175"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While we are primarily focused on organic and member-driven growth, we may opportunistically pursue strategic investments or acquisitions that complement and enhance our platform. In the past, we have acquired and integrated Salt Labs, an enterprise employee rewards company, Charlie, a personal finance app, and Pinch, a credit-building tool that reports rent payments.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 TO MARKET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122555</wp:posOffset>
            </wp:positionV>
            <wp:extent cx="5349240" cy="20142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349240" cy="2014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We are bold in our ambition to build a generational consumer brand that empowers everyday Americans to make progress in their financial journeys. While everyday Americans are regularly dissatisfied with, and lack trust in, traditional banks, we deliver products that our members love and that address their critical needs, resulting in Chime’s brand leadership. In 2024, Time Magazine published its World’s Best Brand survey, which identified Chime among the top five brands in the banking category in America. Among Americans earning up to $100,000 annually, our unaided brand awareness of 41% rivals that of the three largest traditional banks in the United States and meaningfully exceeds that of some of the largest peer to peer financial technology companies.</w:t>
      </w:r>
      <w:r>
        <w:rPr>
          <w:rFonts w:ascii="Times New Roman" w:cs="Times New Roman" w:eastAsia="Times New Roman" w:hAnsi="Times New Roman"/>
          <w:sz w:val="23"/>
          <w:szCs w:val="23"/>
          <w:color w:val="auto"/>
          <w:vertAlign w:val="superscript"/>
        </w:rPr>
        <w:t>119</w:t>
      </w:r>
    </w:p>
    <w:p>
      <w:pPr>
        <w:spacing w:after="0" w:line="61"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strength of our brand fuels an efficient member acquisition model where over half of our new Active Members since 2022 come from organic and member-driven channels including word-of-mouth, referrals, and Pay Anyone payments. We also acquire new Active Members through paid media channels, including search, social, television, mobile, and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17145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89" w:lineRule="exact"/>
        <w:rPr>
          <w:sz w:val="20"/>
          <w:szCs w:val="20"/>
          <w:color w:val="auto"/>
        </w:rPr>
      </w:pPr>
    </w:p>
    <w:p>
      <w:pPr>
        <w:ind w:left="380" w:hanging="372"/>
        <w:spacing w:after="0"/>
        <w:tabs>
          <w:tab w:leader="none" w:pos="380" w:val="left"/>
        </w:tabs>
        <w:numPr>
          <w:ilvl w:val="0"/>
          <w:numId w:val="9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Brand Awareness Survey; see the section titled “Industry, Market, and Other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160"/>
          </w:cols>
          <w:pgMar w:left="320" w:top="124" w:right="419" w:bottom="1440" w:gutter="0" w:footer="0" w:header="0"/>
        </w:sectPr>
      </w:pPr>
    </w:p>
    <w:bookmarkStart w:id="158" w:name="page159"/>
    <w:bookmarkEnd w:id="158"/>
    <w:p>
      <w:pPr>
        <w:jc w:val="center"/>
        <w:ind w:right="-31"/>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color w:val="auto"/>
        </w:rPr>
        <w:t>We focus on the following strategies to power our organic, member-driven and paid media acquisition channels:</w:t>
      </w:r>
    </w:p>
    <w:p>
      <w:pPr>
        <w:spacing w:after="0" w:line="167" w:lineRule="exact"/>
        <w:rPr>
          <w:sz w:val="20"/>
          <w:szCs w:val="20"/>
          <w:color w:val="auto"/>
        </w:rPr>
      </w:pPr>
    </w:p>
    <w:p>
      <w:pPr>
        <w:ind w:left="652" w:right="340" w:hanging="328"/>
        <w:spacing w:after="0" w:line="262" w:lineRule="auto"/>
        <w:tabs>
          <w:tab w:leader="none" w:pos="647"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Social Media Engagement: </w:t>
      </w:r>
      <w:r>
        <w:rPr>
          <w:rFonts w:ascii="Times New Roman" w:cs="Times New Roman" w:eastAsia="Times New Roman" w:hAnsi="Times New Roman"/>
          <w:sz w:val="18"/>
          <w:szCs w:val="18"/>
          <w:color w:val="auto"/>
        </w:rPr>
        <w:t>We use social media to tell our story, build greater awareness around our products, and engage with everyday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Americans via the online channels they use most regularly. We partner with key influencers and target specific subcultures, such as sports and music, that are highly relevant to our members, and we deliver content, leveraging AI, that makes personal finance more engaging and entertaining.</w:t>
      </w:r>
    </w:p>
    <w:p>
      <w:pPr>
        <w:spacing w:after="0" w:line="122" w:lineRule="exact"/>
        <w:rPr>
          <w:rFonts w:ascii="Times New Roman" w:cs="Times New Roman" w:eastAsia="Times New Roman" w:hAnsi="Times New Roman"/>
          <w:sz w:val="18"/>
          <w:szCs w:val="18"/>
          <w:color w:val="auto"/>
        </w:rPr>
      </w:pPr>
    </w:p>
    <w:p>
      <w:pPr>
        <w:ind w:left="652" w:right="40" w:hanging="328"/>
        <w:spacing w:after="0" w:line="245" w:lineRule="auto"/>
        <w:tabs>
          <w:tab w:leader="none" w:pos="647"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Product-Led Marketing: </w:t>
      </w:r>
      <w:r>
        <w:rPr>
          <w:rFonts w:ascii="Times New Roman" w:cs="Times New Roman" w:eastAsia="Times New Roman" w:hAnsi="Times New Roman"/>
          <w:sz w:val="18"/>
          <w:szCs w:val="18"/>
          <w:color w:val="auto"/>
        </w:rPr>
        <w:t>We deliver affordable, easy-to-use products that address the most critical financial needs of everyday people —</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spending, saving, accessing liquidity, and building credit, all while avoiding punitive fees. Through our product-led marketing strategy, we bring the compelling value propositions of these products to life with anecdotes and stories from our members. This strategy has enabled us to own the categories that matter most to everyday Americans. Compared to the three largest traditional banks in the United States, we are: over 80% more likely to be associated with not having hidden fees; more than twice as likely to be associated with allowing members to get paid earlier; and over 50% more likely to be associated with helping members build their credit scores.</w:t>
      </w:r>
      <w:r>
        <w:rPr>
          <w:rFonts w:ascii="Times New Roman" w:cs="Times New Roman" w:eastAsia="Times New Roman" w:hAnsi="Times New Roman"/>
          <w:sz w:val="23"/>
          <w:szCs w:val="23"/>
          <w:color w:val="auto"/>
          <w:vertAlign w:val="superscript"/>
        </w:rPr>
        <w:t>120</w:t>
      </w:r>
      <w:r>
        <w:rPr>
          <w:rFonts w:ascii="Times New Roman" w:cs="Times New Roman" w:eastAsia="Times New Roman" w:hAnsi="Times New Roman"/>
          <w:sz w:val="18"/>
          <w:szCs w:val="18"/>
          <w:color w:val="auto"/>
        </w:rPr>
        <w:t xml:space="preserve"> In addition to highlighting our products individually, our product-led marketing content also holistically emphasizes the value our platform can bring as a central part of our members’ financial lives.</w:t>
      </w:r>
    </w:p>
    <w:p>
      <w:pPr>
        <w:spacing w:after="0" w:line="136" w:lineRule="exact"/>
        <w:rPr>
          <w:rFonts w:ascii="Times New Roman" w:cs="Times New Roman" w:eastAsia="Times New Roman" w:hAnsi="Times New Roman"/>
          <w:sz w:val="18"/>
          <w:szCs w:val="18"/>
          <w:color w:val="auto"/>
        </w:rPr>
      </w:pPr>
    </w:p>
    <w:p>
      <w:pPr>
        <w:ind w:left="652" w:right="40" w:hanging="328"/>
        <w:spacing w:after="0" w:line="256" w:lineRule="auto"/>
        <w:tabs>
          <w:tab w:leader="none" w:pos="647"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Data-Driven Member Acquisition: </w:t>
      </w:r>
      <w:r>
        <w:rPr>
          <w:rFonts w:ascii="Times New Roman" w:cs="Times New Roman" w:eastAsia="Times New Roman" w:hAnsi="Times New Roman"/>
          <w:sz w:val="18"/>
          <w:szCs w:val="18"/>
          <w:color w:val="auto"/>
        </w:rPr>
        <w:t>We use an efficient, data-driven member acquisition strategy to fuel growth through search engine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optimization (“SEO”) and targeted paid media. Our SEO approach focuses on creating high-impact content utilizing our AI-powered Chime Content GPT — which is a generative AI solution using ChatGPT to leverage the knowledge base of our best performing blogs, editorial pieces, and videos for the creation of new content — in partnership with our internal editorial team and certified financial writers. We believe our content generation strategy has put Chime in a strong position compared to traditional banks in organic search results for the key financial categories that resonate most with everyday Americans. Within targeted paid media, we leverage a diversified set of marketing channels — including search, social, television, mobile, and affiliates — to efficiently invest in new member acquisition with strong return on investment.</w:t>
      </w:r>
    </w:p>
    <w:p>
      <w:pPr>
        <w:spacing w:after="0" w:line="128" w:lineRule="exact"/>
        <w:rPr>
          <w:rFonts w:ascii="Times New Roman" w:cs="Times New Roman" w:eastAsia="Times New Roman" w:hAnsi="Times New Roman"/>
          <w:sz w:val="18"/>
          <w:szCs w:val="18"/>
          <w:color w:val="auto"/>
        </w:rPr>
      </w:pPr>
    </w:p>
    <w:p>
      <w:pPr>
        <w:ind w:left="652" w:right="80" w:hanging="328"/>
        <w:spacing w:after="0" w:line="259" w:lineRule="auto"/>
        <w:tabs>
          <w:tab w:leader="none" w:pos="647"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Member Referrals: </w:t>
      </w:r>
      <w:r>
        <w:rPr>
          <w:rFonts w:ascii="Times New Roman" w:cs="Times New Roman" w:eastAsia="Times New Roman" w:hAnsi="Times New Roman"/>
          <w:sz w:val="18"/>
          <w:szCs w:val="18"/>
          <w:color w:val="auto"/>
        </w:rPr>
        <w:t>We have built an efficient and scaled member referral engine, with referrals representing our single largest channel for new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Active Member growth in 2024. Using our intelligent social graph that maps our members’ networks, we leverage machine learning (“ML”) and data science to personalize the referral incentive dollar amounts for members who are most likely to refer others to Chime. We believe our ability to grow our Active Members through referrals is highly differentiated. We have also found that our referral model has self-reinforcing benefits, with members who have been referred to Chime being 29% more likely to refer new members to our platform in 2024.</w:t>
      </w:r>
    </w:p>
    <w:p>
      <w:pPr>
        <w:spacing w:after="0" w:line="125" w:lineRule="exact"/>
        <w:rPr>
          <w:rFonts w:ascii="Times New Roman" w:cs="Times New Roman" w:eastAsia="Times New Roman" w:hAnsi="Times New Roman"/>
          <w:sz w:val="18"/>
          <w:szCs w:val="18"/>
          <w:color w:val="auto"/>
        </w:rPr>
      </w:pPr>
    </w:p>
    <w:p>
      <w:pPr>
        <w:ind w:left="652" w:hanging="328"/>
        <w:spacing w:after="0" w:line="262" w:lineRule="auto"/>
        <w:tabs>
          <w:tab w:leader="none" w:pos="647"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Chime Enterprise: </w:t>
      </w:r>
      <w:r>
        <w:rPr>
          <w:rFonts w:ascii="Times New Roman" w:cs="Times New Roman" w:eastAsia="Times New Roman" w:hAnsi="Times New Roman"/>
          <w:sz w:val="18"/>
          <w:szCs w:val="18"/>
          <w:color w:val="auto"/>
        </w:rPr>
        <w:t>In 2024, we established Chime Enterprise in order to offer a suite of innovative products, including MyPay, through employers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via an employee financial wellness solution. We believe that through the employer channel, we can access a large pipeline of new members at an efficient cost to drive continued Active Member growth. We are early in our journey with Chime Enterprise, having established it following our acquisition of Salt Labs in June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17145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23" w:lineRule="exact"/>
        <w:rPr>
          <w:sz w:val="20"/>
          <w:szCs w:val="20"/>
          <w:color w:val="auto"/>
        </w:rPr>
      </w:pPr>
    </w:p>
    <w:p>
      <w:pPr>
        <w:ind w:left="372" w:hanging="372"/>
        <w:spacing w:after="0"/>
        <w:tabs>
          <w:tab w:leader="none" w:pos="372" w:val="left"/>
        </w:tabs>
        <w:numPr>
          <w:ilvl w:val="0"/>
          <w:numId w:val="10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Brand Awareness Survey; see the section titled “Industry, Market, and Other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192"/>
          </w:cols>
          <w:pgMar w:left="328" w:top="124" w:right="379" w:bottom="1440" w:gutter="0" w:footer="0" w:header="0"/>
        </w:sectPr>
      </w:pPr>
    </w:p>
    <w:bookmarkStart w:id="159" w:name="page160"/>
    <w:bookmarkEnd w:id="159"/>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built a suite of affordable, easy-to-use products that address the most critical financial needs of everyday people. In a landscape dominated by high-cost providers, Chime is making banking free or low-cost for everyday Americans. All of our products are conveniently available through our mobile application.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88900</wp:posOffset>
            </wp:positionV>
            <wp:extent cx="5349240" cy="26149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349240" cy="2614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200"/>
          </w:cols>
          <w:pgMar w:left="320" w:top="124" w:right="379" w:bottom="1440" w:gutter="0" w:footer="0" w:header="0"/>
        </w:sectPr>
      </w:pPr>
    </w:p>
    <w:bookmarkStart w:id="160" w:name="page161"/>
    <w:bookmarkEnd w:id="160"/>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Spending</w:t>
      </w:r>
    </w:p>
    <w:p>
      <w:pPr>
        <w:spacing w:after="0" w:line="17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spending products we offer through our platform provide our members access to FDIC-insured checking accounts and linked debit cards, nationwide ATM and cash deposit networks, and early access to their paycheck, allowing them to confidently manage their money and pay for everyday expenses.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Checking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-116840</wp:posOffset>
            </wp:positionV>
            <wp:extent cx="1148715" cy="23488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48715" cy="2348865"/>
                    </a:xfrm>
                    <a:prstGeom prst="rect">
                      <a:avLst/>
                    </a:prstGeom>
                    <a:noFill/>
                  </pic:spPr>
                </pic:pic>
              </a:graphicData>
            </a:graphic>
          </wp:anchor>
        </w:drawing>
      </w:r>
    </w:p>
    <w:p>
      <w:pPr>
        <w:spacing w:after="0" w:line="155" w:lineRule="exact"/>
        <w:rPr>
          <w:sz w:val="20"/>
          <w:szCs w:val="20"/>
          <w:color w:val="auto"/>
        </w:rPr>
      </w:pPr>
    </w:p>
    <w:p>
      <w:pPr>
        <w:ind w:right="5620" w:firstLine="324"/>
        <w:spacing w:after="0" w:line="253" w:lineRule="auto"/>
        <w:rPr>
          <w:sz w:val="20"/>
          <w:szCs w:val="20"/>
          <w:color w:val="auto"/>
        </w:rPr>
      </w:pPr>
      <w:r>
        <w:rPr>
          <w:rFonts w:ascii="Times New Roman" w:cs="Times New Roman" w:eastAsia="Times New Roman" w:hAnsi="Times New Roman"/>
          <w:sz w:val="18"/>
          <w:szCs w:val="18"/>
          <w:color w:val="auto"/>
        </w:rPr>
        <w:t>Chime offers access to full-featured, FDIC-insured checking accounts provided through our platform by one of our bank partners, The Bancorp Bank, N.A. or Stride Bank, N.A. Members can open an account from their phone in as little as two minutes for free and easily manage their money with 24/7 mobile banking. Members can deposit their paychecks, cash, or checks through Chime, or transfer money to their checking account by connecting an external bank account, debit card, or Apple Pay. These checking accounts offer members access to Get Paid Early and essential features such as the ability to pay bills online through Bills Hub and mail checks, insights into their spending, account security features, and more, all while benefiting from no monthly maintenance fees or minimum balance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Chime Debit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-116840</wp:posOffset>
            </wp:positionV>
            <wp:extent cx="2339975" cy="13544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339975" cy="1354455"/>
                    </a:xfrm>
                    <a:prstGeom prst="rect">
                      <a:avLst/>
                    </a:prstGeom>
                    <a:noFill/>
                  </pic:spPr>
                </pic:pic>
              </a:graphicData>
            </a:graphic>
          </wp:anchor>
        </w:drawing>
      </w:r>
    </w:p>
    <w:p>
      <w:pPr>
        <w:spacing w:after="0" w:line="155" w:lineRule="exact"/>
        <w:rPr>
          <w:sz w:val="20"/>
          <w:szCs w:val="20"/>
          <w:color w:val="auto"/>
        </w:rPr>
      </w:pPr>
    </w:p>
    <w:p>
      <w:pPr>
        <w:ind w:right="5700" w:firstLine="324"/>
        <w:spacing w:after="0" w:line="254" w:lineRule="auto"/>
        <w:rPr>
          <w:sz w:val="20"/>
          <w:szCs w:val="20"/>
          <w:color w:val="auto"/>
        </w:rPr>
      </w:pPr>
      <w:r>
        <w:rPr>
          <w:rFonts w:ascii="Times New Roman" w:cs="Times New Roman" w:eastAsia="Times New Roman" w:hAnsi="Times New Roman"/>
          <w:sz w:val="18"/>
          <w:szCs w:val="18"/>
          <w:color w:val="auto"/>
        </w:rPr>
        <w:t>Checking accounts are complemented by Chime Debit Cards, which are Visa-branded debit cards issued by our bank partners. Chime Debit Cards are accepted wherever Visa debit cards are accepted. Members can receive real-time transaction alerts and are not required to have a minimum balance. In addition to receiving a physical card via mail when our members join Chime, they also receive access to a virtual card that they can use immediately with digital wallets like Apple Pay and Google Pay for added convenience.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0980"/>
          </w:cols>
          <w:pgMar w:left="320" w:top="124" w:right="599" w:bottom="1440" w:gutter="0" w:footer="0" w:header="0"/>
        </w:sectPr>
      </w:pPr>
    </w:p>
    <w:bookmarkStart w:id="161" w:name="page162"/>
    <w:bookmarkEnd w:id="161"/>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ATM and Cash Deposit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-116840</wp:posOffset>
            </wp:positionV>
            <wp:extent cx="2880360" cy="2040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880360" cy="2040255"/>
                    </a:xfrm>
                    <a:prstGeom prst="rect">
                      <a:avLst/>
                    </a:prstGeom>
                    <a:noFill/>
                  </pic:spPr>
                </pic:pic>
              </a:graphicData>
            </a:graphic>
          </wp:anchor>
        </w:drawing>
      </w:r>
    </w:p>
    <w:p>
      <w:pPr>
        <w:spacing w:after="0" w:line="155" w:lineRule="exact"/>
        <w:rPr>
          <w:sz w:val="20"/>
          <w:szCs w:val="20"/>
          <w:color w:val="auto"/>
        </w:rPr>
      </w:pPr>
    </w:p>
    <w:p>
      <w:pPr>
        <w:ind w:right="4779" w:firstLine="324"/>
        <w:spacing w:after="0" w:line="253" w:lineRule="auto"/>
        <w:rPr>
          <w:sz w:val="20"/>
          <w:szCs w:val="20"/>
          <w:color w:val="auto"/>
        </w:rPr>
      </w:pPr>
      <w:r>
        <w:rPr>
          <w:rFonts w:ascii="Times New Roman" w:cs="Times New Roman" w:eastAsia="Times New Roman" w:hAnsi="Times New Roman"/>
          <w:sz w:val="18"/>
          <w:szCs w:val="18"/>
          <w:color w:val="auto"/>
        </w:rPr>
        <w:t>We provide our members access to nationwide networks that allow them to conveniently deposit and withdraw cash from their accounts, including ATMs that are Chime branded. We offer over 50,000 fee-free ATMs, more than the ATM networks of the three largest U.S. banks combined. Many of these ATMs are located in stores that our members frequent, including 7-Eleven, Circle K, CVS, and Target. In addition, our members can make fee-free cash deposits and ATM withdrawals at over 8,000 Walgreens locations. Our members are also able to deposit cash, for a fee, at over 90,000 additional participating retail locations. We make it easy for our members to find ATM and cash deposit locations through one unified map on our mobile application.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Get Paid Early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-116840</wp:posOffset>
            </wp:positionV>
            <wp:extent cx="1234440" cy="14312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34440" cy="1431290"/>
                    </a:xfrm>
                    <a:prstGeom prst="rect">
                      <a:avLst/>
                    </a:prstGeom>
                    <a:noFill/>
                  </pic:spPr>
                </pic:pic>
              </a:graphicData>
            </a:graphic>
          </wp:anchor>
        </w:drawing>
      </w:r>
    </w:p>
    <w:p>
      <w:pPr>
        <w:spacing w:after="0" w:line="155" w:lineRule="exact"/>
        <w:rPr>
          <w:sz w:val="20"/>
          <w:szCs w:val="20"/>
          <w:color w:val="auto"/>
        </w:rPr>
      </w:pPr>
    </w:p>
    <w:p>
      <w:pPr>
        <w:ind w:right="4819" w:firstLine="324"/>
        <w:spacing w:after="0" w:line="256" w:lineRule="auto"/>
        <w:rPr>
          <w:sz w:val="20"/>
          <w:szCs w:val="20"/>
          <w:color w:val="auto"/>
        </w:rPr>
      </w:pPr>
      <w:r>
        <w:rPr>
          <w:rFonts w:ascii="Times New Roman" w:cs="Times New Roman" w:eastAsia="Times New Roman" w:hAnsi="Times New Roman"/>
          <w:sz w:val="18"/>
          <w:szCs w:val="18"/>
          <w:color w:val="auto"/>
        </w:rPr>
        <w:t>Get Paid Early provides members that direct deposit through Chime access to the full value of their paycheck up to two days before their scheduled pay date. Get Paid Early helps our members stay on top of bills and manage day-to-day expenses before payday. We make tracking the receipt of direct deposits easy for our members with instant push notifications and email.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0139"/>
          </w:cols>
          <w:pgMar w:left="320" w:top="124" w:right="1440" w:bottom="1440" w:gutter="0" w:footer="0" w:header="0"/>
        </w:sectPr>
      </w:pPr>
    </w:p>
    <w:bookmarkStart w:id="162" w:name="page163"/>
    <w:bookmarkEnd w:id="162"/>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liquidity products we offer through our platform, including SpotMe and MyPay, provide our eligible members access to short-term liquidity when they need it most for free or at a low cost. SpotMe and MyPay do not require third-party credit checks.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SpotMe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-116840</wp:posOffset>
            </wp:positionV>
            <wp:extent cx="1534160" cy="28803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534160" cy="2880360"/>
                    </a:xfrm>
                    <a:prstGeom prst="rect">
                      <a:avLst/>
                    </a:prstGeom>
                    <a:noFill/>
                  </pic:spPr>
                </pic:pic>
              </a:graphicData>
            </a:graphic>
          </wp:anchor>
        </w:drawing>
      </w:r>
    </w:p>
    <w:p>
      <w:pPr>
        <w:spacing w:after="0" w:line="155" w:lineRule="exact"/>
        <w:rPr>
          <w:sz w:val="20"/>
          <w:szCs w:val="20"/>
          <w:color w:val="auto"/>
        </w:rPr>
      </w:pPr>
    </w:p>
    <w:p>
      <w:pPr>
        <w:ind w:right="5760" w:firstLine="324"/>
        <w:spacing w:after="0" w:line="252" w:lineRule="auto"/>
        <w:rPr>
          <w:sz w:val="20"/>
          <w:szCs w:val="20"/>
          <w:color w:val="auto"/>
        </w:rPr>
      </w:pPr>
      <w:r>
        <w:rPr>
          <w:rFonts w:ascii="Times New Roman" w:cs="Times New Roman" w:eastAsia="Times New Roman" w:hAnsi="Times New Roman"/>
          <w:sz w:val="18"/>
          <w:szCs w:val="18"/>
          <w:color w:val="auto"/>
        </w:rPr>
        <w:t>SpotMe, which we believe was the industry’s first fee-free overdraft protection product of its kind, allows eligible members to overdraft up to $200 fee-free. SpotMe automatically helps members when they accidentally take their account negative and also offers members liquidity to pay for urgent expenses when money is tight between paychecks. SpotMe can be used for debit card purchases, Credit Builder secured credit card purchases, cash-back transactions, and ATM withdrawals. Overdrawn amounts related to SpotMe may be repaid by our members’ next direct deposit, cash deposit, or transfer into their account. In certain instances, SpotMe limits may be temporarily increased above $200, such as through SpotMe Boosts. As of December 31, 2024, members have received over $38.7 billion of fee-free overdraft protection through SpotMe since its full product launch in 2019. Members can voluntarily choose to tip Chime for the use of SpotMe once the overdraft is repaid and may rescind the tip during the specified refundable period as defined in the member agreement. Tipping is completely optional and it does not affect a member’s SpotMe overdraft limit or eligibility.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160"/>
          </w:cols>
          <w:pgMar w:left="320" w:top="124" w:right="419" w:bottom="1440" w:gutter="0" w:footer="0" w:header="0"/>
        </w:sectPr>
      </w:pPr>
    </w:p>
    <w:bookmarkStart w:id="163" w:name="page164"/>
    <w:bookmarkEnd w:id="163"/>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MyPay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-116840</wp:posOffset>
            </wp:positionV>
            <wp:extent cx="1311275" cy="26828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11275" cy="2682875"/>
                    </a:xfrm>
                    <a:prstGeom prst="rect">
                      <a:avLst/>
                    </a:prstGeom>
                    <a:noFill/>
                  </pic:spPr>
                </pic:pic>
              </a:graphicData>
            </a:graphic>
          </wp:anchor>
        </w:drawing>
      </w:r>
    </w:p>
    <w:p>
      <w:pPr>
        <w:spacing w:after="0" w:line="155" w:lineRule="exact"/>
        <w:rPr>
          <w:sz w:val="20"/>
          <w:szCs w:val="20"/>
          <w:color w:val="auto"/>
        </w:rPr>
      </w:pPr>
    </w:p>
    <w:p>
      <w:pPr>
        <w:ind w:right="5660" w:firstLine="324"/>
        <w:spacing w:after="0" w:line="243" w:lineRule="auto"/>
        <w:rPr>
          <w:sz w:val="20"/>
          <w:szCs w:val="20"/>
          <w:color w:val="auto"/>
        </w:rPr>
      </w:pPr>
      <w:r>
        <w:rPr>
          <w:rFonts w:ascii="Times New Roman" w:cs="Times New Roman" w:eastAsia="Times New Roman" w:hAnsi="Times New Roman"/>
          <w:sz w:val="18"/>
          <w:szCs w:val="18"/>
          <w:color w:val="auto"/>
        </w:rPr>
        <w:t>MyPay allows eligible members receiving direct deposit to access up to $500 of their earned pay on demand before payday for free within 24 hours, or instantly for a low fee. More than 70% of Americans have to wait at least two weeks between pay cycles</w:t>
      </w:r>
      <w:r>
        <w:rPr>
          <w:rFonts w:ascii="Times New Roman" w:cs="Times New Roman" w:eastAsia="Times New Roman" w:hAnsi="Times New Roman"/>
          <w:sz w:val="23"/>
          <w:szCs w:val="23"/>
          <w:color w:val="auto"/>
          <w:vertAlign w:val="superscript"/>
        </w:rPr>
        <w:t>121</w:t>
      </w:r>
      <w:r>
        <w:rPr>
          <w:rFonts w:ascii="Times New Roman" w:cs="Times New Roman" w:eastAsia="Times New Roman" w:hAnsi="Times New Roman"/>
          <w:sz w:val="18"/>
          <w:szCs w:val="18"/>
          <w:color w:val="auto"/>
        </w:rPr>
        <w:t>, with an estimated $340 billion in wages and income trapped in the payroll cycle between paydays.</w:t>
      </w:r>
      <w:r>
        <w:rPr>
          <w:rFonts w:ascii="Times New Roman" w:cs="Times New Roman" w:eastAsia="Times New Roman" w:hAnsi="Times New Roman"/>
          <w:sz w:val="23"/>
          <w:szCs w:val="23"/>
          <w:color w:val="auto"/>
          <w:vertAlign w:val="superscript"/>
        </w:rPr>
        <w:t>122</w:t>
      </w:r>
      <w:r>
        <w:rPr>
          <w:rFonts w:ascii="Times New Roman" w:cs="Times New Roman" w:eastAsia="Times New Roman" w:hAnsi="Times New Roman"/>
          <w:sz w:val="18"/>
          <w:szCs w:val="18"/>
          <w:color w:val="auto"/>
        </w:rPr>
        <w:t xml:space="preserve"> MyPay helps address this challenge by providing eligible members with greater flexibility and control over when and how they access their money, with no mandatory subscription charges, interest costs, or credit checks. MyPay advances are repaid by a member’s next paycheck direct deposit. Most new members start with access to between $50 to $100 in MyPay advances, and their access can increase over time up to $500 depending on factors such as length of direct deposit history through the Chime platform and amounts of direct deposit. As of December 31, 2024, members have received over $5.3 billion in MyPay advances since its full product launch in July 2024. Prior to MyPay, we beta tested a predecessor product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534670</wp:posOffset>
            </wp:positionV>
            <wp:extent cx="17145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40" w:hanging="332"/>
        <w:spacing w:after="0"/>
        <w:tabs>
          <w:tab w:leader="none" w:pos="340" w:val="left"/>
        </w:tabs>
        <w:numPr>
          <w:ilvl w:val="0"/>
          <w:numId w:val="10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U.S. Bureau of Labor Statistics, Length of pay periods in the Current Employment Statistics survey, August 2023.</w:t>
      </w:r>
    </w:p>
    <w:p>
      <w:pPr>
        <w:spacing w:after="0" w:line="27" w:lineRule="exact"/>
        <w:rPr>
          <w:rFonts w:ascii="Times New Roman" w:cs="Times New Roman" w:eastAsia="Times New Roman" w:hAnsi="Times New Roman"/>
          <w:sz w:val="9"/>
          <w:szCs w:val="9"/>
          <w:color w:val="auto"/>
        </w:rPr>
      </w:pPr>
    </w:p>
    <w:p>
      <w:pPr>
        <w:ind w:left="340" w:hanging="332"/>
        <w:spacing w:after="0" w:line="221" w:lineRule="auto"/>
        <w:tabs>
          <w:tab w:leader="none" w:pos="343" w:val="left"/>
        </w:tabs>
        <w:numPr>
          <w:ilvl w:val="0"/>
          <w:numId w:val="10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Based on the total 2023 American income in the form of wages and salaries discounted for an assumed 25% tax rate. Income data sourced from Federal Reserve Bank of St. Louis, FRED Gross Domestic Product Release Tables, Table 1.12 National Income by Type of Income: Annual,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060"/>
          </w:cols>
          <w:pgMar w:left="320" w:top="124" w:right="519" w:bottom="1440" w:gutter="0" w:footer="0" w:header="0"/>
        </w:sectPr>
      </w:pPr>
    </w:p>
    <w:bookmarkStart w:id="164" w:name="page165"/>
    <w:bookmarkEnd w:id="164"/>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Building Credit</w:t>
      </w:r>
    </w:p>
    <w:p>
      <w:pPr>
        <w:spacing w:after="0" w:line="175" w:lineRule="exact"/>
        <w:rPr>
          <w:sz w:val="20"/>
          <w:szCs w:val="20"/>
          <w:color w:val="auto"/>
        </w:rPr>
      </w:pPr>
    </w:p>
    <w:p>
      <w:pPr>
        <w:ind w:right="120" w:firstLine="324"/>
        <w:spacing w:after="0" w:line="288" w:lineRule="auto"/>
        <w:rPr>
          <w:sz w:val="20"/>
          <w:szCs w:val="20"/>
          <w:color w:val="auto"/>
        </w:rPr>
      </w:pPr>
      <w:r>
        <w:rPr>
          <w:rFonts w:ascii="Times New Roman" w:cs="Times New Roman" w:eastAsia="Times New Roman" w:hAnsi="Times New Roman"/>
          <w:sz w:val="17"/>
          <w:szCs w:val="17"/>
          <w:color w:val="auto"/>
        </w:rPr>
        <w:t>We offer credit building solutions that allow our members to improve their credit scores without the risk of falling into debt or the need for a credit check. Improving credit scores help unlock key milestones in the lives of our members from qualifying for an apartment lease, an affordable auto loan, or insurance rate, to even a first home mortgage. Seventy-nine percent of Americans say they are trying to improve their credit according to a 2023 survey.</w:t>
      </w:r>
      <w:r>
        <w:rPr>
          <w:rFonts w:ascii="Times New Roman" w:cs="Times New Roman" w:eastAsia="Times New Roman" w:hAnsi="Times New Roman"/>
          <w:sz w:val="22"/>
          <w:szCs w:val="22"/>
          <w:color w:val="auto"/>
          <w:vertAlign w:val="superscript"/>
        </w:rPr>
        <w:t>123</w:t>
      </w:r>
    </w:p>
    <w:p>
      <w:pPr>
        <w:spacing w:after="0" w:line="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Credit Builder Credit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-48260</wp:posOffset>
            </wp:positionV>
            <wp:extent cx="1979930" cy="22028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979930" cy="2202815"/>
                    </a:xfrm>
                    <a:prstGeom prst="rect">
                      <a:avLst/>
                    </a:prstGeom>
                    <a:noFill/>
                  </pic:spPr>
                </pic:pic>
              </a:graphicData>
            </a:graphic>
          </wp:anchor>
        </w:drawing>
      </w:r>
    </w:p>
    <w:p>
      <w:pPr>
        <w:spacing w:after="0" w:line="11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secured Credit Builder Credit Card is issued by our bank partners and</w:t>
      </w:r>
    </w:p>
    <w:p>
      <w:pPr>
        <w:spacing w:after="0" w:line="2" w:lineRule="exact"/>
        <w:rPr>
          <w:sz w:val="20"/>
          <w:szCs w:val="20"/>
          <w:color w:val="auto"/>
        </w:rPr>
      </w:pPr>
    </w:p>
    <w:p>
      <w:pPr>
        <w:ind w:left="20" w:right="5360"/>
        <w:spacing w:after="0" w:line="208" w:lineRule="auto"/>
        <w:rPr>
          <w:sz w:val="20"/>
          <w:szCs w:val="20"/>
          <w:color w:val="auto"/>
        </w:rPr>
      </w:pPr>
      <w:r>
        <w:rPr>
          <w:rFonts w:ascii="Times New Roman" w:cs="Times New Roman" w:eastAsia="Times New Roman" w:hAnsi="Times New Roman"/>
          <w:sz w:val="18"/>
          <w:szCs w:val="18"/>
          <w:color w:val="auto"/>
        </w:rPr>
        <w:t>helps our members build credit through their everyday spend without paying fees or interest. Unlike unsecured credit cards and many other secured credit cards, Credit Builder secured credit cards have no annual fees or late fees, no interest</w:t>
      </w:r>
    </w:p>
    <w:p>
      <w:pPr>
        <w:spacing w:after="0" w:line="2" w:lineRule="exact"/>
        <w:rPr>
          <w:sz w:val="20"/>
          <w:szCs w:val="20"/>
          <w:color w:val="auto"/>
        </w:rPr>
      </w:pPr>
    </w:p>
    <w:p>
      <w:pPr>
        <w:ind w:left="20" w:right="5420"/>
        <w:spacing w:after="0" w:line="208" w:lineRule="auto"/>
        <w:rPr>
          <w:sz w:val="20"/>
          <w:szCs w:val="20"/>
          <w:color w:val="auto"/>
        </w:rPr>
      </w:pPr>
      <w:r>
        <w:rPr>
          <w:rFonts w:ascii="Times New Roman" w:cs="Times New Roman" w:eastAsia="Times New Roman" w:hAnsi="Times New Roman"/>
          <w:sz w:val="18"/>
          <w:szCs w:val="18"/>
          <w:color w:val="auto"/>
        </w:rPr>
        <w:t>charges on missed payments, and no application fees. We believe when we launched Credit Builder in 2020, it was the first secured credit card of its kind in our industry without such fees, interest charges, or minimum security deposit</w:t>
      </w:r>
    </w:p>
    <w:p>
      <w:pPr>
        <w:spacing w:after="0" w:line="2" w:lineRule="exact"/>
        <w:rPr>
          <w:sz w:val="20"/>
          <w:szCs w:val="20"/>
          <w:color w:val="auto"/>
        </w:rPr>
      </w:pPr>
    </w:p>
    <w:p>
      <w:pPr>
        <w:ind w:left="20" w:right="5380"/>
        <w:spacing w:after="0" w:line="208" w:lineRule="auto"/>
        <w:rPr>
          <w:sz w:val="20"/>
          <w:szCs w:val="20"/>
          <w:color w:val="auto"/>
        </w:rPr>
      </w:pPr>
      <w:r>
        <w:rPr>
          <w:rFonts w:ascii="Times New Roman" w:cs="Times New Roman" w:eastAsia="Times New Roman" w:hAnsi="Times New Roman"/>
          <w:sz w:val="18"/>
          <w:szCs w:val="18"/>
          <w:color w:val="auto"/>
        </w:rPr>
        <w:t>requirements. Eligible members can move funds into a dedicated secured deposit account that secures a line of credit equal to that amount. This line of credit is accessed through the Credit Builder secured credit card wherever Visa is</w:t>
      </w:r>
    </w:p>
    <w:p>
      <w:pPr>
        <w:spacing w:after="0" w:line="2" w:lineRule="exact"/>
        <w:rPr>
          <w:sz w:val="20"/>
          <w:szCs w:val="20"/>
          <w:color w:val="auto"/>
        </w:rPr>
      </w:pPr>
    </w:p>
    <w:p>
      <w:pPr>
        <w:jc w:val="both"/>
        <w:ind w:left="20" w:right="5580"/>
        <w:spacing w:after="0" w:line="208" w:lineRule="auto"/>
        <w:rPr>
          <w:sz w:val="20"/>
          <w:szCs w:val="20"/>
          <w:color w:val="auto"/>
        </w:rPr>
      </w:pPr>
      <w:r>
        <w:rPr>
          <w:rFonts w:ascii="Times New Roman" w:cs="Times New Roman" w:eastAsia="Times New Roman" w:hAnsi="Times New Roman"/>
          <w:sz w:val="18"/>
          <w:szCs w:val="18"/>
          <w:color w:val="auto"/>
        </w:rPr>
        <w:t>accepted. Deposits, withdrawals, and purchase activity in a member’s secured deposit account will change such member’s credit limit and available to spend amount; if a member reduces their secured deposit account balance, such</w:t>
      </w:r>
    </w:p>
    <w:p>
      <w:pPr>
        <w:spacing w:after="0" w:line="2" w:lineRule="exact"/>
        <w:rPr>
          <w:sz w:val="20"/>
          <w:szCs w:val="20"/>
          <w:color w:val="auto"/>
        </w:rPr>
      </w:pPr>
    </w:p>
    <w:p>
      <w:pPr>
        <w:ind w:left="20" w:right="5300"/>
        <w:spacing w:after="0" w:line="208" w:lineRule="auto"/>
        <w:rPr>
          <w:sz w:val="20"/>
          <w:szCs w:val="20"/>
          <w:color w:val="auto"/>
        </w:rPr>
      </w:pPr>
      <w:r>
        <w:rPr>
          <w:rFonts w:ascii="Times New Roman" w:cs="Times New Roman" w:eastAsia="Times New Roman" w:hAnsi="Times New Roman"/>
          <w:sz w:val="18"/>
          <w:szCs w:val="18"/>
          <w:color w:val="auto"/>
        </w:rPr>
        <w:t>member’s credit line limit immediately reduces in that amount. Following repayment in full from the dedicated account, we report our members’ balances to major credit bureaus at the end of each statement cycle, helping our members</w:t>
      </w:r>
    </w:p>
    <w:p>
      <w:pPr>
        <w:spacing w:after="0" w:line="2" w:lineRule="exact"/>
        <w:rPr>
          <w:sz w:val="20"/>
          <w:szCs w:val="20"/>
          <w:color w:val="auto"/>
        </w:rPr>
      </w:pPr>
    </w:p>
    <w:p>
      <w:pPr>
        <w:jc w:val="both"/>
        <w:ind w:left="20" w:right="5380"/>
        <w:spacing w:after="0" w:line="229" w:lineRule="auto"/>
        <w:rPr>
          <w:sz w:val="20"/>
          <w:szCs w:val="20"/>
          <w:color w:val="auto"/>
        </w:rPr>
      </w:pPr>
      <w:r>
        <w:rPr>
          <w:rFonts w:ascii="Times New Roman" w:cs="Times New Roman" w:eastAsia="Times New Roman" w:hAnsi="Times New Roman"/>
          <w:sz w:val="18"/>
          <w:szCs w:val="18"/>
          <w:color w:val="auto"/>
        </w:rPr>
        <w:t>improve their credit scores without the risk of debt or missed payments. A third-party study found that members using Credit Builder saw an average FICO score increase of 30 points within the first six months of use.</w:t>
      </w:r>
      <w:r>
        <w:rPr>
          <w:rFonts w:ascii="Times New Roman" w:cs="Times New Roman" w:eastAsia="Times New Roman" w:hAnsi="Times New Roman"/>
          <w:sz w:val="23"/>
          <w:szCs w:val="23"/>
          <w:color w:val="auto"/>
          <w:vertAlign w:val="superscript"/>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-8890</wp:posOffset>
            </wp:positionV>
            <wp:extent cx="1234440" cy="25203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34440" cy="2520315"/>
                    </a:xfrm>
                    <a:prstGeom prst="rect">
                      <a:avLst/>
                    </a:prstGeom>
                    <a:noFill/>
                  </pic:spPr>
                </pic:pic>
              </a:graphicData>
            </a:graphic>
          </wp:anchor>
        </w:drawing>
      </w: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FICO Score Tracking</w:t>
      </w:r>
    </w:p>
    <w:p>
      <w:pPr>
        <w:spacing w:after="0" w:line="11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Powered by Experian, Chime enables members using Credit Builder to view</w:t>
      </w:r>
    </w:p>
    <w:p>
      <w:pPr>
        <w:spacing w:after="0" w:line="2" w:lineRule="exact"/>
        <w:rPr>
          <w:sz w:val="20"/>
          <w:szCs w:val="20"/>
          <w:color w:val="auto"/>
        </w:rPr>
      </w:pPr>
    </w:p>
    <w:p>
      <w:pPr>
        <w:ind w:left="20" w:right="5300"/>
        <w:spacing w:after="0" w:line="239" w:lineRule="auto"/>
        <w:rPr>
          <w:sz w:val="20"/>
          <w:szCs w:val="20"/>
          <w:color w:val="auto"/>
        </w:rPr>
      </w:pPr>
      <w:r>
        <w:rPr>
          <w:rFonts w:ascii="Times New Roman" w:cs="Times New Roman" w:eastAsia="Times New Roman" w:hAnsi="Times New Roman"/>
          <w:sz w:val="17"/>
          <w:szCs w:val="17"/>
          <w:color w:val="auto"/>
        </w:rPr>
        <w:t>their FICO Score, seamlessly track their credit progress, and receive automatic alerts on credit score fluctuations directly through their Chime mobile application.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2160905</wp:posOffset>
            </wp:positionV>
            <wp:extent cx="17145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40" w:hanging="332"/>
        <w:spacing w:after="0" w:line="230" w:lineRule="auto"/>
        <w:tabs>
          <w:tab w:leader="none" w:pos="336" w:val="left"/>
        </w:tabs>
        <w:numPr>
          <w:ilvl w:val="0"/>
          <w:numId w:val="10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Based on survey data published in November 2023. NerdWallet, Survey: 4 in 5 Americans Are Trying to Improve Their Credit, November 2023. See the section titled “Industry, Market, and Other Data.”</w:t>
      </w:r>
    </w:p>
    <w:p>
      <w:pPr>
        <w:ind w:left="320" w:hanging="312"/>
        <w:spacing w:after="0" w:line="192" w:lineRule="auto"/>
        <w:tabs>
          <w:tab w:leader="none" w:pos="320" w:val="left"/>
        </w:tabs>
        <w:numPr>
          <w:ilvl w:val="0"/>
          <w:numId w:val="10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Experian Study; see the section titled “Industry, Market, and Other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240"/>
          </w:cols>
          <w:pgMar w:left="320" w:top="124" w:right="339" w:bottom="1440" w:gutter="0" w:footer="0" w:header="0"/>
        </w:sectPr>
      </w:pPr>
    </w:p>
    <w:bookmarkStart w:id="165" w:name="page166"/>
    <w:bookmarkEnd w:id="165"/>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Savings and Perks</w:t>
      </w:r>
    </w:p>
    <w:p>
      <w:pPr>
        <w:spacing w:after="0" w:line="17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Chime offers access to FDIC-insured savings products that help members effortlessly grow their savings with automatic features and competitive rates, with no minimum balances, no monthly fees, and no maximums on earned interest. We also offer our members opportunities to save on their everyday expenses, as well as file their state and federal taxes for free.</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High Yield Savings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-116840</wp:posOffset>
            </wp:positionV>
            <wp:extent cx="1234440" cy="25203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34440" cy="2520315"/>
                    </a:xfrm>
                    <a:prstGeom prst="rect">
                      <a:avLst/>
                    </a:prstGeom>
                    <a:noFill/>
                  </pic:spPr>
                </pic:pic>
              </a:graphicData>
            </a:graphic>
          </wp:anchor>
        </w:drawing>
      </w:r>
    </w:p>
    <w:p>
      <w:pPr>
        <w:spacing w:after="0" w:line="155" w:lineRule="exact"/>
        <w:rPr>
          <w:sz w:val="20"/>
          <w:szCs w:val="20"/>
          <w:color w:val="auto"/>
        </w:rPr>
      </w:pPr>
    </w:p>
    <w:p>
      <w:pPr>
        <w:jc w:val="both"/>
        <w:ind w:right="6100" w:firstLine="324"/>
        <w:spacing w:after="0" w:line="253" w:lineRule="auto"/>
        <w:rPr>
          <w:sz w:val="20"/>
          <w:szCs w:val="20"/>
          <w:color w:val="auto"/>
        </w:rPr>
      </w:pPr>
      <w:r>
        <w:rPr>
          <w:rFonts w:ascii="Times New Roman" w:cs="Times New Roman" w:eastAsia="Times New Roman" w:hAnsi="Times New Roman"/>
          <w:sz w:val="18"/>
          <w:szCs w:val="18"/>
          <w:color w:val="auto"/>
        </w:rPr>
        <w:t>Chime offers all members access to a high yield savings account through our bank partners with an attractive interest rate on members’ savings balances and no monthly fees. Members can also easily move money between their checking and high yield savings accounts within their Chime mobile application for free and at any time. From 2022 to 2024, interest rates offered on high yield savings accounts ranged from</w:t>
      </w:r>
    </w:p>
    <w:p>
      <w:pPr>
        <w:spacing w:after="0" w:line="5" w:lineRule="exact"/>
        <w:rPr>
          <w:sz w:val="20"/>
          <w:szCs w:val="20"/>
          <w:color w:val="auto"/>
        </w:rPr>
      </w:pPr>
    </w:p>
    <w:p>
      <w:pPr>
        <w:ind w:right="5940"/>
        <w:spacing w:after="0" w:line="256" w:lineRule="auto"/>
        <w:rPr>
          <w:sz w:val="20"/>
          <w:szCs w:val="20"/>
          <w:color w:val="auto"/>
        </w:rPr>
      </w:pPr>
      <w:r>
        <w:rPr>
          <w:rFonts w:ascii="Times New Roman" w:cs="Times New Roman" w:eastAsia="Times New Roman" w:hAnsi="Times New Roman"/>
          <w:sz w:val="18"/>
          <w:szCs w:val="18"/>
          <w:color w:val="auto"/>
        </w:rPr>
        <w:t>0.5% to 2% APY. The 2.0% APY interest rate offered on these high yield savings accounts in December 2024 was 200 times the 0.01% average APY of the three largest banks and almost five times the 0.42% APY national average in December 2024.</w:t>
      </w:r>
      <w:r>
        <w:rPr>
          <w:rFonts w:ascii="Times New Roman" w:cs="Times New Roman" w:eastAsia="Times New Roman" w:hAnsi="Times New Roman"/>
          <w:sz w:val="23"/>
          <w:szCs w:val="23"/>
          <w:color w:val="auto"/>
          <w:vertAlign w:val="superscript"/>
        </w:rPr>
        <w:t>125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Automatic Savings Features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-116840</wp:posOffset>
            </wp:positionV>
            <wp:extent cx="1234440" cy="25203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34440" cy="2520315"/>
                    </a:xfrm>
                    <a:prstGeom prst="rect">
                      <a:avLst/>
                    </a:prstGeom>
                    <a:noFill/>
                  </pic:spPr>
                </pic:pic>
              </a:graphicData>
            </a:graphic>
          </wp:anchor>
        </w:drawing>
      </w:r>
    </w:p>
    <w:p>
      <w:pPr>
        <w:spacing w:after="0" w:line="155" w:lineRule="exact"/>
        <w:rPr>
          <w:sz w:val="20"/>
          <w:szCs w:val="20"/>
          <w:color w:val="auto"/>
        </w:rPr>
      </w:pPr>
    </w:p>
    <w:p>
      <w:pPr>
        <w:ind w:right="5880" w:firstLine="324"/>
        <w:spacing w:after="0" w:line="271" w:lineRule="auto"/>
        <w:rPr>
          <w:sz w:val="20"/>
          <w:szCs w:val="20"/>
          <w:color w:val="auto"/>
        </w:rPr>
      </w:pPr>
      <w:r>
        <w:rPr>
          <w:rFonts w:ascii="Times New Roman" w:cs="Times New Roman" w:eastAsia="Times New Roman" w:hAnsi="Times New Roman"/>
          <w:sz w:val="17"/>
          <w:szCs w:val="17"/>
          <w:color w:val="auto"/>
        </w:rPr>
        <w:t>We provide our members multiple ways to grow their savings automatically through Chime to help them achieve their goals faster, including Round Ups and Save When I Get Paid. With Round Ups, transactions are automatically rounded up and the difference is transferred to our members’ high yield savings accounts, helping them save spare change with each purchase. Save When I Get Paid allows members to automatically deposit a desired portion of their paycheck into their Chime high yield savings account. Both Round Ups and Save When I Get Paid are voluntary features for which a member may choose to opt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1313180</wp:posOffset>
            </wp:positionV>
            <wp:extent cx="17145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40" w:right="160" w:hanging="332"/>
        <w:spacing w:after="0" w:line="302" w:lineRule="auto"/>
        <w:tabs>
          <w:tab w:leader="none" w:pos="336" w:val="left"/>
        </w:tabs>
        <w:numPr>
          <w:ilvl w:val="0"/>
          <w:numId w:val="10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Based on comparisons to the three largest banks by U.S. deposit volume (Bank of America, J.P. Morgan Chase, and Wells Fargo) and average of rates paid by all FDIC-insured depository institutions and credit unions for which data is available, as analyzed by FS Vector Report; see the section titled “Industry, Market, and Other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220"/>
          </w:cols>
          <w:pgMar w:left="320" w:top="124" w:right="359" w:bottom="1440" w:gutter="0" w:footer="0" w:header="0"/>
        </w:sectPr>
      </w:pPr>
    </w:p>
    <w:bookmarkStart w:id="166" w:name="page167"/>
    <w:bookmarkEnd w:id="166"/>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Chime Deals &amp; Offers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-116840</wp:posOffset>
            </wp:positionV>
            <wp:extent cx="1234440" cy="25203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34440" cy="2520315"/>
                    </a:xfrm>
                    <a:prstGeom prst="rect">
                      <a:avLst/>
                    </a:prstGeom>
                    <a:noFill/>
                  </pic:spPr>
                </pic:pic>
              </a:graphicData>
            </a:graphic>
          </wp:anchor>
        </w:drawing>
      </w:r>
    </w:p>
    <w:p>
      <w:pPr>
        <w:spacing w:after="0" w:line="155" w:lineRule="exact"/>
        <w:rPr>
          <w:sz w:val="20"/>
          <w:szCs w:val="20"/>
          <w:color w:val="auto"/>
        </w:rPr>
      </w:pPr>
    </w:p>
    <w:p>
      <w:pPr>
        <w:ind w:right="4759" w:firstLine="324"/>
        <w:spacing w:after="0" w:line="253" w:lineRule="auto"/>
        <w:rPr>
          <w:sz w:val="20"/>
          <w:szCs w:val="20"/>
          <w:color w:val="auto"/>
        </w:rPr>
      </w:pPr>
      <w:r>
        <w:rPr>
          <w:rFonts w:ascii="Times New Roman" w:cs="Times New Roman" w:eastAsia="Times New Roman" w:hAnsi="Times New Roman"/>
          <w:sz w:val="18"/>
          <w:szCs w:val="18"/>
          <w:color w:val="auto"/>
        </w:rPr>
        <w:t>Through Chime Deals, our members have access to cash back deals at thousands of locations across the United States, with a focus on retailers in key spending categories including gas stations, grocery stores, and restaurants. Deals are made available within our mobile application and redeemed using Chime-branded debit or credit cards. Through our Chime Offers Marketplace, members can receive discounts on life, renters, pet, and car insurance, utilities, wireless plans, and other third-party products. Through our partnership with Experian, we also offer our members access to Experian Boost, another way to raise their FICO scores, by paying eligible bills through Chime.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Free Tax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-116840</wp:posOffset>
            </wp:positionV>
            <wp:extent cx="1234440" cy="25203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34440" cy="2520315"/>
                    </a:xfrm>
                    <a:prstGeom prst="rect">
                      <a:avLst/>
                    </a:prstGeom>
                    <a:noFill/>
                  </pic:spPr>
                </pic:pic>
              </a:graphicData>
            </a:graphic>
          </wp:anchor>
        </w:drawing>
      </w:r>
    </w:p>
    <w:p>
      <w:pPr>
        <w:spacing w:after="0" w:line="155" w:lineRule="exact"/>
        <w:rPr>
          <w:sz w:val="20"/>
          <w:szCs w:val="20"/>
          <w:color w:val="auto"/>
        </w:rPr>
      </w:pPr>
    </w:p>
    <w:p>
      <w:pPr>
        <w:ind w:right="4739" w:firstLine="324"/>
        <w:spacing w:after="0" w:line="258" w:lineRule="auto"/>
        <w:rPr>
          <w:sz w:val="20"/>
          <w:szCs w:val="20"/>
          <w:color w:val="auto"/>
        </w:rPr>
      </w:pPr>
      <w:r>
        <w:rPr>
          <w:rFonts w:ascii="Times New Roman" w:cs="Times New Roman" w:eastAsia="Times New Roman" w:hAnsi="Times New Roman"/>
          <w:sz w:val="18"/>
          <w:szCs w:val="18"/>
          <w:color w:val="auto"/>
        </w:rPr>
        <w:t>With Chime Tax Filing, members can conveniently file state and federal taxes for free and receive their federal refund up to six days early via direct deposit. We have partnered with registered tax e-file providers to offer members the opportunity to file their personal state and federal tax returns directly through our mobile application.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0139"/>
          </w:cols>
          <w:pgMar w:left="320" w:top="124" w:right="1440" w:bottom="1440" w:gutter="0" w:footer="0" w:header="0"/>
        </w:sectPr>
      </w:pPr>
    </w:p>
    <w:bookmarkStart w:id="167" w:name="page168"/>
    <w:bookmarkEnd w:id="167"/>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Community</w:t>
      </w:r>
    </w:p>
    <w:p>
      <w:pPr>
        <w:spacing w:after="0" w:line="1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know that financial progress is often not achieved solely in isolation, but also with the support of others. Community-focused products, including Pay Anyone and SpotMe Boosts, create opportunities for collaboration and support while strengthening connections among our members. As of December 31, 2024, more than 80% of Active Members had a community connection on Chime, with newer cohorts growing their community connections faster than older cohorts. We define a community connection with regard to each member as another member to whom such member has sent a referral, SpotMe Boost, or Pay Anyone payment.</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Pay Anyone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-116840</wp:posOffset>
            </wp:positionV>
            <wp:extent cx="1294130" cy="26574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94130" cy="2657475"/>
                    </a:xfrm>
                    <a:prstGeom prst="rect">
                      <a:avLst/>
                    </a:prstGeom>
                    <a:noFill/>
                  </pic:spPr>
                </pic:pic>
              </a:graphicData>
            </a:graphic>
          </wp:anchor>
        </w:drawing>
      </w:r>
    </w:p>
    <w:p>
      <w:pPr>
        <w:spacing w:after="0" w:line="155" w:lineRule="exact"/>
        <w:rPr>
          <w:sz w:val="20"/>
          <w:szCs w:val="20"/>
          <w:color w:val="auto"/>
        </w:rPr>
      </w:pPr>
    </w:p>
    <w:p>
      <w:pPr>
        <w:ind w:right="5840" w:firstLine="324"/>
        <w:spacing w:after="0" w:line="253" w:lineRule="auto"/>
        <w:rPr>
          <w:sz w:val="20"/>
          <w:szCs w:val="20"/>
          <w:color w:val="auto"/>
        </w:rPr>
      </w:pPr>
      <w:r>
        <w:rPr>
          <w:rFonts w:ascii="Times New Roman" w:cs="Times New Roman" w:eastAsia="Times New Roman" w:hAnsi="Times New Roman"/>
          <w:sz w:val="18"/>
          <w:szCs w:val="18"/>
          <w:color w:val="auto"/>
        </w:rPr>
        <w:t>Pay Anyone is a peer-to-peer payments product that enables our members to make instant, secure payments directly from the Chime mobile application. Our members can send money from their checking accounts at one of our bank partners to anyone, including friends, family, and co-workers, regardless of whether the recipient uses Chime. Non-members who receive Pay Anyone payments may elect to become Chime members, driving member acquisition. Recipients can otherwise receive the funds directly into the checking account of their choosing for free. Pay Anyone is integrated with other intuitive in-app features, including the option to split rent, dinner, and bills across connections both inside and outside of the Chime mobile application.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SpotMe Boosts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-116840</wp:posOffset>
            </wp:positionV>
            <wp:extent cx="1294130" cy="26574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94130" cy="2657475"/>
                    </a:xfrm>
                    <a:prstGeom prst="rect">
                      <a:avLst/>
                    </a:prstGeom>
                    <a:noFill/>
                  </pic:spPr>
                </pic:pic>
              </a:graphicData>
            </a:graphic>
          </wp:anchor>
        </w:drawing>
      </w:r>
    </w:p>
    <w:p>
      <w:pPr>
        <w:spacing w:after="0" w:line="155" w:lineRule="exact"/>
        <w:rPr>
          <w:sz w:val="20"/>
          <w:szCs w:val="20"/>
          <w:color w:val="auto"/>
        </w:rPr>
      </w:pPr>
    </w:p>
    <w:p>
      <w:pPr>
        <w:ind w:right="5860" w:firstLine="324"/>
        <w:spacing w:after="0" w:line="256" w:lineRule="auto"/>
        <w:rPr>
          <w:sz w:val="20"/>
          <w:szCs w:val="20"/>
          <w:color w:val="auto"/>
        </w:rPr>
      </w:pPr>
      <w:r>
        <w:rPr>
          <w:rFonts w:ascii="Times New Roman" w:cs="Times New Roman" w:eastAsia="Times New Roman" w:hAnsi="Times New Roman"/>
          <w:sz w:val="18"/>
          <w:szCs w:val="18"/>
          <w:color w:val="auto"/>
        </w:rPr>
        <w:t>SpotMe Boosts enable eligible Chime members to temporarily increase the overdraft limits of other members by up to $20 per month for free. This helps nurture a collaborative Chime member community and fosters new connections. It also is a way for members to invite coworkers, friends, and family to join the community and experience one of the benefits of Chime.</w:t>
      </w:r>
    </w:p>
    <w:p>
      <w:pPr>
        <w:sectPr>
          <w:pgSz w:w="11900" w:h="16838" w:orient="portrait"/>
          <w:cols w:equalWidth="0" w:num="1">
            <w:col w:w="11200"/>
          </w:cols>
          <w:pgMar w:left="320" w:top="124"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200"/>
          </w:cols>
          <w:pgMar w:left="320" w:top="124" w:right="379" w:bottom="1440" w:gutter="0" w:footer="0" w:header="0"/>
          <w:type w:val="continuous"/>
        </w:sectPr>
      </w:pPr>
    </w:p>
    <w:bookmarkStart w:id="168" w:name="page169"/>
    <w:bookmarkEnd w:id="168"/>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Chime Enterprise: A New Approach to Employee Financial Wellness</w:t>
      </w:r>
    </w:p>
    <w:p>
      <w:pPr>
        <w:spacing w:after="0" w:line="17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2024, we established Chime Enterprise in order to offer a suite of innovative products, including MyPay, through employers via an employee financial wellness solution. Our integrated platform helps employers drive employee satisfaction and retention while enabling employees to make progress along their individual financial journeys. We established Chime Enterprise following our acquisition of Salt Labs, a leading employee rewards company, in June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Support and Security</w:t>
      </w:r>
    </w:p>
    <w:p>
      <w:pPr>
        <w:spacing w:after="0" w:line="175"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With 24/7 live agent support via phone and our in-app AI assistant, Chime Bot, that helps automatically resolve issues, our members have access to assistance whenever they need it. In 2024, 68% of our member support interactions were completed without the need for human intervention. We notify members if we detect fraudulent transactions, giving them greater peace of mind that their funds are secure. In addition, we provide robust tools to secure our members’ accounts with our in-app Security Center and self-service tools, which help members dispute charges and resolve other account transaction issues. We are focused on ensuring that our members have the confidence to trust us with their financial journeys.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180"/>
          </w:cols>
          <w:pgMar w:left="320" w:top="124" w:right="399" w:bottom="1440" w:gutter="0" w:footer="0" w:header="0"/>
        </w:sectPr>
      </w:pPr>
    </w:p>
    <w:bookmarkStart w:id="169" w:name="page170"/>
    <w:bookmarkEnd w:id="169"/>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VERTICALLY-INTEGRATED TECHNOLOGY PLATFORM</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built our proprietary, cloud-native technology platform in-house to drive product innovation and scale. Our technology platform is vertically-integrated, connecting payment networks and our bank partners all the way to the end products loved by our members via a single unified system. Our platform enables control, rapid innovation, reliability, cost efficiency, scalability, and security across our product offerings and member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1479550</wp:posOffset>
            </wp:positionH>
            <wp:positionV relativeFrom="paragraph">
              <wp:posOffset>88900</wp:posOffset>
            </wp:positionV>
            <wp:extent cx="4191635" cy="55892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191635" cy="558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foundational pillars of our technology platform are:</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Flexible, Multi-Sourced Partnerships</w:t>
      </w:r>
    </w:p>
    <w:p>
      <w:pPr>
        <w:spacing w:after="0" w:line="175"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Our technology platform leverages flexible, multi-sourced partnerships with card networks, bank partners, and ATM and cash deposit networks. Through our partnership strategy, we have avoided significant expenses associated</w:t>
      </w:r>
    </w:p>
    <w:p>
      <w:pPr>
        <w:sectPr>
          <w:pgSz w:w="11900" w:h="16838" w:orient="portrait"/>
          <w:cols w:equalWidth="0" w:num="1">
            <w:col w:w="10840"/>
          </w:cols>
          <w:pgMar w:left="320" w:top="124"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0840"/>
          </w:cols>
          <w:pgMar w:left="320" w:top="124" w:right="739" w:bottom="1440" w:gutter="0" w:footer="0" w:header="0"/>
          <w:type w:val="continuous"/>
        </w:sectPr>
      </w:pPr>
    </w:p>
    <w:bookmarkStart w:id="170" w:name="page171"/>
    <w:bookmarkEnd w:id="170"/>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bank branches and ATMs while providing access to financial products nationwide through our single mobile application.</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Cloud-Native Infrastructure</w:t>
      </w:r>
    </w:p>
    <w:p>
      <w:pPr>
        <w:spacing w:after="0" w:line="175"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We built and designed our technology platform to take advantage of the reliability, scalability, and flexibility benefits of cloud-native infrastructure. As an example, we can scale cloud capacity on demand, which has allowed us to avoid upfront investments on excess capacity. By building cloud-native infrastructure, we take advantage of these benefits in ways we could not have if we simply moved pre-existing infrastructure to the cloud.</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ChimeCore – Our Proprietary Payment Processor and Ledger</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After investing substantially over several years, in 2024 we launched ChimeCore, our proprietary payment processor and ledger. ChimeCore processes a portion of the payments, transfers, deposits, withdrawals, and other financial transactions that are conducted through our platform. ChimeCore also serves as the system of record for a portion of member accounts, keeping track of transaction, balance, and other data. We have begun the migration of accounts and existing products to ChimeCore. As of the end of 2024, we had transitioned all credit card transactions to being processed by ChimeCore, while all debit card transactions were still processed by Galileo. We expect ChimeCore to significantly lower certain processing costs and reduce our reliance on third parties.</w:t>
      </w:r>
    </w:p>
    <w:p>
      <w:pPr>
        <w:spacing w:after="0" w:line="13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ChimeCore gives us greater control in the way we design new financial products and powers our product development velocity. With ChimeCore, we have the flexibility to build products directly on our platform, which enables us to avoid development cycles integrating with third party vendors, which often have preconfigured product templates. Through ChimeCore, we believe we are setting the stage for future periods of significant innovation, where we can evolve products and features rapidly, further enhancing our member experience. Until the full migration to ChimeCore is complete, a portion of member transactions will still be processed by a third-party processor.</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Data &amp; AI Platforms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Real-time Data Streaming Platform</w:t>
      </w:r>
    </w:p>
    <w:p>
      <w:pPr>
        <w:spacing w:after="0" w:line="170" w:lineRule="exact"/>
        <w:rPr>
          <w:sz w:val="20"/>
          <w:szCs w:val="20"/>
          <w:color w:val="auto"/>
        </w:rPr>
      </w:pPr>
    </w:p>
    <w:p>
      <w:pPr>
        <w:ind w:right="240" w:firstLine="324"/>
        <w:spacing w:after="0" w:line="246" w:lineRule="auto"/>
        <w:rPr>
          <w:sz w:val="20"/>
          <w:szCs w:val="20"/>
          <w:color w:val="auto"/>
        </w:rPr>
      </w:pPr>
      <w:r>
        <w:rPr>
          <w:rFonts w:ascii="Times New Roman" w:cs="Times New Roman" w:eastAsia="Times New Roman" w:hAnsi="Times New Roman"/>
          <w:sz w:val="17"/>
          <w:szCs w:val="17"/>
          <w:color w:val="auto"/>
        </w:rPr>
        <w:t>Our data streaming platform captures and processes real-time data with sub-second latency, handling approximately 50 billion events per month.</w:t>
      </w:r>
      <w:r>
        <w:rPr>
          <w:rFonts w:ascii="Times New Roman" w:cs="Times New Roman" w:eastAsia="Times New Roman" w:hAnsi="Times New Roman"/>
          <w:sz w:val="22"/>
          <w:szCs w:val="22"/>
          <w:color w:val="auto"/>
          <w:vertAlign w:val="superscript"/>
        </w:rPr>
        <w:t>126</w:t>
      </w:r>
      <w:r>
        <w:rPr>
          <w:rFonts w:ascii="Times New Roman" w:cs="Times New Roman" w:eastAsia="Times New Roman" w:hAnsi="Times New Roman"/>
          <w:sz w:val="17"/>
          <w:szCs w:val="17"/>
          <w:color w:val="auto"/>
        </w:rPr>
        <w:t xml:space="preserve"> Our real-time data feeds into our proprietary ML-powered risk decisioning and experimentation platforms, unlocking personalized member experiences.</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Machine Learning Platform</w:t>
      </w:r>
    </w:p>
    <w:p>
      <w:pPr>
        <w:spacing w:after="0" w:line="173"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We have built our own machine learning platform to create models that inform fraud, risk, and underwriting decisions, drive product experimentation, and automate member support responses. Owning our ML platform facilitates the rapid development and deployment cycles of our ML models. These models are auto-retrained and backtested to regularly provide more accurate predictions, with retraining timelines as short as three weeks. Our real-time data streaming capabilities allow our ML models to generate sub-second latency predictions, which enable faster decision-making that is critical to identifying and preventing fraud.</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Risk Decisioning Platform</w:t>
      </w:r>
    </w:p>
    <w:p>
      <w:pPr>
        <w:spacing w:after="0" w:line="173" w:lineRule="exact"/>
        <w:rPr>
          <w:sz w:val="20"/>
          <w:szCs w:val="20"/>
          <w:color w:val="auto"/>
        </w:rPr>
      </w:pPr>
    </w:p>
    <w:p>
      <w:pPr>
        <w:ind w:right="40" w:firstLine="324"/>
        <w:spacing w:after="0" w:line="274" w:lineRule="auto"/>
        <w:rPr>
          <w:sz w:val="20"/>
          <w:szCs w:val="20"/>
          <w:color w:val="auto"/>
        </w:rPr>
      </w:pPr>
      <w:r>
        <w:rPr>
          <w:rFonts w:ascii="Times New Roman" w:cs="Times New Roman" w:eastAsia="Times New Roman" w:hAnsi="Times New Roman"/>
          <w:sz w:val="17"/>
          <w:szCs w:val="17"/>
          <w:color w:val="auto"/>
        </w:rPr>
        <w:t>Our risk decisioning platform leverages rich, first-party data, including member income, spending, transaction, social graph, and other engagement data, to help reduce costs associated with transaction-related disputes and chargebacks. Our platform also powers our underwriting capabilities that support Chime-branded liquidity products. Through this platform, we develop risk and underwriting standards for review and adoption by our bank partners. Pursuant to our agreements with our bank partners, we apply and execute these underwriting standards in evaluating member eligibility for Chime-branded liquidity products and facilitating the offering of such liquidity products to members that we deem satisfy the applicable standards. The risk models used for the liquidity products offered through our platform leverage AI and ML models along with comprehensive member data, including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17145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16" w:lineRule="exact"/>
        <w:rPr>
          <w:sz w:val="20"/>
          <w:szCs w:val="20"/>
          <w:color w:val="auto"/>
        </w:rPr>
      </w:pPr>
    </w:p>
    <w:p>
      <w:pPr>
        <w:ind w:left="380" w:hanging="372"/>
        <w:spacing w:after="0"/>
        <w:tabs>
          <w:tab w:leader="none" w:pos="380" w:val="left"/>
        </w:tabs>
        <w:numPr>
          <w:ilvl w:val="0"/>
          <w:numId w:val="10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Based on the average of the three months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220"/>
          </w:cols>
          <w:pgMar w:left="320" w:top="124" w:right="359" w:bottom="1440" w:gutter="0" w:footer="0" w:header="0"/>
        </w:sectPr>
      </w:pPr>
    </w:p>
    <w:bookmarkStart w:id="171" w:name="page172"/>
    <w:bookmarkEnd w:id="171"/>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regarding a member’s historical transaction and engagement activity through Chime, as well as traditional and alternative credit bureau data (but not credit score data) and other external data sources. Our models use this data in an effort to optimize member experiences and approve members for appropriate liquidity products, while managing fraud risk, credit risk, and financial crimes risk. By developing our risk decisioning platform in-house, we have tightly integrated it with the rest of our technology platform, enabling us to leverage our ML platform and nimbly adjust our models and processes to adapt to ever-evolving risk patterns.</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Experimentation Platform</w:t>
      </w:r>
    </w:p>
    <w:p>
      <w:pPr>
        <w:spacing w:after="0" w:line="173"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Our experimentation platform allows us to regularly iterate on and improve our products based on member insights informed by ML models using real-time data. Our platform was designed internally and is integrated with our other platforms, which allows us to jointly evaluate multiple experiments, such as changes to risk decisioning and member experience. These experiments have helped drive improvements in member experience and member satisfaction.</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Member Support Platform</w:t>
      </w:r>
    </w:p>
    <w:p>
      <w:pPr>
        <w:spacing w:after="0" w:line="173"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Our member support platform, including our agent interface and case management system, enables us to efficiently manage support interactions at scale. In 2024, we handled over 50 million member support interactions, 68% of which did not require human intervention. Our custom-built agent interface streamlines how support agents access member information and take action on accounts. Our integrated case management system drives efficiencies by assigning agents to cases in which they specialize and guiding agent workflows. These technology innovations have played a critical role in our success in reducing support costs per Active Member by 64% from 2022 to 2024, while simultaneously increasing our member support satisfaction scores by 93%.</w:t>
      </w:r>
      <w:r>
        <w:rPr>
          <w:rFonts w:ascii="Times New Roman" w:cs="Times New Roman" w:eastAsia="Times New Roman" w:hAnsi="Times New Roman"/>
          <w:sz w:val="23"/>
          <w:szCs w:val="23"/>
          <w:color w:val="auto"/>
          <w:vertAlign w:val="superscript"/>
        </w:rPr>
        <w:t>127</w:t>
      </w:r>
    </w:p>
    <w:p>
      <w:pPr>
        <w:spacing w:after="0" w:line="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technology platform provides several strategic advantages including:</w:t>
      </w:r>
    </w:p>
    <w:p>
      <w:pPr>
        <w:spacing w:after="0" w:line="167" w:lineRule="exact"/>
        <w:rPr>
          <w:sz w:val="20"/>
          <w:szCs w:val="20"/>
          <w:color w:val="auto"/>
        </w:rPr>
      </w:pPr>
    </w:p>
    <w:p>
      <w:pPr>
        <w:ind w:left="660" w:right="120" w:hanging="328"/>
        <w:spacing w:after="0" w:line="286" w:lineRule="auto"/>
        <w:tabs>
          <w:tab w:leader="none" w:pos="65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Control of our operational and product roadmap. </w:t>
      </w:r>
      <w:r>
        <w:rPr>
          <w:rFonts w:ascii="Times New Roman" w:cs="Times New Roman" w:eastAsia="Times New Roman" w:hAnsi="Times New Roman"/>
          <w:sz w:val="18"/>
          <w:szCs w:val="18"/>
          <w:color w:val="auto"/>
        </w:rPr>
        <w:t>By building our technology platform in-house, we enable our software developers to design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proprietary products directly on our technology platform, rather than building on top of legacy, third-party technology providers.</w:t>
      </w:r>
    </w:p>
    <w:p>
      <w:pPr>
        <w:spacing w:after="0" w:line="100" w:lineRule="exact"/>
        <w:rPr>
          <w:rFonts w:ascii="Times New Roman" w:cs="Times New Roman" w:eastAsia="Times New Roman" w:hAnsi="Times New Roman"/>
          <w:sz w:val="18"/>
          <w:szCs w:val="18"/>
          <w:color w:val="auto"/>
        </w:rPr>
      </w:pPr>
    </w:p>
    <w:p>
      <w:pPr>
        <w:ind w:left="660" w:right="40" w:hanging="328"/>
        <w:spacing w:after="0" w:line="262" w:lineRule="auto"/>
        <w:tabs>
          <w:tab w:leader="none" w:pos="65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Rapid innovation. </w:t>
      </w:r>
      <w:r>
        <w:rPr>
          <w:rFonts w:ascii="Times New Roman" w:cs="Times New Roman" w:eastAsia="Times New Roman" w:hAnsi="Times New Roman"/>
          <w:sz w:val="18"/>
          <w:szCs w:val="18"/>
          <w:color w:val="auto"/>
        </w:rPr>
        <w:t>Our technology platform enables rapid innovation of new products in-house, as opposed to maintaining and integrating third-party banking core systems, which each have their own specifications and limitations. For example, since the introduction of ChimeCore, we have reduced the time required to change certain complex product configurations that may have previously taken 12 weeks to as little as three days or less.</w:t>
      </w:r>
    </w:p>
    <w:p>
      <w:pPr>
        <w:spacing w:after="0" w:line="122" w:lineRule="exact"/>
        <w:rPr>
          <w:rFonts w:ascii="Times New Roman" w:cs="Times New Roman" w:eastAsia="Times New Roman" w:hAnsi="Times New Roman"/>
          <w:sz w:val="18"/>
          <w:szCs w:val="18"/>
          <w:color w:val="auto"/>
        </w:rPr>
      </w:pPr>
    </w:p>
    <w:p>
      <w:pPr>
        <w:jc w:val="both"/>
        <w:ind w:left="660" w:right="120" w:hanging="328"/>
        <w:spacing w:after="0" w:line="237" w:lineRule="auto"/>
        <w:tabs>
          <w:tab w:leader="none" w:pos="65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System reliability. </w:t>
      </w:r>
      <w:r>
        <w:rPr>
          <w:rFonts w:ascii="Times New Roman" w:cs="Times New Roman" w:eastAsia="Times New Roman" w:hAnsi="Times New Roman"/>
          <w:sz w:val="18"/>
          <w:szCs w:val="18"/>
          <w:color w:val="auto"/>
        </w:rPr>
        <w:t>Rather than needing to take systems and services offline for hours at a time, we are able to deliver 99.95% average uptime</w:t>
      </w:r>
      <w:r>
        <w:rPr>
          <w:rFonts w:ascii="Times New Roman" w:cs="Times New Roman" w:eastAsia="Times New Roman" w:hAnsi="Times New Roman"/>
          <w:sz w:val="23"/>
          <w:szCs w:val="23"/>
          <w:color w:val="auto"/>
          <w:vertAlign w:val="superscript"/>
        </w:rPr>
        <w:t>128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any downtime primarily focused on deploying key upgrades. We are also able to more easily integrate with multiple third-party platforms to promote redundancy and resiliency because we maintain control over our technology platform.</w:t>
      </w:r>
    </w:p>
    <w:p>
      <w:pPr>
        <w:spacing w:after="0" w:line="140" w:lineRule="exact"/>
        <w:rPr>
          <w:rFonts w:ascii="Times New Roman" w:cs="Times New Roman" w:eastAsia="Times New Roman" w:hAnsi="Times New Roman"/>
          <w:sz w:val="18"/>
          <w:szCs w:val="18"/>
          <w:color w:val="auto"/>
        </w:rPr>
      </w:pPr>
    </w:p>
    <w:p>
      <w:pPr>
        <w:jc w:val="both"/>
        <w:ind w:left="660" w:right="20" w:hanging="328"/>
        <w:spacing w:after="0" w:line="262" w:lineRule="auto"/>
        <w:tabs>
          <w:tab w:leader="none" w:pos="65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Cost efficiency. </w:t>
      </w:r>
      <w:r>
        <w:rPr>
          <w:rFonts w:ascii="Times New Roman" w:cs="Times New Roman" w:eastAsia="Times New Roman" w:hAnsi="Times New Roman"/>
          <w:sz w:val="18"/>
          <w:szCs w:val="18"/>
          <w:color w:val="auto"/>
        </w:rPr>
        <w:t>Our technology platform is a key component of our low-cost operating model. We have been able to reduce reliance on expensive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third-party software providers and avoid costly maintenance of legacy systems, allowing us to focus our technology spend on product innovation. Our platform also enables us to more effectively manage fraud and risk because we are able to design risk policies tailored to our specific product suite.</w:t>
      </w:r>
    </w:p>
    <w:p>
      <w:pPr>
        <w:spacing w:after="0" w:line="122" w:lineRule="exact"/>
        <w:rPr>
          <w:rFonts w:ascii="Times New Roman" w:cs="Times New Roman" w:eastAsia="Times New Roman" w:hAnsi="Times New Roman"/>
          <w:sz w:val="18"/>
          <w:szCs w:val="18"/>
          <w:color w:val="auto"/>
        </w:rPr>
      </w:pPr>
    </w:p>
    <w:p>
      <w:pPr>
        <w:ind w:left="660" w:right="720" w:hanging="328"/>
        <w:spacing w:after="0" w:line="286" w:lineRule="auto"/>
        <w:tabs>
          <w:tab w:leader="none" w:pos="65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Scalability. </w:t>
      </w:r>
      <w:r>
        <w:rPr>
          <w:rFonts w:ascii="Times New Roman" w:cs="Times New Roman" w:eastAsia="Times New Roman" w:hAnsi="Times New Roman"/>
          <w:sz w:val="18"/>
          <w:szCs w:val="18"/>
          <w:color w:val="auto"/>
        </w:rPr>
        <w:t>Our cloud-native infrastructure has allowed us to grow our capacity based on business needs. Our scalable and cost-efficient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infrastructure supported $115.2 billion in Purchase Volume and 74% gross profit margin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17145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2" w:lineRule="exact"/>
        <w:rPr>
          <w:sz w:val="20"/>
          <w:szCs w:val="20"/>
          <w:color w:val="auto"/>
        </w:rPr>
      </w:pPr>
    </w:p>
    <w:p>
      <w:pPr>
        <w:ind w:left="340" w:hanging="332"/>
        <w:spacing w:after="0" w:line="271" w:lineRule="auto"/>
        <w:tabs>
          <w:tab w:leader="none" w:pos="343" w:val="left"/>
        </w:tabs>
        <w:numPr>
          <w:ilvl w:val="0"/>
          <w:numId w:val="10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Based on Service Net Promoter Score (sNPS) scores collected from Chime commissioned third-party surveys conducted on a rolling basis to measure the member support satisfaction of our members. See the section titled “Industry, Market, and Other Data.”</w:t>
      </w:r>
    </w:p>
    <w:p>
      <w:pPr>
        <w:ind w:left="340" w:hanging="332"/>
        <w:spacing w:after="0" w:line="192" w:lineRule="auto"/>
        <w:tabs>
          <w:tab w:leader="none" w:pos="340" w:val="left"/>
        </w:tabs>
        <w:numPr>
          <w:ilvl w:val="0"/>
          <w:numId w:val="10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Based on average uptime from January through October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220"/>
          </w:cols>
          <w:pgMar w:left="320" w:top="124" w:right="359" w:bottom="1440" w:gutter="0" w:footer="0" w:header="0"/>
        </w:sectPr>
      </w:pPr>
    </w:p>
    <w:bookmarkStart w:id="172" w:name="page173"/>
    <w:bookmarkEnd w:id="172"/>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60" w:right="320" w:hanging="328"/>
        <w:spacing w:after="0" w:line="268" w:lineRule="auto"/>
        <w:tabs>
          <w:tab w:leader="none" w:pos="65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Security. </w:t>
      </w:r>
      <w:r>
        <w:rPr>
          <w:rFonts w:ascii="Times New Roman" w:cs="Times New Roman" w:eastAsia="Times New Roman" w:hAnsi="Times New Roman"/>
          <w:sz w:val="18"/>
          <w:szCs w:val="18"/>
          <w:color w:val="auto"/>
        </w:rPr>
        <w:t>Our vertical integration promotes a unified set of controls for secure technology development. By having less reliance on third-party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and fewer integrations with critical systems, we also reduce our vulnerability to data breaches, malware, or other security or hacking incidents on their systems.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Data, AI, and ML Advantage</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believe the best AI and ML requires the best data. Our data advantage is differentiated across five critically important dimensions: veracity, variety, volume, velocity, and value.</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Veracity. </w:t>
      </w:r>
      <w:r>
        <w:rPr>
          <w:rFonts w:ascii="Times New Roman" w:cs="Times New Roman" w:eastAsia="Times New Roman" w:hAnsi="Times New Roman"/>
          <w:sz w:val="18"/>
          <w:szCs w:val="18"/>
          <w:color w:val="auto"/>
        </w:rPr>
        <w:t>Because 67% of our Active Members have a primary account relationship with Chime, we have access to rich, first-party data.</w:t>
      </w:r>
    </w:p>
    <w:p>
      <w:pPr>
        <w:spacing w:after="0" w:line="171" w:lineRule="exact"/>
        <w:rPr>
          <w:sz w:val="20"/>
          <w:szCs w:val="20"/>
          <w:color w:val="auto"/>
        </w:rPr>
      </w:pPr>
    </w:p>
    <w:p>
      <w:pPr>
        <w:ind w:right="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Variety. </w:t>
      </w:r>
      <w:r>
        <w:rPr>
          <w:rFonts w:ascii="Times New Roman" w:cs="Times New Roman" w:eastAsia="Times New Roman" w:hAnsi="Times New Roman"/>
          <w:sz w:val="18"/>
          <w:szCs w:val="18"/>
          <w:color w:val="auto"/>
        </w:rPr>
        <w:t>Our extensive data includes marketing and acquisition, member demographic, social graph, app engagement, transaction, and member support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interaction data.</w:t>
      </w:r>
    </w:p>
    <w:p>
      <w:pPr>
        <w:spacing w:after="0" w:line="101" w:lineRule="exact"/>
        <w:rPr>
          <w:sz w:val="20"/>
          <w:szCs w:val="20"/>
          <w:color w:val="auto"/>
        </w:rPr>
      </w:pPr>
    </w:p>
    <w:p>
      <w:pPr>
        <w:ind w:firstLine="324"/>
        <w:spacing w:after="0" w:line="237"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Volume. </w:t>
      </w:r>
      <w:r>
        <w:rPr>
          <w:rFonts w:ascii="Times New Roman" w:cs="Times New Roman" w:eastAsia="Times New Roman" w:hAnsi="Times New Roman"/>
          <w:sz w:val="18"/>
          <w:szCs w:val="18"/>
          <w:color w:val="auto"/>
        </w:rPr>
        <w:t>Our members generate approximately 50 billion data events per month.</w:t>
      </w:r>
      <w:r>
        <w:rPr>
          <w:rFonts w:ascii="Times New Roman" w:cs="Times New Roman" w:eastAsia="Times New Roman" w:hAnsi="Times New Roman"/>
          <w:sz w:val="23"/>
          <w:szCs w:val="23"/>
          <w:color w:val="auto"/>
          <w:vertAlign w:val="superscript"/>
        </w:rPr>
        <w:t>129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Active Members, on average, had approximately 147 app visits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conducted 55 transactions per month in the fourth quarter of 2024. This level of engagement allows us to have high visibility into our members’ financial lives.</w:t>
      </w:r>
    </w:p>
    <w:p>
      <w:pPr>
        <w:spacing w:after="0" w:line="140" w:lineRule="exact"/>
        <w:rPr>
          <w:sz w:val="20"/>
          <w:szCs w:val="20"/>
          <w:color w:val="auto"/>
        </w:rPr>
      </w:pPr>
    </w:p>
    <w:p>
      <w:pPr>
        <w:ind w:right="5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Velocity. </w:t>
      </w:r>
      <w:r>
        <w:rPr>
          <w:rFonts w:ascii="Times New Roman" w:cs="Times New Roman" w:eastAsia="Times New Roman" w:hAnsi="Times New Roman"/>
          <w:sz w:val="18"/>
          <w:szCs w:val="18"/>
          <w:color w:val="auto"/>
        </w:rPr>
        <w:t>Our technology enables rapid transformation of the data we capture, including sub-second transformation of data to feed critical fraud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detection models that enable real-time predictions and risk decisioning.</w:t>
      </w:r>
    </w:p>
    <w:p>
      <w:pPr>
        <w:spacing w:after="0" w:line="101" w:lineRule="exact"/>
        <w:rPr>
          <w:sz w:val="20"/>
          <w:szCs w:val="20"/>
          <w:color w:val="auto"/>
        </w:rPr>
      </w:pPr>
    </w:p>
    <w:p>
      <w:pPr>
        <w:ind w:right="4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Value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comprehensiveness of our data allows us to make better, more informed decisions across high-value components of our business,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marketing investments, product development, risk management, and member support. For example, our visibility into both our members’ ability to pay from their direct deposit data, as well as their willingness to pay based on their spending patterns, enables us to manage our risk losses, including by improving our underwriting capabilities.</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our business grows, our data also grows, enabling us to continue to build on our data advantage.</w:t>
      </w:r>
    </w:p>
    <w:p>
      <w:pPr>
        <w:spacing w:after="0" w:line="171"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We deploy AI and ML models, as well as solutions using generative AI deep-learning models which generate content based on their training data (“GenAI”), that leverage our rich and differentiated data to drive better, more informed decisions across the member lifecycle.</w:t>
      </w:r>
    </w:p>
    <w:p>
      <w:pPr>
        <w:spacing w:after="0" w:line="104" w:lineRule="exact"/>
        <w:rPr>
          <w:sz w:val="20"/>
          <w:szCs w:val="20"/>
          <w:color w:val="auto"/>
        </w:rPr>
      </w:pPr>
    </w:p>
    <w:p>
      <w:pPr>
        <w:ind w:right="10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Growth and Marketing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lifetime value ML models optimize our paid media and marketing strategies to efficiently acquire new Active Members.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also use ML models that are powered by social graph data to identify high-value referrals and dynamically adjust incentives, improving our referral channel. Our marketing team also leverages GenAI for rapid content creation and creative optimization.</w:t>
      </w:r>
    </w:p>
    <w:p>
      <w:pPr>
        <w:spacing w:after="0" w:line="117" w:lineRule="exact"/>
        <w:rPr>
          <w:sz w:val="20"/>
          <w:szCs w:val="20"/>
          <w:color w:val="auto"/>
        </w:rPr>
      </w:pPr>
    </w:p>
    <w:p>
      <w:pPr>
        <w:ind w:right="2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Development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use GenAI to improve engineering productivity and product development velocity. Our developers use GenAI in several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ways such as standing up new services, writing test cases, and refactoring code quickly and easily.</w:t>
      </w:r>
    </w:p>
    <w:p>
      <w:pPr>
        <w:spacing w:after="0" w:line="101" w:lineRule="exact"/>
        <w:rPr>
          <w:sz w:val="20"/>
          <w:szCs w:val="20"/>
          <w:color w:val="auto"/>
        </w:rPr>
      </w:pPr>
    </w:p>
    <w:p>
      <w:pPr>
        <w:ind w:right="16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Risk and Fraud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GenAI solution for data augmentation is designed to significantly improve the speed of preparing data for our risk and fraud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models. Our proprietary AI and ML models have helped reduce our fraud loss rates, which declined by 31% between the years ended December 31, 2022 and 2024.</w:t>
      </w:r>
    </w:p>
    <w:p>
      <w:pPr>
        <w:spacing w:after="0" w:line="117" w:lineRule="exact"/>
        <w:rPr>
          <w:sz w:val="20"/>
          <w:szCs w:val="20"/>
          <w:color w:val="auto"/>
        </w:rPr>
      </w:pPr>
    </w:p>
    <w:p>
      <w:pPr>
        <w:jc w:val="both"/>
        <w:ind w:right="12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Member Support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leveraging GenAI and other ML tools, we deliver high-quality, efficient member support at scale. Our proprietary, AI-powered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disputes management platform has contributed to improved agent productivity and reduced dispute investigation times, creating better experiences for our members.</w:t>
      </w:r>
    </w:p>
    <w:p>
      <w:pPr>
        <w:spacing w:after="0" w:line="121"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Our development and use of AI and ML is subject to certain risks. For additional discussion, see the risk factor related to our use of AI and ML in the section titled “Risk Factors—Risks Related to Our Business—Issues in the development and use of AI and ML, combined with an uncertain legal and regulatory environment, may harm our brand, cause us to incur liabilities, and may adversely affect our business,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17145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23" w:lineRule="exact"/>
        <w:rPr>
          <w:sz w:val="20"/>
          <w:szCs w:val="20"/>
          <w:color w:val="auto"/>
        </w:rPr>
      </w:pPr>
    </w:p>
    <w:p>
      <w:pPr>
        <w:ind w:left="380" w:hanging="372"/>
        <w:spacing w:after="0"/>
        <w:tabs>
          <w:tab w:leader="none" w:pos="380" w:val="left"/>
        </w:tabs>
        <w:numPr>
          <w:ilvl w:val="0"/>
          <w:numId w:val="10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Based on the average of the three months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220"/>
          </w:cols>
          <w:pgMar w:left="320" w:top="124" w:right="359" w:bottom="1440" w:gutter="0" w:footer="0" w:header="0"/>
        </w:sectPr>
      </w:pPr>
    </w:p>
    <w:bookmarkStart w:id="173" w:name="page174"/>
    <w:bookmarkEnd w:id="173"/>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w:t>
      </w:r>
    </w:p>
    <w:p>
      <w:pPr>
        <w:spacing w:after="0" w:line="17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believe that strong risk management is a foundational part of sustaining our business growth and enhancing the trust we have built with members over time. We have assembled an experienced team of skilled risk professionals and have invested significantly in our risk decision platform, developed in-house, to support fraud risk management, credit risk management, including underwriting capabilities, and financial crime management. We view risk management as our overall framework for managing all of these risks.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Fraud Risk Management</w:t>
      </w:r>
    </w:p>
    <w:p>
      <w:pPr>
        <w:spacing w:after="0" w:line="175" w:lineRule="exact"/>
        <w:rPr>
          <w:sz w:val="20"/>
          <w:szCs w:val="20"/>
          <w:color w:val="auto"/>
        </w:rPr>
      </w:pPr>
    </w:p>
    <w:p>
      <w:pPr>
        <w:ind w:right="80" w:firstLine="324"/>
        <w:spacing w:after="0" w:line="272" w:lineRule="auto"/>
        <w:rPr>
          <w:sz w:val="20"/>
          <w:szCs w:val="20"/>
          <w:color w:val="auto"/>
        </w:rPr>
      </w:pPr>
      <w:r>
        <w:rPr>
          <w:rFonts w:ascii="Times New Roman" w:cs="Times New Roman" w:eastAsia="Times New Roman" w:hAnsi="Times New Roman"/>
          <w:sz w:val="17"/>
          <w:szCs w:val="17"/>
          <w:color w:val="auto"/>
        </w:rPr>
        <w:t>We understand that the incidence of fraud can impact our members’ financial well-being, and we have invested significantly in the operational capabilities and member support functions needed to reduce fraud risk on our platform. We manage fraud risk across the stages of our members’ journeys, including onboarding, ongoing use of our platform, and member support. Our data-driven understanding of our members’ transaction habits enables us to quickly identify suspicious transactions that fall outside of regular behavior patterns to more accurately flag incidents of suspected fraud. We couple our data advantage with our dynamic decisioning platform, real-time monitoring and alerts, and authentication tools that are designed to further reduce fraud risk. Complementing our human fraud detection teams with our proprietary AI and ML models has helped reduce our fraud loss rates, which declined by 31% between the year ended December 31, 2022 and the year ended December 31, 2024. We have simultaneously improved our member satisfaction scores for risk interactions over the same time period. We believe that our fraud loss rates rival those of other leading financial technology companies.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Product and Credit Risk Management</w:t>
      </w:r>
    </w:p>
    <w:p>
      <w:pPr>
        <w:spacing w:after="0" w:line="17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With access to recurring paycheck deposit activity and daily transaction and engagement data, we have developed targeted insights into our members’ earning power and spending habits, enabling us to provide tailored limits for liquidity products. Recurring paycheck deposits through our platform, combined with automated repayment features, provide a privileged repayment position that helps maintain low loss rates for Chime-branded liquidity products. In addition, the liquidity products offered through our platform are very short duration, enabling us to react quickly to changes in credit loss rates of these products or in the macroeconomic environment. SpotMe advances are typically repaid in under seven days and MyPay advances are typically repaid in under fourteen days. We have been able to leverage these advantages to build underwriting capabilities to offer our members access to short-term liquidity at scale while maintaining low loss rates. From full product launch in July 2024 through the end of 2024, risk losses related to MyPay have been below 1.75% of total dollars advanced since July 2024, while risk losses related to SpotMe from 2022 through the end of 2024 have been below 0.40% of total dollars overdrawn since 2022.</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Crimes Management</w:t>
      </w:r>
    </w:p>
    <w:p>
      <w:pPr>
        <w:spacing w:after="0" w:line="17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leverage a technology and data-driven approach to administer our robust financial crimes policies and procedures. Starting with a comprehensive onboarding process for all members designed to address know-your-customer and anti-money laundering concerns, we apply our data and AI models across our member interactions in a manner that is designed to quickly detect suspicious application and transaction activities and minimize the risk of financial crimes on our platform. We have also built out a scaled team of financial risk experts who help administer our financial crimes policies across our platform. Alongside these efforts, we have worked in parallel with our bank partners to develop an approach that is designed to meet the stringent financial crimes prevention and reporting requirements of our respective regulators.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MEMBER SUPPORT</w:t>
      </w:r>
    </w:p>
    <w:p>
      <w:pPr>
        <w:spacing w:after="0" w:line="175"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We strive to provide experiences that delight our members and make them feel secure and supported when using our platform. To deliver against these objectives, we have developed a scaled operations and member experience organization that enabled us to manage over 50 million member support interactions with our members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200"/>
          </w:cols>
          <w:pgMar w:left="320" w:top="124" w:right="379" w:bottom="1440" w:gutter="0" w:footer="0" w:header="0"/>
        </w:sectPr>
      </w:pPr>
    </w:p>
    <w:bookmarkStart w:id="174" w:name="page175"/>
    <w:bookmarkEnd w:id="174"/>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Efficient Member Support</w:t>
      </w:r>
    </w:p>
    <w:p>
      <w:pPr>
        <w:spacing w:after="0" w:line="175" w:lineRule="exact"/>
        <w:rPr>
          <w:sz w:val="20"/>
          <w:szCs w:val="20"/>
          <w:color w:val="auto"/>
        </w:rPr>
      </w:pPr>
    </w:p>
    <w:p>
      <w:pPr>
        <w:ind w:right="80" w:firstLine="324"/>
        <w:spacing w:after="0" w:line="244" w:lineRule="auto"/>
        <w:rPr>
          <w:sz w:val="20"/>
          <w:szCs w:val="20"/>
          <w:color w:val="auto"/>
        </w:rPr>
      </w:pPr>
      <w:r>
        <w:rPr>
          <w:rFonts w:ascii="Times New Roman" w:cs="Times New Roman" w:eastAsia="Times New Roman" w:hAnsi="Times New Roman"/>
          <w:sz w:val="18"/>
          <w:szCs w:val="18"/>
          <w:color w:val="auto"/>
        </w:rPr>
        <w:t>We deliver scaled, efficient support for our members, powered by our technology platform. We offer 24/7 member support via phone, chat, and automated channels through our global operations team. Our ability to scale efficiently and improve our members’ support experience is supported by our investments in AI and automation, which allow these tools to do the work of over 1,000 human member support agents.</w:t>
      </w:r>
      <w:r>
        <w:rPr>
          <w:rFonts w:ascii="Times New Roman" w:cs="Times New Roman" w:eastAsia="Times New Roman" w:hAnsi="Times New Roman"/>
          <w:sz w:val="23"/>
          <w:szCs w:val="23"/>
          <w:color w:val="auto"/>
          <w:vertAlign w:val="superscript"/>
        </w:rPr>
        <w:t>130</w:t>
      </w:r>
      <w:r>
        <w:rPr>
          <w:rFonts w:ascii="Times New Roman" w:cs="Times New Roman" w:eastAsia="Times New Roman" w:hAnsi="Times New Roman"/>
          <w:sz w:val="18"/>
          <w:szCs w:val="18"/>
          <w:color w:val="auto"/>
        </w:rPr>
        <w:t xml:space="preserve"> These innovations enabled us to deliver 68% of our member support interactions without the need for human intervention in 2024. In achieving this milestone, between 2022 and 2024, we reduced our support costs per Active Member by 64% while simultaneously increasing our member support satisfaction scores by 93%.</w:t>
      </w:r>
      <w:r>
        <w:rPr>
          <w:rFonts w:ascii="Times New Roman" w:cs="Times New Roman" w:eastAsia="Times New Roman" w:hAnsi="Times New Roman"/>
          <w:sz w:val="23"/>
          <w:szCs w:val="23"/>
          <w:color w:val="auto"/>
          <w:vertAlign w:val="superscript"/>
        </w:rPr>
        <w:t>131</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Constantly Iterating and Improving Member Experience</w:t>
      </w:r>
    </w:p>
    <w:p>
      <w:pPr>
        <w:spacing w:after="0" w:line="175" w:lineRule="exact"/>
        <w:rPr>
          <w:sz w:val="20"/>
          <w:szCs w:val="20"/>
          <w:color w:val="auto"/>
        </w:rPr>
      </w:pPr>
    </w:p>
    <w:p>
      <w:pPr>
        <w:jc w:val="both"/>
        <w:ind w:right="280" w:firstLine="324"/>
        <w:spacing w:after="0" w:line="261" w:lineRule="auto"/>
        <w:rPr>
          <w:sz w:val="20"/>
          <w:szCs w:val="20"/>
          <w:color w:val="auto"/>
        </w:rPr>
      </w:pPr>
      <w:r>
        <w:rPr>
          <w:rFonts w:ascii="Times New Roman" w:cs="Times New Roman" w:eastAsia="Times New Roman" w:hAnsi="Times New Roman"/>
          <w:sz w:val="18"/>
          <w:szCs w:val="18"/>
          <w:color w:val="auto"/>
        </w:rPr>
        <w:t>We leverage our daily member interactions, using AI to regularly monitor and analyze member feedback, and provide data-driven insights to make real-time changes to our products and build new products to serve our members’ needs. Our member experience team tracks trends across contact rates, NPS scores, and app store reviews, and augments these with detailed member feedback calls, to identify insights into member pain points. We have also trained GPTs on member feedback to quickly iterate on project plans and product innovations.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AND PRIVACY</w:t>
      </w:r>
    </w:p>
    <w:p>
      <w:pPr>
        <w:spacing w:after="0" w:line="175"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Trust is paramount to maintain long-term relationships with our members, and we take significant measures designed to protect the security and privacy of their data.</w:t>
      </w:r>
    </w:p>
    <w:p>
      <w:pPr>
        <w:spacing w:after="0" w:line="108"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devote considerable resources to our security program, which is designed to enable the highest confidence in our custodianship of the data of our members. Our security program is based on industry-recognized frameworks and standards, and we obtain and maintain current security certifications from third-party auditors. The program reflects our commitment to protecting Chime and our members, and to implement our guiding security principles, which are rooted in key concepts such as the principle of least privilege that provides that individual user access is limited to only what is necessary for such user to do his or her job. The program is intended to identify and mitigate security risks throughout the development life cycle, including risks related to third parties on which we rely.</w:t>
      </w:r>
    </w:p>
    <w:p>
      <w:pPr>
        <w:spacing w:after="0" w:line="133"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Our security program focuses on preserving the confidentiality, integrity, and availability of member data and other confidential information in our care. Our team of security professionals, working in partnership with peers across Chime, works to identify and mitigate risks, and to evaluate ways to improve our security on an ongoing basis. The resulting security program includes data encryption in transit and at rest, cloud and network security tooling, limiting access to sensitive applications and data, and multi-factor authentication for access to systems with certain data. It also incorporates guidelines known as secure development practices, such as product security reviews, security architecture and design reviews, penetration testing, vulnerability management processes, automated code reviews and a bug bounty program. We have also established an AI framework and incorporated other processes designed to provide for the safe and secure use and deployment of AI-based tools.</w:t>
      </w:r>
    </w:p>
    <w:p>
      <w:pPr>
        <w:spacing w:after="0" w:line="13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 addition, we employ regular system monitoring, logging, and alerting to retain and analyze our security posture and identify security risks. We also have established processes designed to detect, identify, and mitigate security risks related to third parties, including security reviews, audits, reviewing SOC 2 Type 2 certifications, and other steps to validate that appropriate security measures are maintained by the third parties we rely on.</w:t>
      </w:r>
    </w:p>
    <w:p>
      <w:pPr>
        <w:spacing w:after="0" w:line="122"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We maintain a Security Operations Center and Incident Response program that operates from around the globe to provide active monitoring and response to cybersecurity threats, including data breaches, malware, and other security or hacking incidents. Our incident response program is regularly tested through tabletop exercises and ongoing training to enhance preparedness in the event of a data breach, malware, or other security incident. These exercises — like our security program as a whole — are designed to enable us to rapidly identify, contain, and mitigate potential threats, further protecting our members’ data and minimizing any operational disruptions.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7145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27" w:lineRule="exact"/>
        <w:rPr>
          <w:sz w:val="20"/>
          <w:szCs w:val="20"/>
          <w:color w:val="auto"/>
        </w:rPr>
      </w:pPr>
    </w:p>
    <w:p>
      <w:pPr>
        <w:ind w:left="340" w:right="40" w:hanging="332"/>
        <w:spacing w:after="0" w:line="271" w:lineRule="auto"/>
        <w:tabs>
          <w:tab w:leader="none" w:pos="343" w:val="left"/>
        </w:tabs>
        <w:numPr>
          <w:ilvl w:val="0"/>
          <w:numId w:val="10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Estimated based on the percentage of the number of member service interactions that do not require human interaction and the number of human member support agents as of December 31, 2024.</w:t>
      </w:r>
    </w:p>
    <w:p>
      <w:pPr>
        <w:ind w:left="340" w:right="20" w:hanging="332"/>
        <w:spacing w:after="0" w:line="221" w:lineRule="auto"/>
        <w:tabs>
          <w:tab w:leader="none" w:pos="343" w:val="left"/>
        </w:tabs>
        <w:numPr>
          <w:ilvl w:val="0"/>
          <w:numId w:val="10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Based on Service Net Promoter Score (sNPS) scores collected from Chime commissioned third-party surveys conducted on a rolling basis to measure the member support satisfaction of our members. See the section titled “Industry, Market, and Other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240"/>
          </w:cols>
          <w:pgMar w:left="320" w:top="124" w:right="339" w:bottom="1440" w:gutter="0" w:footer="0" w:header="0"/>
        </w:sectPr>
      </w:pPr>
    </w:p>
    <w:bookmarkStart w:id="175" w:name="page176"/>
    <w:bookmarkEnd w:id="175"/>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We routinely conduct risk assessments designed to identify security threats, as well as assessments in the event of a material change in our business practices that may affect information systems that are vulnerable to such security threats. These risk assessments include identification of reasonably foreseeable internal and external risks, assessment of the likelihood and potential damage that could result from such risks, and assessment of the sufficiency of existing policies, procedures, controls, and safeguards in place to manage such risks. Following these risk assessments, we evaluate whether and how to re-design, implement, and maintain safeguards intended to minimize identified risks; work to address any identified gaps in existing controls; and regularly monitor the effectiveness of our security controls.</w:t>
      </w:r>
    </w:p>
    <w:p>
      <w:pPr>
        <w:spacing w:after="0" w:line="13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As part of our security program, we monitor and test our controls and train our employees on our policies and employee responsibilities, in collaboration with human resources, IT, compliance, and management. Personnel at all levels and departments are made aware of our security policies through training. Despite our efforts, we cannot eliminate all risks from security threats, or provide assurances that we have not experienced or will not experience an undetected data breach, malware, or other security or hacking incident. For additional discussion, see the risk factor related to security threats, in the section titled “Risk Factors—Risks Related to Our Business—Data breaches, malware, and other security or hacking incidents may adversely affect our brand, business, financial condition, and results of operations.”</w:t>
      </w:r>
    </w:p>
    <w:p>
      <w:pPr>
        <w:spacing w:after="0" w:line="133"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Further, our team of privacy professionals, working in partnership with peers across Chime and our bank partners, actively monitors legal, regulatory, and industry-specific privacy requirements and best practices. We maintain a privacy program that operationalizes numerous policies, procedures, and measures with respect to our processing of personal information and nonpublic personal information, including providing privacy notices to our members, responding to consumer requests, and administering privacy training. We collect, store, use, disclose, transfer, and otherwise process a wide variety of personal information and nonpublic personal information for the purposes outlined in our and our bank partners’ privacy notices. Our collection, storage, use, disclosure, transfer, and other processing of such information is subject to numerous privacy laws in the United States, including state and federal privacy laws, such as the GLBA.</w:t>
      </w:r>
    </w:p>
    <w:p>
      <w:pPr>
        <w:spacing w:after="0" w:line="135"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We have adopted multiple corporate programs to address data considerations and comply with such privacy laws, as applicable. Our approach to data access is designed to minimize exposure and control permissions. For our employees, we utilize necessary and limited access restrictions, Chime-managed devices, network and endpoint security, role-based permissions, encryption, and monitoring and auditing of access. For third-party management of our member data, we include privacy, confidentiality, and information security provisions in agreements with third parties, including those providing shared cloud computing services, and we require alignment with applicable regulations. Our AI policies further require service providers to process member data solely under our direction for agreed business purposes and prohibit unauthorized processing, including using data for training AI models without written approval. With respect to our use of open source software components in our products and shared cloud computing resources, we strive to take a rigorous approach to managing open source software to promote security, compliance, and risk mitigation. All open source software components are evaluated prior to adoption to address security and licensing considerations. We employ monitoring with specialized tools to identify, evaluate, and remediate security vulnerabilities in open source software and assess the overall supply chain security posture, providing a comprehensive view of potential risks. All identified vulnerabilities are subjected to our vulnerability management process and are addressed in accordance with our policies and service-level agreements. We track and report metrics related to open source vulnerabilities and their resolution to maintain transparency, measure progress, and continuously improve our security posture. Further, our cloud-first approach has controls in place to protect the security and integrity of member data and infrastructure, including environment segregation, infrastructure management and automation, access restrictions, key and certificate management, cloud security posture management and monitoring, network segmentation and security, penetration testing, and security assessments.</w:t>
      </w:r>
    </w:p>
    <w:p>
      <w:pPr>
        <w:spacing w:after="0" w:line="142"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We have also implemented policies, technical controls, and training measures designed to safeguard member data in AI operations. These include ML model-building environment controls, a GenAI company policy that defines strict safeguards to limit member data use, agreements with AI providers explicitly prohibiting member data from being used for model training, AI tool reviews before onboarding, red teaming tools to continuously test the resilience of AI systems, and other privacy-enhancing practices such as data scrubbing controls.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220"/>
          </w:cols>
          <w:pgMar w:left="320" w:top="124" w:right="359" w:bottom="1440" w:gutter="0" w:footer="0" w:header="0"/>
        </w:sectPr>
      </w:pPr>
    </w:p>
    <w:bookmarkStart w:id="176" w:name="page177"/>
    <w:bookmarkEnd w:id="176"/>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While we have processes and controls in place designed to protect member data, the legal and regulatory environment relating to privacy, data protection, and data security is rapidly evolving we may not be able to eliminate all of the risks associated with the use of AI technologies and open source software. For additional discussion, see the risk factors related to regulation of our business and regulation in the areas of privacy, data protection, and data security, in the section titled “Risk Factors—Risks Related to Regulatory and Legal Matters—Stringent and changing laws and other requirements relating to privacy, data protection, and data security may adversely affect our brand, business, financial condition, and results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CHIME AS A FORCE FOR GOOD</w:t>
      </w:r>
    </w:p>
    <w:p>
      <w:pPr>
        <w:spacing w:after="0" w:line="175"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Our mission of unlocking financial progress for everyday people drives everything we do — from product design to our business model to our community and philanthropic initiatives.</w:t>
      </w:r>
    </w:p>
    <w:p>
      <w:pPr>
        <w:spacing w:after="0" w:line="108"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We create innovative products that help improve our members’ financial health, provide access to financial education, and invest in the communities where our members live and work. We have also taken the 1% pledge, committing to donate 1% of Chime’s equity as of our pledge date, or 3,210,192 shares of our common stock, over the next 10 years to fund the Chime Scholars Foundation, a foundation established to provide nontraditional students with the funding and resources they need to pursue higher education. We are proud of the positive impact we have on Chime members and our communities.</w:t>
      </w:r>
    </w:p>
    <w:p>
      <w:pPr>
        <w:spacing w:after="0" w:line="125" w:lineRule="exact"/>
        <w:rPr>
          <w:sz w:val="20"/>
          <w:szCs w:val="20"/>
          <w:color w:val="auto"/>
        </w:rPr>
      </w:pPr>
    </w:p>
    <w:p>
      <w:pPr>
        <w:ind w:right="140" w:firstLine="324"/>
        <w:spacing w:after="0" w:line="241" w:lineRule="auto"/>
        <w:rPr>
          <w:sz w:val="20"/>
          <w:szCs w:val="20"/>
          <w:color w:val="auto"/>
        </w:rPr>
      </w:pPr>
      <w:r>
        <w:rPr>
          <w:rFonts w:ascii="Times New Roman" w:cs="Times New Roman" w:eastAsia="Times New Roman" w:hAnsi="Times New Roman"/>
          <w:sz w:val="18"/>
          <w:szCs w:val="18"/>
          <w:b w:val="1"/>
          <w:bCs w:val="1"/>
          <w:i w:val="1"/>
          <w:iCs w:val="1"/>
          <w:color w:val="auto"/>
        </w:rPr>
        <w:t>Driving Measurable Financial Health Outcomes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obsess over our members’ financial health needs. According to a Chime member survey, 97%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Chime members say that we have helped them make financial progress</w:t>
      </w:r>
      <w:r>
        <w:rPr>
          <w:rFonts w:ascii="Times New Roman" w:cs="Times New Roman" w:eastAsia="Times New Roman" w:hAnsi="Times New Roman"/>
          <w:sz w:val="23"/>
          <w:szCs w:val="23"/>
          <w:color w:val="auto"/>
          <w:vertAlign w:val="superscript"/>
        </w:rPr>
        <w:t>132</w:t>
      </w:r>
      <w:r>
        <w:rPr>
          <w:rFonts w:ascii="Times New Roman" w:cs="Times New Roman" w:eastAsia="Times New Roman" w:hAnsi="Times New Roman"/>
          <w:sz w:val="18"/>
          <w:szCs w:val="18"/>
          <w:color w:val="auto"/>
        </w:rPr>
        <w:t>; 75% of Chime members say that they trust us more than traditional banks; and 75% of Chime members say that they want to be lifelong Chime members.</w:t>
      </w:r>
      <w:r>
        <w:rPr>
          <w:rFonts w:ascii="Times New Roman" w:cs="Times New Roman" w:eastAsia="Times New Roman" w:hAnsi="Times New Roman"/>
          <w:sz w:val="23"/>
          <w:szCs w:val="23"/>
          <w:color w:val="auto"/>
          <w:vertAlign w:val="superscript"/>
        </w:rPr>
        <w:t>133</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products improve our members’ financial health by:</w:t>
      </w:r>
    </w:p>
    <w:p>
      <w:pPr>
        <w:spacing w:after="0" w:line="167" w:lineRule="exact"/>
        <w:rPr>
          <w:sz w:val="20"/>
          <w:szCs w:val="20"/>
          <w:color w:val="auto"/>
        </w:rPr>
      </w:pPr>
    </w:p>
    <w:p>
      <w:pPr>
        <w:ind w:left="660" w:right="40" w:hanging="328"/>
        <w:spacing w:after="0" w:line="270" w:lineRule="auto"/>
        <w:tabs>
          <w:tab w:leader="none" w:pos="65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Providing access to liquidity and credit. </w:t>
      </w:r>
      <w:r>
        <w:rPr>
          <w:rFonts w:ascii="Times New Roman" w:cs="Times New Roman" w:eastAsia="Times New Roman" w:hAnsi="Times New Roman"/>
          <w:sz w:val="18"/>
          <w:szCs w:val="18"/>
          <w:color w:val="auto"/>
        </w:rPr>
        <w:t>In 2024 alone, SpotMe has helped members avoid billions of dollars in overdraft fees. When surveyed,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80% of Chime members say that Chime helped them bridge the gap until their next paycheck; 78% say that Chime has helped them pay their bills on time; and 90% say that Chime helped them avoid bank fees.</w:t>
      </w:r>
      <w:r>
        <w:rPr>
          <w:rFonts w:ascii="Times New Roman" w:cs="Times New Roman" w:eastAsia="Times New Roman" w:hAnsi="Times New Roman"/>
          <w:sz w:val="23"/>
          <w:szCs w:val="23"/>
          <w:color w:val="auto"/>
          <w:vertAlign w:val="superscript"/>
        </w:rPr>
        <w:t>134</w:t>
      </w:r>
    </w:p>
    <w:p>
      <w:pPr>
        <w:spacing w:after="0" w:line="46" w:lineRule="exact"/>
        <w:rPr>
          <w:rFonts w:ascii="Times New Roman" w:cs="Times New Roman" w:eastAsia="Times New Roman" w:hAnsi="Times New Roman"/>
          <w:sz w:val="18"/>
          <w:szCs w:val="18"/>
          <w:color w:val="auto"/>
        </w:rPr>
      </w:pPr>
    </w:p>
    <w:p>
      <w:pPr>
        <w:ind w:left="660" w:right="100" w:hanging="328"/>
        <w:spacing w:after="0" w:line="270" w:lineRule="auto"/>
        <w:tabs>
          <w:tab w:leader="none" w:pos="65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Increasing credit scores. </w:t>
      </w:r>
      <w:r>
        <w:rPr>
          <w:rFonts w:ascii="Times New Roman" w:cs="Times New Roman" w:eastAsia="Times New Roman" w:hAnsi="Times New Roman"/>
          <w:sz w:val="18"/>
          <w:szCs w:val="18"/>
          <w:color w:val="auto"/>
        </w:rPr>
        <w:t>Our Credit Builder secured credit card offers members opportunities to improve credit scores, all without the need for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credit check. A third-party study found that members using Credit Builder saw an average FICO score increase of 30 points within the first six months of use.</w:t>
      </w:r>
      <w:r>
        <w:rPr>
          <w:rFonts w:ascii="Times New Roman" w:cs="Times New Roman" w:eastAsia="Times New Roman" w:hAnsi="Times New Roman"/>
          <w:sz w:val="23"/>
          <w:szCs w:val="23"/>
          <w:color w:val="auto"/>
          <w:vertAlign w:val="superscript"/>
        </w:rPr>
        <w:t>135</w:t>
      </w:r>
    </w:p>
    <w:p>
      <w:pPr>
        <w:spacing w:after="0" w:line="46" w:lineRule="exact"/>
        <w:rPr>
          <w:rFonts w:ascii="Times New Roman" w:cs="Times New Roman" w:eastAsia="Times New Roman" w:hAnsi="Times New Roman"/>
          <w:sz w:val="18"/>
          <w:szCs w:val="18"/>
          <w:color w:val="auto"/>
        </w:rPr>
      </w:pPr>
    </w:p>
    <w:p>
      <w:pPr>
        <w:jc w:val="both"/>
        <w:ind w:left="660" w:right="400" w:hanging="328"/>
        <w:spacing w:after="0" w:line="270" w:lineRule="auto"/>
        <w:tabs>
          <w:tab w:leader="none" w:pos="65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Creating financial flexibility. </w:t>
      </w:r>
      <w:r>
        <w:rPr>
          <w:rFonts w:ascii="Times New Roman" w:cs="Times New Roman" w:eastAsia="Times New Roman" w:hAnsi="Times New Roman"/>
          <w:sz w:val="18"/>
          <w:szCs w:val="18"/>
          <w:color w:val="auto"/>
        </w:rPr>
        <w:t>MyPay has transformed the way Americans can access their pay, offering members early access to their wages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without incurring expensive debt. As of December 31, 2024, members have accessed over $5.3 billion of MyPay advances. Notably, 87% of MyPay users who reported using payday lenders in the past have stopped or reduced using those services.</w:t>
      </w:r>
      <w:r>
        <w:rPr>
          <w:rFonts w:ascii="Times New Roman" w:cs="Times New Roman" w:eastAsia="Times New Roman" w:hAnsi="Times New Roman"/>
          <w:sz w:val="23"/>
          <w:szCs w:val="23"/>
          <w:color w:val="auto"/>
          <w:vertAlign w:val="superscript"/>
        </w:rPr>
        <w:t>136</w:t>
      </w:r>
    </w:p>
    <w:p>
      <w:pPr>
        <w:spacing w:after="0" w:line="47" w:lineRule="exact"/>
        <w:rPr>
          <w:sz w:val="20"/>
          <w:szCs w:val="20"/>
          <w:color w:val="auto"/>
        </w:rPr>
      </w:pPr>
    </w:p>
    <w:p>
      <w:pPr>
        <w:ind w:right="48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Driving Positive Change in the Industry: </w:t>
      </w:r>
      <w:r>
        <w:rPr>
          <w:rFonts w:ascii="Times New Roman" w:cs="Times New Roman" w:eastAsia="Times New Roman" w:hAnsi="Times New Roman"/>
          <w:sz w:val="18"/>
          <w:szCs w:val="18"/>
          <w:color w:val="auto"/>
        </w:rPr>
        <w:t>We are proud to have catalyzed change throughout our industry, both through our innovative products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themselves and our partnerships with community banks. We believe our efforts have helped to create a more competitive industry, benefiting both consumers and our community bank partners.</w:t>
      </w:r>
    </w:p>
    <w:p>
      <w:pPr>
        <w:spacing w:after="0" w:line="117" w:lineRule="exact"/>
        <w:rPr>
          <w:sz w:val="20"/>
          <w:szCs w:val="20"/>
          <w:color w:val="auto"/>
        </w:rPr>
      </w:pPr>
    </w:p>
    <w:p>
      <w:pPr>
        <w:ind w:left="660" w:right="180" w:hanging="328"/>
        <w:spacing w:after="0" w:line="268" w:lineRule="auto"/>
        <w:tabs>
          <w:tab w:leader="none" w:pos="65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Leading with no monthly or minimum balance fees for checking and savings. </w:t>
      </w:r>
      <w:r>
        <w:rPr>
          <w:rFonts w:ascii="Times New Roman" w:cs="Times New Roman" w:eastAsia="Times New Roman" w:hAnsi="Times New Roman"/>
          <w:sz w:val="18"/>
          <w:szCs w:val="18"/>
          <w:color w:val="auto"/>
        </w:rPr>
        <w:t>We were one of the first in our industry to partner with banks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 checking and high-yield savings accounts with no monthly fees or minimum balance fees, which we believe helped push others in our industry to do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17145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18" w:lineRule="exact"/>
        <w:rPr>
          <w:sz w:val="20"/>
          <w:szCs w:val="20"/>
          <w:color w:val="auto"/>
        </w:rPr>
      </w:pPr>
    </w:p>
    <w:p>
      <w:pPr>
        <w:ind w:left="340" w:hanging="332"/>
        <w:spacing w:after="0" w:line="267" w:lineRule="auto"/>
        <w:tabs>
          <w:tab w:leader="none" w:pos="343" w:val="left"/>
        </w:tabs>
        <w:numPr>
          <w:ilvl w:val="0"/>
          <w:numId w:val="11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 the Chime Financial Progress Survey, 97% of respondents indicated that Chime has helped in at least one of the following aspects of unlocking financial progress: avoiding fees, bridging the gap until their next paycheck, avoiding late or missed bills, managing spending, improving credit scores, saving for an emergency, saving for a long-term goal, or helping pay off high-interest rate debt. See the section titled “Industry, Market, and Other Data.”</w:t>
      </w:r>
    </w:p>
    <w:p>
      <w:pPr>
        <w:spacing w:after="0" w:line="1" w:lineRule="exact"/>
        <w:rPr>
          <w:rFonts w:ascii="Times New Roman" w:cs="Times New Roman" w:eastAsia="Times New Roman" w:hAnsi="Times New Roman"/>
          <w:sz w:val="9"/>
          <w:szCs w:val="9"/>
          <w:color w:val="auto"/>
        </w:rPr>
      </w:pPr>
    </w:p>
    <w:p>
      <w:pPr>
        <w:ind w:left="340" w:hanging="332"/>
        <w:spacing w:after="0" w:line="192" w:lineRule="auto"/>
        <w:tabs>
          <w:tab w:leader="none" w:pos="340" w:val="left"/>
        </w:tabs>
        <w:numPr>
          <w:ilvl w:val="0"/>
          <w:numId w:val="1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Chime Financial Progress Survey; see the section titled “Industry, Market, and Other Data.”</w:t>
      </w:r>
    </w:p>
    <w:p>
      <w:pPr>
        <w:spacing w:after="0" w:line="3" w:lineRule="exact"/>
        <w:rPr>
          <w:rFonts w:ascii="Times New Roman" w:cs="Times New Roman" w:eastAsia="Times New Roman" w:hAnsi="Times New Roman"/>
          <w:sz w:val="19"/>
          <w:szCs w:val="19"/>
          <w:color w:val="auto"/>
          <w:vertAlign w:val="superscript"/>
        </w:rPr>
      </w:pPr>
    </w:p>
    <w:p>
      <w:pPr>
        <w:ind w:left="340" w:hanging="332"/>
        <w:spacing w:after="0" w:line="187" w:lineRule="auto"/>
        <w:tabs>
          <w:tab w:leader="none" w:pos="340" w:val="left"/>
        </w:tabs>
        <w:numPr>
          <w:ilvl w:val="0"/>
          <w:numId w:val="11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Chime Financial Progress Survey; see the section titled “Industry, Market, and Other Data.”</w:t>
      </w:r>
    </w:p>
    <w:p>
      <w:pPr>
        <w:ind w:left="320" w:hanging="312"/>
        <w:spacing w:after="0"/>
        <w:tabs>
          <w:tab w:leader="none" w:pos="320" w:val="left"/>
        </w:tabs>
        <w:numPr>
          <w:ilvl w:val="0"/>
          <w:numId w:val="11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Experian Study; see the section titled “Industry, Market, and Other Data.”</w:t>
      </w:r>
    </w:p>
    <w:p>
      <w:pPr>
        <w:spacing w:after="0" w:line="11" w:lineRule="exact"/>
        <w:rPr>
          <w:rFonts w:ascii="Times New Roman" w:cs="Times New Roman" w:eastAsia="Times New Roman" w:hAnsi="Times New Roman"/>
          <w:sz w:val="9"/>
          <w:szCs w:val="9"/>
          <w:color w:val="auto"/>
        </w:rPr>
      </w:pPr>
    </w:p>
    <w:p>
      <w:pPr>
        <w:ind w:left="340" w:right="300" w:hanging="332"/>
        <w:spacing w:after="0" w:line="221" w:lineRule="auto"/>
        <w:tabs>
          <w:tab w:leader="none" w:pos="343" w:val="left"/>
        </w:tabs>
        <w:numPr>
          <w:ilvl w:val="0"/>
          <w:numId w:val="1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Based on surveys conducted by Chime between August to September 2024 on members who received at least one MyPay advance in July 2024 (the “Chime MyPay Surveys”). See the section titled “Industry, Market, and Other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200"/>
          </w:cols>
          <w:pgMar w:left="320" w:top="124" w:right="379" w:bottom="1440" w:gutter="0" w:footer="0" w:header="0"/>
        </w:sectPr>
      </w:pPr>
    </w:p>
    <w:bookmarkStart w:id="177" w:name="page178"/>
    <w:bookmarkEnd w:id="177"/>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60" w:right="420" w:hanging="328"/>
        <w:spacing w:after="0" w:line="270" w:lineRule="auto"/>
        <w:tabs>
          <w:tab w:leader="none" w:pos="65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Promoting consumer-friendly policies with fee-free overdraft protection. </w:t>
      </w:r>
      <w:r>
        <w:rPr>
          <w:rFonts w:ascii="Times New Roman" w:cs="Times New Roman" w:eastAsia="Times New Roman" w:hAnsi="Times New Roman"/>
          <w:sz w:val="18"/>
          <w:szCs w:val="18"/>
          <w:color w:val="auto"/>
        </w:rPr>
        <w:t>Similarly, we offer access to SpotMe, which we believe was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industry’s first fee-free overdraft protection product of its kind. Since we launched SpotMe in 2019, overdraft fee revenue industry-wide has decreased. The CFPB reported that overdraft and nonsufficient funds fees decreased by over 50% from 2019 to 2023.</w:t>
      </w:r>
      <w:r>
        <w:rPr>
          <w:rFonts w:ascii="Times New Roman" w:cs="Times New Roman" w:eastAsia="Times New Roman" w:hAnsi="Times New Roman"/>
          <w:sz w:val="23"/>
          <w:szCs w:val="23"/>
          <w:color w:val="auto"/>
          <w:vertAlign w:val="superscript"/>
        </w:rPr>
        <w:t>137</w:t>
      </w:r>
    </w:p>
    <w:p>
      <w:pPr>
        <w:spacing w:after="0" w:line="46" w:lineRule="exact"/>
        <w:rPr>
          <w:rFonts w:ascii="Times New Roman" w:cs="Times New Roman" w:eastAsia="Times New Roman" w:hAnsi="Times New Roman"/>
          <w:sz w:val="18"/>
          <w:szCs w:val="18"/>
          <w:color w:val="auto"/>
        </w:rPr>
      </w:pPr>
    </w:p>
    <w:p>
      <w:pPr>
        <w:ind w:left="660" w:right="40" w:hanging="328"/>
        <w:spacing w:after="0" w:line="256" w:lineRule="auto"/>
        <w:tabs>
          <w:tab w:leader="none" w:pos="65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Helping to level the playing field for community banks. </w:t>
      </w:r>
      <w:r>
        <w:rPr>
          <w:rFonts w:ascii="Times New Roman" w:cs="Times New Roman" w:eastAsia="Times New Roman" w:hAnsi="Times New Roman"/>
          <w:sz w:val="18"/>
          <w:szCs w:val="18"/>
          <w:color w:val="auto"/>
        </w:rPr>
        <w:t>Finally, our bank partnership model gives our community bank partners access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millions of new members nationwide, and our members’ deposits provide a source of low-cost funding that helps them compete against larger banks. We also work with our bank partners to support channeling Chime member deposits into regions where members live. Through the community deposit sweep program, our bank partners sweep a portion of our members’ savings deposits to a diversified set of community and regional banks. These banks are located across the country in regions where our members live and we believe a majority of member deposits placed in the community deposit sweep program are held at banks in the region where the depositing member lives, which we believe helps allow member deposits to support the betterment of our members’ communities.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Community Initiatives</w:t>
      </w:r>
    </w:p>
    <w:p>
      <w:pPr>
        <w:spacing w:after="0" w:line="175"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Chime invests in our members’ communities. Through our commitment to higher education, financial education, investment in local leaders, and Chimer volunteerism, we are further helping our members make progress, opening up new opportunities, and driving greater resilience throughout their communities.</w:t>
      </w:r>
    </w:p>
    <w:p>
      <w:pPr>
        <w:spacing w:after="0" w:line="118" w:lineRule="exact"/>
        <w:rPr>
          <w:sz w:val="20"/>
          <w:szCs w:val="20"/>
          <w:color w:val="auto"/>
        </w:rPr>
      </w:pPr>
    </w:p>
    <w:p>
      <w:pPr>
        <w:ind w:right="4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Chime Scholars Foundation. </w:t>
      </w:r>
      <w:r>
        <w:rPr>
          <w:rFonts w:ascii="Times New Roman" w:cs="Times New Roman" w:eastAsia="Times New Roman" w:hAnsi="Times New Roman"/>
          <w:sz w:val="18"/>
          <w:szCs w:val="18"/>
          <w:color w:val="auto"/>
        </w:rPr>
        <w:t>We believe that education is one of the most powerful engines for economic mobility. Through the Chime Scholars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Foundation, we strive to help the next generation of learners by supporting nontraditional students — such as those who are mid-career, single parents, community college transfers, part-time, or returning to the job market, and those from low-income or marginalized communities — with renewable scholarships of up to $5,000 per year. Since launching, we have pledged more than $3.8 million in scholarships to 484 Chime Scholars.</w:t>
      </w:r>
    </w:p>
    <w:p>
      <w:pPr>
        <w:spacing w:after="0" w:line="122" w:lineRule="exact"/>
        <w:rPr>
          <w:sz w:val="20"/>
          <w:szCs w:val="20"/>
          <w:color w:val="auto"/>
        </w:rPr>
      </w:pPr>
    </w:p>
    <w:p>
      <w:pPr>
        <w:ind w:right="4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1% pledge. </w:t>
      </w:r>
      <w:r>
        <w:rPr>
          <w:rFonts w:ascii="Times New Roman" w:cs="Times New Roman" w:eastAsia="Times New Roman" w:hAnsi="Times New Roman"/>
          <w:sz w:val="18"/>
          <w:szCs w:val="18"/>
          <w:color w:val="auto"/>
        </w:rPr>
        <w:t>We have committed to the issuance and donation of 3,210,192 shares of common stock (which was approximately 1% of Chime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equity as of December 1, 2022, when Chime made its commitment) over the next 10 years to fund the Chime Scholars Foundation.</w:t>
      </w:r>
    </w:p>
    <w:p>
      <w:pPr>
        <w:spacing w:after="0" w:line="101" w:lineRule="exact"/>
        <w:rPr>
          <w:sz w:val="20"/>
          <w:szCs w:val="20"/>
          <w:color w:val="auto"/>
        </w:rPr>
      </w:pPr>
    </w:p>
    <w:p>
      <w:pPr>
        <w:ind w:right="2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Financial education. </w:t>
      </w:r>
      <w:r>
        <w:rPr>
          <w:rFonts w:ascii="Times New Roman" w:cs="Times New Roman" w:eastAsia="Times New Roman" w:hAnsi="Times New Roman"/>
          <w:sz w:val="18"/>
          <w:szCs w:val="18"/>
          <w:color w:val="auto"/>
        </w:rPr>
        <w:t>We deliver targeted, in-app financial education content that engages our audience and drives more informed financial decision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making. We have partnered with the financial education curriculum provider, Zogo to provide more than 1,000 lessons across 8 financial health categories, for our members, our nonprofit partners, public school, and broader communities. We have also committed to bringing financial education to 10 million Americans by 2027 through our embedded financial education content, our “In the Green” blog, through nonprofit and community partners, and via in-person community financial education events.</w:t>
      </w:r>
    </w:p>
    <w:p>
      <w:pPr>
        <w:spacing w:after="0" w:line="125" w:lineRule="exact"/>
        <w:rPr>
          <w:sz w:val="20"/>
          <w:szCs w:val="20"/>
          <w:color w:val="auto"/>
        </w:rPr>
      </w:pPr>
    </w:p>
    <w:p>
      <w:pPr>
        <w:ind w:right="2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Financial resilience of our members and their communities. </w:t>
      </w:r>
      <w:r>
        <w:rPr>
          <w:rFonts w:ascii="Times New Roman" w:cs="Times New Roman" w:eastAsia="Times New Roman" w:hAnsi="Times New Roman"/>
          <w:sz w:val="18"/>
          <w:szCs w:val="18"/>
          <w:color w:val="auto"/>
        </w:rPr>
        <w:t>When our communities or members face unexpected challenges, we are there to help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them make it through and emerge more resilient on the other side.</w:t>
      </w:r>
    </w:p>
    <w:p>
      <w:pPr>
        <w:spacing w:after="0" w:line="101" w:lineRule="exact"/>
        <w:rPr>
          <w:sz w:val="20"/>
          <w:szCs w:val="20"/>
          <w:color w:val="auto"/>
        </w:rPr>
      </w:pPr>
    </w:p>
    <w:p>
      <w:pPr>
        <w:ind w:left="660" w:right="160" w:hanging="328"/>
        <w:spacing w:after="0" w:line="268" w:lineRule="auto"/>
        <w:tabs>
          <w:tab w:leader="none" w:pos="65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Natural disaster relief. </w:t>
      </w:r>
      <w:r>
        <w:rPr>
          <w:rFonts w:ascii="Times New Roman" w:cs="Times New Roman" w:eastAsia="Times New Roman" w:hAnsi="Times New Roman"/>
          <w:sz w:val="18"/>
          <w:szCs w:val="18"/>
          <w:color w:val="auto"/>
        </w:rPr>
        <w:t>When a natural disaster hits one of our member communities, we activate our partnership with SBP®, a national natural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disaster relief organization founded in the wake of Hurricane Katrina. Chime members can access resources to help with home rebuilding assistance and navigating complicated processes like insurance claims.</w:t>
      </w:r>
    </w:p>
    <w:p>
      <w:pPr>
        <w:spacing w:after="0" w:line="116" w:lineRule="exact"/>
        <w:rPr>
          <w:rFonts w:ascii="Times New Roman" w:cs="Times New Roman" w:eastAsia="Times New Roman" w:hAnsi="Times New Roman"/>
          <w:sz w:val="18"/>
          <w:szCs w:val="18"/>
          <w:color w:val="auto"/>
        </w:rPr>
      </w:pPr>
    </w:p>
    <w:p>
      <w:pPr>
        <w:ind w:left="660" w:right="180" w:hanging="328"/>
        <w:spacing w:after="0" w:line="268" w:lineRule="auto"/>
        <w:tabs>
          <w:tab w:leader="none" w:pos="65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Job loss support. </w:t>
      </w:r>
      <w:r>
        <w:rPr>
          <w:rFonts w:ascii="Times New Roman" w:cs="Times New Roman" w:eastAsia="Times New Roman" w:hAnsi="Times New Roman"/>
          <w:sz w:val="18"/>
          <w:szCs w:val="18"/>
          <w:color w:val="auto"/>
        </w:rPr>
        <w:t>Missed paycheck deposits through Chime can signal individual member job loss. In the event of a missed deposit, we connect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members with unemployment insurance filing resources, and other likely available public benefits. We also share additional earnings opportunities within our broader business partner network, both gig and fulltime.</w:t>
      </w:r>
    </w:p>
    <w:p>
      <w:pPr>
        <w:spacing w:after="0" w:line="117" w:lineRule="exact"/>
        <w:rPr>
          <w:sz w:val="20"/>
          <w:szCs w:val="20"/>
          <w:color w:val="auto"/>
        </w:rPr>
      </w:pPr>
    </w:p>
    <w:p>
      <w:pPr>
        <w:ind w:right="6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Engaging local agents of change: Changemakers. </w:t>
      </w:r>
      <w:r>
        <w:rPr>
          <w:rFonts w:ascii="Times New Roman" w:cs="Times New Roman" w:eastAsia="Times New Roman" w:hAnsi="Times New Roman"/>
          <w:sz w:val="18"/>
          <w:szCs w:val="18"/>
          <w:color w:val="auto"/>
        </w:rPr>
        <w:t>To strengthen communities and help break down systemic barriers to financial progress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traditionally underserved communities, we invest in visionary up-and-coming local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17145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2" w:lineRule="exact"/>
        <w:rPr>
          <w:sz w:val="20"/>
          <w:szCs w:val="20"/>
          <w:color w:val="auto"/>
        </w:rPr>
      </w:pPr>
    </w:p>
    <w:p>
      <w:pPr>
        <w:ind w:left="340" w:hanging="332"/>
        <w:spacing w:after="0" w:line="302" w:lineRule="auto"/>
        <w:tabs>
          <w:tab w:leader="none" w:pos="343" w:val="left"/>
        </w:tabs>
        <w:numPr>
          <w:ilvl w:val="0"/>
          <w:numId w:val="11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Consumer Financial Protection Bureau, Offices of Markets and Consumer Population, Overdraft/NSF Revenue in 2023 down more than 50% versus pre-pandemic levels, saving consumers over $6 billion annually, April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180"/>
          </w:cols>
          <w:pgMar w:left="320" w:top="124" w:right="399" w:bottom="1440" w:gutter="0" w:footer="0" w:header="0"/>
        </w:sectPr>
      </w:pPr>
    </w:p>
    <w:bookmarkStart w:id="178" w:name="page179"/>
    <w:bookmarkEnd w:id="178"/>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leaders throughout the United States, providing them with funds, mentorship, and support to make a difference through our Chime In for Changemakers® program. Since our “Changemakers” program founding in 2022, we have provided hundreds of thousands of dollars in grants and in-kind technical assistance to Changemaker leaders across the private and public sectors.</w:t>
      </w:r>
    </w:p>
    <w:p>
      <w:pPr>
        <w:spacing w:after="0" w:line="118" w:lineRule="exact"/>
        <w:rPr>
          <w:sz w:val="20"/>
          <w:szCs w:val="20"/>
          <w:color w:val="auto"/>
        </w:rPr>
      </w:pPr>
    </w:p>
    <w:p>
      <w:pPr>
        <w:ind w:right="8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Chimer volunteerism. </w:t>
      </w:r>
      <w:r>
        <w:rPr>
          <w:rFonts w:ascii="Times New Roman" w:cs="Times New Roman" w:eastAsia="Times New Roman" w:hAnsi="Times New Roman"/>
          <w:sz w:val="18"/>
          <w:szCs w:val="18"/>
          <w:color w:val="auto"/>
        </w:rPr>
        <w:t>Chimers also engage and give back to the communities where we work, donating thousands of hours to the communities where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live and work in 2024. Each Chimer is granted two days for individual volunteering time each year, which they can use to support organizations they are passionate about, which in turn strengthens our mission and builds our reputation.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CULTURE AND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122555</wp:posOffset>
            </wp:positionV>
            <wp:extent cx="5349240" cy="30086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From the beginning, Chimers have worked tirelessly to out-hustle and out-execute competitors to build our business and bring our mission to life. Over a decade later, that same spirit manifests as a high-performance culture where every Chimer learns our values. Helping people along their financial journey is an honor and a privilege, and we are committed to earning our members’ trust and unlocking their financial progress.</w:t>
      </w:r>
    </w:p>
    <w:p>
      <w:pPr>
        <w:spacing w:after="0" w:line="122"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Our culture is dynamic and, in keeping with our roots, deeply entrepreneurial. Chimers are encouraged to see ourselves as owners of this company and stewards of our mission to unite everyday Americans to unlock their financial progress.</w:t>
      </w:r>
    </w:p>
    <w:p>
      <w:pPr>
        <w:spacing w:after="0" w:line="108"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At Chime, values are not just words on a wall or boilerplate on a job description; they are embedded in every part of our business, inspiring a member-obsessed and high-performance culture.</w:t>
      </w:r>
    </w:p>
    <w:p>
      <w:pPr>
        <w:spacing w:after="0" w:line="104" w:lineRule="exact"/>
        <w:rPr>
          <w:sz w:val="20"/>
          <w:szCs w:val="20"/>
          <w:color w:val="auto"/>
        </w:rPr>
      </w:pPr>
    </w:p>
    <w:p>
      <w:pPr>
        <w:ind w:right="1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Be Member-Obsessed… </w:t>
      </w:r>
      <w:r>
        <w:rPr>
          <w:rFonts w:ascii="Times New Roman" w:cs="Times New Roman" w:eastAsia="Times New Roman" w:hAnsi="Times New Roman"/>
          <w:sz w:val="18"/>
          <w:szCs w:val="18"/>
          <w:color w:val="auto"/>
        </w:rPr>
        <w:t>Everything we do at Chime is guided by a deep understanding of our members’ needs and a tireless commitment to earning,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keeping, and strengthening their trust.</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Be Bold… </w:t>
      </w:r>
      <w:r>
        <w:rPr>
          <w:rFonts w:ascii="Times New Roman" w:cs="Times New Roman" w:eastAsia="Times New Roman" w:hAnsi="Times New Roman"/>
          <w:sz w:val="18"/>
          <w:szCs w:val="18"/>
          <w:color w:val="auto"/>
        </w:rPr>
        <w:t>We have always had outsized ambitions and confidence that, if we innovate and hustle hard, we will achieve outsized success.</w:t>
      </w:r>
    </w:p>
    <w:p>
      <w:pPr>
        <w:spacing w:after="0" w:line="171" w:lineRule="exact"/>
        <w:rPr>
          <w:sz w:val="20"/>
          <w:szCs w:val="20"/>
          <w:color w:val="auto"/>
        </w:rPr>
      </w:pPr>
    </w:p>
    <w:p>
      <w:pPr>
        <w:ind w:right="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Win Together… </w:t>
      </w:r>
      <w:r>
        <w:rPr>
          <w:rFonts w:ascii="Times New Roman" w:cs="Times New Roman" w:eastAsia="Times New Roman" w:hAnsi="Times New Roman"/>
          <w:sz w:val="18"/>
          <w:szCs w:val="18"/>
          <w:color w:val="auto"/>
        </w:rPr>
        <w:t>We hire and retain incredibly talented people who share a Chime-first mentality. Working as one team, we strive to push each other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raise the bar and win.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220"/>
          </w:cols>
          <w:pgMar w:left="320" w:top="124" w:right="359" w:bottom="1440" w:gutter="0" w:footer="0" w:header="0"/>
        </w:sectPr>
      </w:pPr>
    </w:p>
    <w:bookmarkStart w:id="179" w:name="page180"/>
    <w:bookmarkEnd w:id="179"/>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Respect the Rules… </w:t>
      </w:r>
      <w:r>
        <w:rPr>
          <w:rFonts w:ascii="Times New Roman" w:cs="Times New Roman" w:eastAsia="Times New Roman" w:hAnsi="Times New Roman"/>
          <w:sz w:val="18"/>
          <w:szCs w:val="18"/>
          <w:color w:val="auto"/>
        </w:rPr>
        <w:t>Helping people along their financial journey is both a huge responsibility and a privilege. We take seriously our obligations to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members, regulators, partners, and the public.</w:t>
      </w:r>
    </w:p>
    <w:p>
      <w:pPr>
        <w:spacing w:after="0" w:line="101" w:lineRule="exact"/>
        <w:rPr>
          <w:sz w:val="20"/>
          <w:szCs w:val="20"/>
          <w:color w:val="auto"/>
        </w:rPr>
      </w:pPr>
    </w:p>
    <w:p>
      <w:pPr>
        <w:ind w:right="3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Be an Owner… </w:t>
      </w:r>
      <w:r>
        <w:rPr>
          <w:rFonts w:ascii="Times New Roman" w:cs="Times New Roman" w:eastAsia="Times New Roman" w:hAnsi="Times New Roman"/>
          <w:sz w:val="18"/>
          <w:szCs w:val="18"/>
          <w:color w:val="auto"/>
        </w:rPr>
        <w:t>We treat the company like it is our own. We work tirelessly to out-execute competitors and exceed goals, believing that we will 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benefit when we succeed.</w:t>
      </w:r>
    </w:p>
    <w:p>
      <w:pPr>
        <w:spacing w:after="0" w:line="105"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Our commitment to culture has been recognized by being named in Fortune’s Best Small &amp; Medium Workplaces in 2022, Inc’s Best Workplaces in 2022, and Forbes’ list of America’s Best Startup Employers in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EMPLOYEES</w:t>
      </w:r>
    </w:p>
    <w:p>
      <w:pPr>
        <w:spacing w:after="0" w:line="175"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Chimers come from diverse backgrounds that span engineering, design, financial services and banking, member service, data science, regulatory compliance, risk, and cybersecurity.</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2024, we had 1,442 Chimers across three offices, 47% of whom are San Francisco-based. Our workforce is:</w:t>
      </w:r>
    </w:p>
    <w:p>
      <w:pPr>
        <w:spacing w:after="0" w:line="167" w:lineRule="exact"/>
        <w:rPr>
          <w:sz w:val="20"/>
          <w:szCs w:val="20"/>
          <w:color w:val="auto"/>
        </w:rPr>
      </w:pPr>
    </w:p>
    <w:p>
      <w:pPr>
        <w:ind w:left="660" w:right="220" w:hanging="328"/>
        <w:spacing w:after="0" w:line="286" w:lineRule="auto"/>
        <w:tabs>
          <w:tab w:leader="none" w:pos="65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Ethnically and gender diverse, </w:t>
      </w:r>
      <w:r>
        <w:rPr>
          <w:rFonts w:ascii="Times New Roman" w:cs="Times New Roman" w:eastAsia="Times New Roman" w:hAnsi="Times New Roman"/>
          <w:sz w:val="18"/>
          <w:szCs w:val="18"/>
          <w:color w:val="auto"/>
        </w:rPr>
        <w:t>with 64% coming from diverse racial and ethnic backgrounds as of December 31, 2024. Our gender distribution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was 42% women and 54% men as of December 31, 2024.</w:t>
      </w:r>
    </w:p>
    <w:p>
      <w:pPr>
        <w:spacing w:after="0" w:line="100" w:lineRule="exact"/>
        <w:rPr>
          <w:rFonts w:ascii="Times New Roman" w:cs="Times New Roman" w:eastAsia="Times New Roman" w:hAnsi="Times New Roman"/>
          <w:sz w:val="18"/>
          <w:szCs w:val="18"/>
          <w:color w:val="auto"/>
        </w:rPr>
      </w:pPr>
    </w:p>
    <w:p>
      <w:pPr>
        <w:ind w:left="660" w:right="660" w:hanging="328"/>
        <w:spacing w:after="0" w:line="286" w:lineRule="auto"/>
        <w:tabs>
          <w:tab w:leader="none" w:pos="65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Focused on innovation and impact, </w:t>
      </w:r>
      <w:r>
        <w:rPr>
          <w:rFonts w:ascii="Times New Roman" w:cs="Times New Roman" w:eastAsia="Times New Roman" w:hAnsi="Times New Roman"/>
          <w:sz w:val="18"/>
          <w:szCs w:val="18"/>
          <w:color w:val="auto"/>
        </w:rPr>
        <w:t>with over half of our organization in Technology and Data &amp; AI, where they are building innovative,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member-centric products and solutions to help our members unlock financial progress.</w:t>
      </w:r>
    </w:p>
    <w:p>
      <w:pPr>
        <w:spacing w:after="0" w:line="105"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Over a decade in, Chime is still founder-led, with Chris Britt, our Chief Executive Officer and Chairman, running day-to-day strategy and operations, and our co-founder Ryan King leading our product development and technology organizations. Our co-founders are backed by a talented executive leadership team that bring experience from both public and private sectors, from Fortune 100s to the largest technology companies, from growth stage to post-IPO. Our executives share a steadfast dedication to our mission.</w:t>
      </w:r>
    </w:p>
    <w:p>
      <w:pPr>
        <w:spacing w:after="0" w:line="126"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are proud of the caliber of talent we have at every level of our organization and believe that our people are one of our key drivers of our continued growth and success. We focus on attracting, retaining, and developing talented and skilled employees. Management regularly reports to our board of directors on people-management topics, including corporate culture, diversity and inclusion, compensation and benefits, employee hiring, development and retention, and succession planning. Our board’s people, compensation, and culture committee provides input on important decisions with respect to talent retention and development, compensation, and benefits.</w:t>
      </w:r>
    </w:p>
    <w:p>
      <w:pPr>
        <w:spacing w:after="0" w:line="1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have a high-performance culture in large part because our employees see themselves as owners of our business. We reinforce that — and align their interests with stockholders — by providing equity incentives to our employees through the grant of stock options and RSUs under our equity incentive plan. We also provide cash-based performance bonus awards to our employees. We believe these incentive programs allow us to be competitive with comparable companies in our industry.</w:t>
      </w:r>
    </w:p>
    <w:p>
      <w:pPr>
        <w:spacing w:after="0" w:line="126"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also provide competitive health, wellness and retirement benefits for our employees, including medical, dental, vision, life insurance, paid time off, various voluntary insurance programs, and our 401(k) retirement plan. We believe that these benefits enhance our employees’ productivity, ensure they can focus on delivering the best products for our members, and strengthen their loyalty to Chime. Furthermore, our employee assistance program offers employees information, referrals, and short-term counseling for personal issues affecting their work or personal life in order to help protect their physical, emotional, and financial well-being.</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believe the traditional banking system has not effectively served everyday Americans, most of whom live paycheck-to-paycheck and often have more modest account balances and limited credit histories. Traditional banks rely on a net interest margin-based business model with approximately 70% of their revenue coming from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240"/>
          </w:cols>
          <w:pgMar w:left="320" w:top="124" w:right="339" w:bottom="1440" w:gutter="0" w:footer="0" w:header="0"/>
        </w:sectPr>
      </w:pPr>
    </w:p>
    <w:bookmarkStart w:id="180" w:name="page181"/>
    <w:bookmarkEnd w:id="180"/>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18"/>
          <w:szCs w:val="18"/>
          <w:color w:val="auto"/>
        </w:rPr>
        <w:t>deposits and lending.</w:t>
      </w:r>
      <w:r>
        <w:rPr>
          <w:rFonts w:ascii="Times New Roman" w:cs="Times New Roman" w:eastAsia="Times New Roman" w:hAnsi="Times New Roman"/>
          <w:sz w:val="23"/>
          <w:szCs w:val="23"/>
          <w:color w:val="auto"/>
          <w:vertAlign w:val="superscript"/>
        </w:rPr>
        <w:t>138</w:t>
      </w:r>
      <w:r>
        <w:rPr>
          <w:rFonts w:ascii="Times New Roman" w:cs="Times New Roman" w:eastAsia="Times New Roman" w:hAnsi="Times New Roman"/>
          <w:sz w:val="18"/>
          <w:szCs w:val="18"/>
          <w:color w:val="auto"/>
        </w:rPr>
        <w:t xml:space="preserve"> Even if traditional banks were to focus on serving the core needs of everyday Americans, they are structurally limited due to rigid, high-cost business models, driven by their physical branch infrastructure and in-person delivery approach. We have taken a fundamentally different approach to serving everyday Americans based on our radical cost-to-serve advantage and member-alignment, designing our business to develop primary account relationships with our members and establish Chime as their central financial hub. 85% of new members who direct deposit through Chime came from an existing direct deposit relationship, most commonly with large incumbent banks.</w:t>
      </w:r>
      <w:r>
        <w:rPr>
          <w:rFonts w:ascii="Times New Roman" w:cs="Times New Roman" w:eastAsia="Times New Roman" w:hAnsi="Times New Roman"/>
          <w:sz w:val="23"/>
          <w:szCs w:val="23"/>
          <w:color w:val="auto"/>
          <w:vertAlign w:val="superscript"/>
        </w:rPr>
        <w:t>139</w:t>
      </w:r>
      <w:r>
        <w:rPr>
          <w:rFonts w:ascii="Times New Roman" w:cs="Times New Roman" w:eastAsia="Times New Roman" w:hAnsi="Times New Roman"/>
          <w:sz w:val="18"/>
          <w:szCs w:val="18"/>
          <w:color w:val="auto"/>
        </w:rPr>
        <w:t xml:space="preserve"> As such, we view our main competition as these traditional banks, including Bank of America, Capital One, Citibank, J.P. Morgan Chase, PNC Bank, and Wells Fargo. We also compete with online-only financial institutions, such as Ally, Discover, and SoFi.</w:t>
      </w:r>
    </w:p>
    <w:p>
      <w:pPr>
        <w:spacing w:after="0" w:line="14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also face competition from financial technology companies that offer or facilitate bank accounts, payments, and liquidity services, including Affirm and PayPal and offerings such as Cash App. Although certain financial technology companies or offerings provide some comparable products, we believe many financial technology companies are predominantly known for single point solutions. Further, we believe many neobanks or smaller financial technology companies do not possess a scale of customer base to represent material competition to us. We believe that we compete favorably with financial technology competitors because we are building long-lasting and deep, multi-product relationships to advance our members’ financial journeys and our members are likely to associate us with a breadth of their financial needs rather than a single point solution.</w:t>
      </w:r>
    </w:p>
    <w:p>
      <w:pPr>
        <w:spacing w:after="0" w:line="133"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We expect continued competition from these types of current competitors, including as traditional banks attempt to replicate our product offerings, and as well as from new market entrants or financial technology companies expanding their offerings or customer bases.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that the principal competitive factors in our market include:</w:t>
      </w:r>
    </w:p>
    <w:p>
      <w:pPr>
        <w:spacing w:after="0" w:line="171" w:lineRule="exact"/>
        <w:rPr>
          <w:sz w:val="20"/>
          <w:szCs w:val="20"/>
          <w:color w:val="auto"/>
        </w:rPr>
      </w:pPr>
    </w:p>
    <w:p>
      <w:pPr>
        <w:ind w:left="660" w:hanging="328"/>
        <w:spacing w:after="0"/>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attract, engage and retain members in a primary financial relationship;</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effectively serve the needs of everyday Americans;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deliver innovation and new products and services (in particular related to liquidity and credit building);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reliability and efficiency of the underlying technology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efficient cost structure to enable delivery of free or low-cost financial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financial technology companies, quality, number and strength of bank partner relationships;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recognized and trusted brand;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quality customer support;</w:t>
      </w:r>
    </w:p>
    <w:p>
      <w:pPr>
        <w:spacing w:after="0" w:line="171"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manage risk effectively, including access to first-party data and the ability to effectively use such data to inform determinations regarding the availability and scale of liquidity products;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a proactive and robust compliance framework.</w:t>
      </w:r>
    </w:p>
    <w:p>
      <w:pPr>
        <w:spacing w:after="0" w:line="171"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We believe that we compete favorably across the competitive factors in our market. Some of our competitors and potential competitors are larger and have one or more of the following: greater brand name recognition, longer operating histories, larger marketing budgets, greater market share in certain markets, and greater resources for the development of their offerings. Nonetheless, we believe that our dedicated focus on everyday Americans and competitive advantages will enable us to continue to capture an increasing share of our addressable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17145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23" w:lineRule="exact"/>
        <w:rPr>
          <w:sz w:val="20"/>
          <w:szCs w:val="20"/>
          <w:color w:val="auto"/>
        </w:rPr>
      </w:pPr>
    </w:p>
    <w:p>
      <w:pPr>
        <w:ind w:left="340" w:hanging="332"/>
        <w:spacing w:after="0"/>
        <w:tabs>
          <w:tab w:leader="none" w:pos="340" w:val="left"/>
        </w:tabs>
        <w:numPr>
          <w:ilvl w:val="0"/>
          <w:numId w:val="11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S&amp;P Capital IQ Pro. Based on 2023 submissions from banking institutions to the Federal Financial Institutions Examination Council (FFIEC).</w:t>
      </w:r>
    </w:p>
    <w:p>
      <w:pPr>
        <w:spacing w:after="0" w:line="27" w:lineRule="exact"/>
        <w:rPr>
          <w:rFonts w:ascii="Times New Roman" w:cs="Times New Roman" w:eastAsia="Times New Roman" w:hAnsi="Times New Roman"/>
          <w:sz w:val="9"/>
          <w:szCs w:val="9"/>
          <w:color w:val="auto"/>
        </w:rPr>
      </w:pPr>
    </w:p>
    <w:p>
      <w:pPr>
        <w:ind w:left="340" w:right="140" w:hanging="332"/>
        <w:spacing w:after="0" w:line="221" w:lineRule="auto"/>
        <w:tabs>
          <w:tab w:leader="none" w:pos="320" w:val="left"/>
        </w:tabs>
        <w:numPr>
          <w:ilvl w:val="0"/>
          <w:numId w:val="1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Existing direct deposit relationship includes previously direct depositing with national banks, credit unions, regional banks, online financial services platforms, prepaid cards and payment apps. Based on Enrollment Surveys conducted from January through December 2024; see the section titled “Industry, Market, and Other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200"/>
          </w:cols>
          <w:pgMar w:left="320" w:top="124" w:right="379" w:bottom="1440" w:gutter="0" w:footer="0" w:header="0"/>
        </w:sectPr>
      </w:pPr>
    </w:p>
    <w:bookmarkStart w:id="181" w:name="page182"/>
    <w:bookmarkEnd w:id="181"/>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For additional information about the risks to our business related to competition, see the section titled “Risk Factors—Risks Related to Our Business— We face substantial and intense competition in our industry which may adversely affect our business, financial condition, and 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 PARTNERSHIPS</w:t>
      </w:r>
    </w:p>
    <w:p>
      <w:pPr>
        <w:spacing w:after="0" w:line="175"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Our business model is rooted in our partnerships with two OCC-regulated, FDIC-insured national banks: The Bancorp Bank, N.A. (“Bancorp”) and Stride Bank, N.A. (“Stride”). We see our bank partnership model as central to fulfilling our mission of uniting everyday people to unlock their financial progress. Our partnership model has contributed to industry-wide innovation, benefiting millions of members, and providing our bank partners with a low-cost deposit base to compete against larger banks.</w:t>
      </w:r>
    </w:p>
    <w:p>
      <w:pPr>
        <w:spacing w:after="0" w:line="126"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We believe that well-structured and properly managed bank partnership models like ours play an important role in strengthening, and innovating within, the U.S. financial services ecosystem. Some of the most important structural elements of our bank partnership model are:</w:t>
      </w:r>
    </w:p>
    <w:p>
      <w:pPr>
        <w:spacing w:after="0" w:line="104" w:lineRule="exact"/>
        <w:rPr>
          <w:sz w:val="20"/>
          <w:szCs w:val="20"/>
          <w:color w:val="auto"/>
        </w:rPr>
      </w:pPr>
    </w:p>
    <w:p>
      <w:pPr>
        <w:ind w:left="660" w:right="80" w:hanging="328"/>
        <w:spacing w:after="0" w:line="286" w:lineRule="auto"/>
        <w:tabs>
          <w:tab w:leader="none" w:pos="65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Direct relationships between Chime and our bank partners. </w:t>
      </w:r>
      <w:r>
        <w:rPr>
          <w:rFonts w:ascii="Times New Roman" w:cs="Times New Roman" w:eastAsia="Times New Roman" w:hAnsi="Times New Roman"/>
          <w:sz w:val="18"/>
          <w:szCs w:val="18"/>
          <w:color w:val="auto"/>
        </w:rPr>
        <w:t>We have direct contractual relationships with our bank partners. These relationships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allow for clearly defined responsibilities and facilitates strong oversight between Chime and our bank partners.</w:t>
      </w:r>
    </w:p>
    <w:p>
      <w:pPr>
        <w:spacing w:after="0" w:line="100" w:lineRule="exact"/>
        <w:rPr>
          <w:rFonts w:ascii="Times New Roman" w:cs="Times New Roman" w:eastAsia="Times New Roman" w:hAnsi="Times New Roman"/>
          <w:sz w:val="18"/>
          <w:szCs w:val="18"/>
          <w:color w:val="auto"/>
        </w:rPr>
      </w:pPr>
    </w:p>
    <w:p>
      <w:pPr>
        <w:ind w:left="660" w:hanging="328"/>
        <w:spacing w:after="0" w:line="273" w:lineRule="auto"/>
        <w:tabs>
          <w:tab w:leader="none" w:pos="655"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Direct relationships between our members and our bank partners. </w:t>
      </w:r>
      <w:r>
        <w:rPr>
          <w:rFonts w:ascii="Times New Roman" w:cs="Times New Roman" w:eastAsia="Times New Roman" w:hAnsi="Times New Roman"/>
          <w:sz w:val="17"/>
          <w:szCs w:val="17"/>
          <w:color w:val="auto"/>
        </w:rPr>
        <w:t>When a member establishes a checking or savings account, the member enters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into a deposit account agreement directly with one of our bank partners governing the bank deposit services provided by the bank partner to the member. All Chime members’ deposits are either held in an omnibus account (a deposit account established for the benefit of multiple beneficial owners) at each bank partner, for the benefit of the member, with respect to checking accounts, or swept into interest-bearing deposit accounts at other FDIC-insured banks that participate in the community deposit sweep program, with respect to savings accounts. In both instances, the deposits are intended to be covered by FDIC pass-through insurance up to the applicable maximum deposit insurance amount. For other products provided by our bank partners, such as MyPay, members also enter into applicable agreements directly with one of our bank partners.</w:t>
      </w:r>
    </w:p>
    <w:p>
      <w:pPr>
        <w:spacing w:after="0" w:line="117" w:lineRule="exact"/>
        <w:rPr>
          <w:rFonts w:ascii="Times New Roman" w:cs="Times New Roman" w:eastAsia="Times New Roman" w:hAnsi="Times New Roman"/>
          <w:sz w:val="17"/>
          <w:szCs w:val="17"/>
          <w:color w:val="auto"/>
        </w:rPr>
      </w:pPr>
    </w:p>
    <w:p>
      <w:pPr>
        <w:ind w:left="660" w:right="40" w:hanging="328"/>
        <w:spacing w:after="0" w:line="262" w:lineRule="auto"/>
        <w:tabs>
          <w:tab w:leader="none" w:pos="65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Member funds held directly by banks. </w:t>
      </w:r>
      <w:r>
        <w:rPr>
          <w:rFonts w:ascii="Times New Roman" w:cs="Times New Roman" w:eastAsia="Times New Roman" w:hAnsi="Times New Roman"/>
          <w:sz w:val="18"/>
          <w:szCs w:val="18"/>
          <w:color w:val="auto"/>
        </w:rPr>
        <w:t>At no point are member checking, savings, or secured credit card funds held in a Chime owned account,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titled in Chime’s name, or controlled by Chime. Funds are held by our bank partners or, for savings accounts, are swept by our bank partners to accounts at community deposit sweep program banks, and members receive their own account numbers with respect to their checking and savings accounts.</w:t>
      </w:r>
    </w:p>
    <w:p>
      <w:pPr>
        <w:spacing w:after="0" w:line="122"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5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Daily reconciliation and strong ledgering. </w:t>
      </w:r>
      <w:r>
        <w:rPr>
          <w:rFonts w:ascii="Times New Roman" w:cs="Times New Roman" w:eastAsia="Times New Roman" w:hAnsi="Times New Roman"/>
          <w:sz w:val="18"/>
          <w:szCs w:val="18"/>
          <w:color w:val="auto"/>
        </w:rPr>
        <w:t>We maintain rigorous and detailed account ledgers for our members, which are reconciled daily by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bank partners. These practices are designed to facilitate accurate recordkeeping and maximize transparency between us and our bank partners.</w:t>
      </w:r>
    </w:p>
    <w:p>
      <w:pPr>
        <w:spacing w:after="0" w:line="100" w:lineRule="exact"/>
        <w:rPr>
          <w:rFonts w:ascii="Times New Roman" w:cs="Times New Roman" w:eastAsia="Times New Roman" w:hAnsi="Times New Roman"/>
          <w:sz w:val="18"/>
          <w:szCs w:val="18"/>
          <w:color w:val="auto"/>
        </w:rPr>
      </w:pPr>
    </w:p>
    <w:p>
      <w:pPr>
        <w:jc w:val="both"/>
        <w:ind w:left="660" w:right="460" w:hanging="328"/>
        <w:spacing w:after="0" w:line="268" w:lineRule="auto"/>
        <w:tabs>
          <w:tab w:leader="none" w:pos="65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Robust risk management and compliance functions. </w:t>
      </w:r>
      <w:r>
        <w:rPr>
          <w:rFonts w:ascii="Times New Roman" w:cs="Times New Roman" w:eastAsia="Times New Roman" w:hAnsi="Times New Roman"/>
          <w:sz w:val="18"/>
          <w:szCs w:val="18"/>
          <w:color w:val="auto"/>
        </w:rPr>
        <w:t>We and our bank partners emphasize a shared focus on a strong risk management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compliance culture. We are subject to, and cooperate fully with, each of our bank partners’ third-party risk management programs, and these programs are in turn subject to the OCC’s supervisory processes.</w:t>
      </w:r>
    </w:p>
    <w:p>
      <w:pPr>
        <w:spacing w:after="0" w:line="121"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Our bank partnership model is structured around responsible management and member protection. Our partnerships are premised on clear roles and responsibilities and frequent communication across business-critical functions. We believe this structure both enhances our compliance and risk management and supports our long-term growth.</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Our Direct Partnership Model Works</w:t>
      </w:r>
    </w:p>
    <w:p>
      <w:pPr>
        <w:spacing w:after="0" w:line="175"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Our direct partnership model allows us to provide our members with access to our bank partners’ products and services such as full-featured, FDIC-insured checking accounts and high yield savings accounts, as well as debit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220"/>
          </w:cols>
          <w:pgMar w:left="320" w:top="124" w:right="359" w:bottom="1440" w:gutter="0" w:footer="0" w:header="0"/>
        </w:sectPr>
      </w:pPr>
    </w:p>
    <w:bookmarkStart w:id="182" w:name="page183"/>
    <w:bookmarkEnd w:id="182"/>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cards, secured credit cards, consumer loans, and essential financial network connectivity, including card and ATM networks and ACH services for payments, transfers, and 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80010</wp:posOffset>
            </wp:positionV>
            <wp:extent cx="5349240" cy="30086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We design, implement, and manage innovative banking products that deliver value to our members, collaborating closely with our bank partners at every step and focusing on compliance with all applicable rules and policies. We deliver valuable business insights and data-driven forecasts to our bank partners, fostering mutual transparency, effective risk management, and robust operational resilience.</w:t>
      </w:r>
    </w:p>
    <w:p>
      <w:pPr>
        <w:spacing w:after="0" w:line="12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bank partners benefit from inexpensive access to deposits, allowing them to increase and diversify their income. In return, Chime earns interchange-based fees, fees from access to out-of-network ATMs, MyPay instant transfer fees, net revenue based on high-yield savings balances, voluntary SpotMe tips, and fees from cash deposits made at locations outside our free network. The community deposit sweep program helps our bank partners manage their balance sheets and liquidity while contributing to the net revenue Chime earns based on high-yield savings balances. Under the terms of our applicable contractual agreements with each bank partner, earned interest on member deposits placed in the community deposit sweep program is passed to us, which we recognize as revenue, net of the interest paid to our members. Our bank partnerships are key to our growth, providing ample committed balance sheet support for the products offered through our platform at attractive pricing and operational support to efficiently scale as we expand our product offerings.</w:t>
      </w:r>
    </w:p>
    <w:p>
      <w:pPr>
        <w:spacing w:after="0" w:line="138"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In general, for each product provided by a bank partner that is offered through our platform, the product is provided to a member by either one of our bank partners. When we initially launch a new product, we have in the past and may continue to trial the product with only one bank partner before launching with both of our bank partners. Currently, all products provided by a bank partner through our platform can be provided by either of our bank partners, with the exception of Instant Loans, which is in beta and only offered through Bancorp to select members with accounts at Bancorp.</w:t>
      </w:r>
    </w:p>
    <w:p>
      <w:pPr>
        <w:spacing w:after="0" w:line="126"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While we may determine the overall allocation of member accounts to each bank partner, with respect to individual member accounts, a Chime member is randomly allocated between our bank partners upon sign-up. A slight majority of the total number of active accounts, including a majority of debit accounts and savings accounts, were held at Bancorp as of December 31, 2024. In addition, a substantial majority of our members’ secured deposit accounts were held at Stride as of December 31, 2024 because Credit Builder was initially launched with Stride before later launching with Bancorp. Members know which bank partner their accounts are with because they sign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220"/>
          </w:cols>
          <w:pgMar w:left="320" w:top="124" w:right="359" w:bottom="1440" w:gutter="0" w:footer="0" w:header="0"/>
        </w:sectPr>
      </w:pPr>
    </w:p>
    <w:bookmarkStart w:id="183" w:name="page184"/>
    <w:bookmarkEnd w:id="183"/>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member agreement directly with such bank and see the bank listed directly on their bank statements. Additionally, members can see their account numbers on their bank statements or within the Chime app. In general, once a member holds an account with one of our bank partners, any additional products would be offered to the member by that same bank partner, with certain exceptions related to new product launches. For example, when Credit Builder launched, it was initially available to members from only one bank partner, so if a member held their account with the other bank partner but sought to sign up for Credit Builder, the member would have received a prompt to establish an additional account related to Credit Builder with the providing bank partner. Collaborating with two banks gives us a competitive advantage by allowing us to offer products through multiple channels while reducing reliance on a single bank partner. This approach enhances our risk management and enables us to negotiate better terms for Chime and our members.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Accuracy of Member Records</w:t>
      </w:r>
    </w:p>
    <w:p>
      <w:pPr>
        <w:spacing w:after="0" w:line="175"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conduct daily reconciliations of ChimeCore against transaction information provided by third-party partners that we work with to ensure the completeness and accuracy of transaction processing. In addition, our bank partners access information from ChimeCore that allows them to conduct reconciliations, including matching of transactions and formal account reconciliations at the omnibus account level. With respect to transactions processed on a third-party processor rather than ChimeCore, our bank partners also access information that allows them to conduct reconciliations, including matching of transactions and formal account reconciliations at the omnibus account level. We have access to such information as well, review our bank partners’ reconciliation, and also conduct reconciliation of records. Further, our bank partners provide us with specific details on the balances at each participating bank in the community deposit sweep program on a monthly basis. Any unexpected variances with respect to any of the foregoing are resolved with our bank partners based on standard banking practices.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Agreements with Our Bank Partners</w:t>
      </w:r>
    </w:p>
    <w:p>
      <w:pPr>
        <w:spacing w:after="0" w:line="17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Our bank partnerships have been durable and mutually beneficial. We have partnered with Bancorp since 2013, primarily under a master services agreement (as amended, the “Bancorp MSA”) that includes programs like Credit Builder, SpotMe, and Pay Anyone. This Bancorp MSA has an initial five-year term ending in July 2028 and automatically renews for successive one-year periods unless either party provides written notice of non-renewal, which may be provided without cause to the other party at least 365 days prior to the end of any such term, or unless earlier terminated for cause. Upon the occurrence of certain early termination events, either we or Bancorp may terminate the agreement immediately upon written notice to the other party, subject to certain fees that may be owed by Chime. In addition to the Bancorp MSA and its addenda, we and/or our subsidiaries are party to certain other agreements with Bancorp, including agreements that relate to consumer credit programs, such as MyPay, and processing and ACH services as required by our other agreements with Bancorp.</w:t>
      </w:r>
    </w:p>
    <w:p>
      <w:pPr>
        <w:spacing w:after="0" w:line="13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Since 2019, we have worked with Stride, currently under two main agreements: an amended and restated agreement covering debit card issuance and private label checking and savings accounts (the “Debit Agreement”), and a secured credit card issuing and marketing agreement for secured credit card programs (as amended, the “Credit Agreement” and together with the Debit Agreement, the “Stride Agreements”). These Stride Agreements have an initial 36-month term ending in November 2025 and automatically renew for successive 12-month periods unless either party provides written notice of non-renewal, which may be provided without cause to the other party at least 180 days prior to the end of any such term, or unless earlier terminated for cause. Upon the occurrence of certain early termination events, either we or Stride may terminate the agreement immediately upon written notice to the other party, subject to certain fees that may be owed by either party. In addition to the Stride Agreements and their addenda, we and/or our subsidiaries are party to certain other agreements with Stride, including agreements that relate to consumer credit programs, such as MyPay, and processing and ACH services as required by the Debit Agreement with Stride.</w:t>
      </w:r>
    </w:p>
    <w:p>
      <w:pPr>
        <w:spacing w:after="0" w:line="134" w:lineRule="exact"/>
        <w:rPr>
          <w:sz w:val="20"/>
          <w:szCs w:val="20"/>
          <w:color w:val="auto"/>
        </w:rPr>
      </w:pPr>
    </w:p>
    <w:p>
      <w:pPr>
        <w:ind w:right="440" w:firstLine="324"/>
        <w:spacing w:after="0" w:line="266" w:lineRule="auto"/>
        <w:rPr>
          <w:sz w:val="20"/>
          <w:szCs w:val="20"/>
          <w:color w:val="auto"/>
        </w:rPr>
      </w:pPr>
      <w:r>
        <w:rPr>
          <w:rFonts w:ascii="Times New Roman" w:cs="Times New Roman" w:eastAsia="Times New Roman" w:hAnsi="Times New Roman"/>
          <w:sz w:val="18"/>
          <w:szCs w:val="18"/>
          <w:color w:val="auto"/>
        </w:rPr>
        <w:t>Under the terms of the Bancorp MSA and the Stride Agreements, our bank partners have the right to supervise, oversee, monitor, and review our performance, and we have to support their compliance with applicable laws and regulations, including those related to privacy, data protection, data security, consumer protection, the Bank Secrecy Act, and anti-money laundering and customer identification program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200"/>
          </w:cols>
          <w:pgMar w:left="320" w:top="124" w:right="379" w:bottom="1440" w:gutter="0" w:footer="0" w:header="0"/>
        </w:sectPr>
      </w:pPr>
    </w:p>
    <w:bookmarkStart w:id="184" w:name="page185"/>
    <w:bookmarkEnd w:id="184"/>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Scalability and Growth</w:t>
      </w:r>
    </w:p>
    <w:p>
      <w:pPr>
        <w:spacing w:after="0" w:line="175" w:lineRule="exact"/>
        <w:rPr>
          <w:sz w:val="20"/>
          <w:szCs w:val="20"/>
          <w:color w:val="auto"/>
        </w:rPr>
      </w:pPr>
    </w:p>
    <w:p>
      <w:pPr>
        <w:jc w:val="both"/>
        <w:ind w:right="180" w:firstLine="324"/>
        <w:spacing w:after="0" w:line="261" w:lineRule="auto"/>
        <w:rPr>
          <w:sz w:val="20"/>
          <w:szCs w:val="20"/>
          <w:color w:val="auto"/>
        </w:rPr>
      </w:pPr>
      <w:r>
        <w:rPr>
          <w:rFonts w:ascii="Times New Roman" w:cs="Times New Roman" w:eastAsia="Times New Roman" w:hAnsi="Times New Roman"/>
          <w:sz w:val="18"/>
          <w:szCs w:val="18"/>
          <w:color w:val="auto"/>
        </w:rPr>
        <w:t>Importantly, our arrangements with Bancorp and Stride do not limit our ability to scale and expand our market share. Our existing agreements do not prevent us from working with other or additional banks to provide similar services. We have the flexibility to continue adding bank partners if we believe that such additions would benefit Chime or our members. Neither the Bancorp MSA nor the Stride Agreements prohibit our bank partners from working with our competitors or from offering competing programs.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ENVIRONMENT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We operate in a complex regulatory environment. Our business is subject to a wide variety of local, state, and federal laws, regulations, licensing regimes, and industry standards, which we refer to collectively as laws and regulations. These laws and regulations govern numerous areas that are important to our business, and include, or may in the future include, those relating to banking, consumer protection, interchange fees, lending, debt collection, money transmission, payments services, anti-money laundering, international sanctions regimes, privacy, data protection, and data security. We are impacted by these laws and regulations both directly and indirectly, including by way of our partnerships with Bancorp and Stride.</w:t>
      </w:r>
    </w:p>
    <w:p>
      <w:pPr>
        <w:spacing w:after="0" w:line="1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closely monitor the laws and regulations applicable to our business and maintain and innovate products and services that comply with the laws and regulations that currently impact, or may in the future impact, our business. For example, we analyze state licensing requirements applicable to the products offered to members through our platform. Currently, Chime offers the following products in all 50 states: checking accounts, including Chime-branded debit cards, Pay Anyone, SpotMe, and Credit Builder secured credit cards. Certain newer products, such as MyPay, are not yet available in all 50 states.</w:t>
      </w:r>
    </w:p>
    <w:p>
      <w:pPr>
        <w:spacing w:after="0" w:line="126"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Consistent with our core value of respecting the rules, we have invested in a robust government and public affairs team focused on developing and maintaining strong relationships with policymakers and regulators, staying on top of regulatory developments, and advocating on behalf of Chime and our members.</w:t>
      </w:r>
    </w:p>
    <w:p>
      <w:pPr>
        <w:spacing w:after="0" w:line="122"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In the future, we could become subject to additional requirements if laws or regulations change in the jurisdictions in which we operate, if we release new products or services that implicate laws or regulations to which we are not currently subject today, or if we expand to additional jurisdictions that impose new legal or regulatory requirements. In addition, the regulatory framework for our products and services is evolving as federal and state governments, regulators, and courts consider the application of existing laws and potential adoption of new laws or regulations. Although certain of the products and services that we offer have been industry firsts and may be new to the market, we are typically required to comply with the traditional legal and regulatory regimes for consumer financial products and services. New laws and regulations, as well as uncertainty regarding the application of existing laws and regulations to our products and services, may negatively affect our business. This could include the need to obtain new or different types of licenses or comply with additional laws and regulations in order to conduct our business, which may require significant financial and human resources. For additional information relating to the regulation of our business, see the risks in the section titled “Risk Factors—Risks Related to Regulatory and Legal Matters.”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of Our Bank Partnership Model</w:t>
      </w:r>
    </w:p>
    <w:p>
      <w:pPr>
        <w:spacing w:after="0" w:line="175"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Bancorp and Stride are chartered as national banks and subject to regulation and supervision by the Office of the Comptroller of the Currency (“OCC”), as well as subject to other regulations including those promulgated by the Financial Crimes Enforcement Network (“FinCEN”), Federal Deposit Insurance Corporation (“FDIC”), the Federal Reserve, and the Consumer Financial Protection Bureau (“CFPB”). As a program manager and under contractual obligations to our bank partners, we develop and provide a platform to help our members achieve financial progress and select the banks we partner with to provide this platform to our members. As part of this relationship, we provide member support, including those related to card issuance and technology features, to members using their accounts through the platform. While the banks ultimately approve each program, we, as program managers, can configure the program design, negotiate key terms, and select certain vendors, subject to the requirements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240"/>
          </w:cols>
          <w:pgMar w:left="320" w:top="124" w:right="339" w:bottom="1440" w:gutter="0" w:footer="0" w:header="0"/>
        </w:sectPr>
      </w:pPr>
    </w:p>
    <w:bookmarkStart w:id="185" w:name="page186"/>
    <w:bookmarkEnd w:id="185"/>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banks and applicable card networks. Our contracts with our bank partners entitle Chime to receive from such banks the fees generated from these card programs, less costs associated with our members’ transactions and certain fixed fees — either a percentage of the purchase volume or a set fee per transaction.</w:t>
      </w:r>
    </w:p>
    <w:p>
      <w:pPr>
        <w:spacing w:after="0" w:line="122" w:lineRule="exact"/>
        <w:rPr>
          <w:sz w:val="20"/>
          <w:szCs w:val="20"/>
          <w:color w:val="auto"/>
        </w:rPr>
      </w:pPr>
    </w:p>
    <w:p>
      <w:pPr>
        <w:ind w:right="20" w:firstLine="324"/>
        <w:spacing w:after="0" w:line="251" w:lineRule="auto"/>
        <w:rPr>
          <w:sz w:val="20"/>
          <w:szCs w:val="20"/>
          <w:color w:val="auto"/>
        </w:rPr>
      </w:pPr>
      <w:r>
        <w:rPr>
          <w:rFonts w:ascii="Times New Roman" w:cs="Times New Roman" w:eastAsia="Times New Roman" w:hAnsi="Times New Roman"/>
          <w:sz w:val="18"/>
          <w:szCs w:val="18"/>
          <w:color w:val="auto"/>
        </w:rPr>
        <w:t>Given our bank partnership model, we are subject to a variety of laws and regulations, including certain laws and regulations which may apply to us because of our contractual relationships with our bank partners. The Federal banking agencies (Federal Reserve, OCC and FDIC) have well established guidance for banks and their third-party service providers, which they updated in 2023. This guidance applies directly to Chime and our partner banks relative to the totality of our bank partner relationships, including planning, contracts, strategies and goals, financial condition, risk management, information security and systems, operational resilience, audit rights, and performance benchmarks. In addition to supervisory authority over regulated banks, bank regulators have the authority to directly examine banks’ service providers to the same extent they examine a bank, including through onsite examination, under the Bank Service Company Act (“BSCA”). Given our bank partnership model, direct examination of Chime is possible should regulators exercise their authorities under the BSCA. All Chime members’ deposits are intended to be covered by FDIC insurance up to the applicable maximum deposit insurance amount through our bank partners. To ensure these deposits are insured by the FDIC on a pass-through basis, we, our bank partners, and community deposit sweep program banks must meet certain conditions established by the FDIC, such as having policies and procedures to appropriately maintain records of members’ actual ownership of funds and to ensure that deposit account records and titling of the accounts reflect that funds are held for the benefit of our members. “Pass-through” deposit insurance coverage means our partnerships with banks are designed such that deposits placed at our bank partners and at community deposit sweep program banks through the community deposit sweep program on behalf of our members are insured as if deposited directly at those banks by our members. Pass-through insurance allows each member to be separately insured up to the applicable maximum deposit insurance amount. The deposit account offerings through our platform are held directly with our bank partners, and we believe these offerings currently comply, and will continue to comply with all applicable requirements for each eligible member’s deposits to be covered by FDIC insurance, up to the applicable maximum deposit insurance amount. Through our platform, our members access checking accounts, in which funds are held by each of our bank partners in an omnibus account (a deposit account established for the benefit of multiple beneficial owners) on their books for the benefit of our members, as well as savings accounts that are part of our community deposit sweep program, in which funds are swept into interest-bearing deposit accounts at other FDIC-insured banks that participate in the sweep program. We maintain rigorous and detailed account ledgers for our members, which are reconciled daily by our bank partners. Chime is also subject to applicable regulations by the FDIC and CFPB regarding official signs and advertising requirements, false advertising, misrepresentation of insured status, and misuse of the FDIC’s name or logo. For additional information relating to the regulation of our bank partnership model, see the risks in the section titled “Risk Factors—Risks Related to Regulatory and Legal Matters— We are subject to risks related to the banking ecosystem, including through our bank partnerships, FDIC regulations and policies, and other regulatory obligations, which may adversely affect our business, financial condition, and results of operations.”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Interchange Fees</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Historically, a substantial majority of our revenue has been derived from interchange fees, generated by debit and credit card transactions of our members through our platform. Certain interchange fees and the amounts thereof are subject to regulation in the United States. Provisions of the Dodd-Frank Act commonly referred to as the Durbin Amendment required the Federal Reserve Board to implement regulations that impact debit card interchange fees, card network exclusivity, and transaction routing. Accordingly, the Federal Reserve Board has promulgated regulations that, among other things, impose limitations on the amount of debit card interchange fees certain financial institutions may receive. The Dodd-Frank Act and the Federal Reserve Board’s implementing regulations exempt banks with under $10 billion in assets, which include both of our bank partners, from the limitations on the amount of debit card interchange fees. While our bank partners are currently exempt from the limitations on debit card interchange fees imposed by the Dodd-Frank Act and its implementing regulations, and we expect them to continue to be exempt, more restrictive regulations governing interchange fees for debit or credit cards may be adopted, existing regulations may become subject to new or differing interpretations or enforcement, including with respect to their applicability to interchange fees associated with our members’ card transactions. For additional information, see the section titled “Risk Factors— Risks Related to Our Business—Changes in rules and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240"/>
          </w:cols>
          <w:pgMar w:left="320" w:top="124" w:right="339" w:bottom="1440" w:gutter="0" w:footer="0" w:header="0"/>
        </w:sectPr>
      </w:pPr>
    </w:p>
    <w:bookmarkStart w:id="186" w:name="page187"/>
    <w:bookmarkEnd w:id="186"/>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regarding interchange fees, card network fees, and other fees and assessments may adversely affect our business, financial condition, and 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Consumer Protection Requirements, Association, and Card Network Rules</w:t>
      </w:r>
    </w:p>
    <w:p>
      <w:pPr>
        <w:spacing w:after="0" w:line="175" w:lineRule="exact"/>
        <w:rPr>
          <w:sz w:val="20"/>
          <w:szCs w:val="20"/>
          <w:color w:val="auto"/>
        </w:rPr>
      </w:pPr>
    </w:p>
    <w:p>
      <w:pPr>
        <w:ind w:right="40" w:firstLine="324"/>
        <w:spacing w:after="0" w:line="251" w:lineRule="auto"/>
        <w:rPr>
          <w:sz w:val="20"/>
          <w:szCs w:val="20"/>
          <w:color w:val="auto"/>
        </w:rPr>
      </w:pPr>
      <w:r>
        <w:rPr>
          <w:rFonts w:ascii="Times New Roman" w:cs="Times New Roman" w:eastAsia="Times New Roman" w:hAnsi="Times New Roman"/>
          <w:sz w:val="18"/>
          <w:szCs w:val="18"/>
          <w:color w:val="auto"/>
        </w:rPr>
        <w:t>We must comply with various consumer protection laws and rules. The CFPB is the principal federal regulator responsible for administering federal consumer financial law. The CFPB issues rules governing consumer finance markets, and oversees compliance with and enforces federal consumer financial laws. For example, the CFPB recently issued a final rule, to which Chime is subject, establishing supervisory authority over nonbank covered persons that are larger participants in a market for “general-use digital consumer payment applications.” A nonbank qualifies as a larger participant under this rule if it facilitates an annual covered consumer payment transaction volume of at least 50 million transactions, and the transaction volume of our members through our platform exceeds this threshold. Nonbanks subject to the CFPB’s supervisory authority under this rule also may be subject to other CFPB supervisory authorities. We are subject to supervision by the CFPB, and the CFPB may, among other things, to conduct comprehensive and rigorous examinations to assess our compliance with consumer financial laws, which in turn may result in matters requiring attention, as well as potentially a referral for investigation and enforcement action, which may result in civil monetary penalties and limits on our activities or functions, among other relief. The CFPB has broad authority to create and modify federal regulations with respect to consumer financial products and services, including the origination, brokering, servicing, transfer, and collection of consumer loans and other consumer financial products or services we may facilitate or provide. The CFPB also has substantial power to regulate financial products and services offered to consumers from both banks and non-bank providers and their respective service providers, including rulemaking authority under federal laws such as the Truth in Lending Act, the Equal Credit Opportunity Act, the Fair Credit Reporting Act, the Electronic Funds Transfer Act. Under Title X of the Dodd-Frank Act, the CFPB has the authority to pursue enforcement actions against companies that offer or provide consumer financial products or services, or those companies’ service providers, that allegedly engage in unfair, deceptive, or abusive acts or practices (“UDAAP”) or allegedly violate other laws including enumerated consumer laws defined in 12 U.S.C. § 5481. Where a company has allegedly violated Title X of the Dodd-Frank Act or CFPB regulations under Title X, the Dodd-Frank Act also empowers state attorneys general and state regulators to bring civil actions to enforce such laws and regulations. Title X authorizes the CFPB to seek a range of remedies, including civil money penalties, rescission of contracts, refund of money, restitution, disgorgement of profits or other compensation for unjust enrichment, damages, public notification of the violation, and “conduct” restrictions (i.e., future limits on a company’s activities or functions). The CFPB frequently enters into consent orders with entities to resolve investigations. For example, in May 2024, we entered into a Consent Order with the CFPB agreeing to pay a $3.25 million penalty to the CFPB and a total of $1.3 million in redress to certain former members who received allegedly delayed account balance refunds upon the closure of their savings or checking accounts.</w:t>
      </w:r>
    </w:p>
    <w:p>
      <w:pPr>
        <w:spacing w:after="0" w:line="15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CFPB also has issued guidance stating that institutions under its supervision may be held responsible for the actions of certain companies with which they contract. The CFPB has made it clear that it expects supervised institutions to maintain an effective process for managing risks associated with their vendor relationships. In connection with this vendor risk management process, we are expected to perform due diligence reviews of potential vendors, review their policies and procedures and internal training materials to confirm the vendor conducts appropriate training and oversight, include enforceable consequences in contracts with vendors regarding failure to comply with consumer protection requirements, and take prompt action, including terminating the relationship, in the event that vendors fail to meet our expectations.</w:t>
      </w:r>
    </w:p>
    <w:p>
      <w:pPr>
        <w:spacing w:after="0" w:line="133"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With respect to our business activities, we or our bank partners are subject to applicable requirements under other rules, federal statutes, and federal regulations, including but not limited to:</w:t>
      </w:r>
    </w:p>
    <w:p>
      <w:pPr>
        <w:spacing w:after="0" w:line="104" w:lineRule="exact"/>
        <w:rPr>
          <w:sz w:val="20"/>
          <w:szCs w:val="20"/>
          <w:color w:val="auto"/>
        </w:rPr>
      </w:pPr>
    </w:p>
    <w:p>
      <w:pPr>
        <w:ind w:left="660" w:right="20" w:hanging="328"/>
        <w:spacing w:after="0" w:line="257" w:lineRule="auto"/>
        <w:tabs>
          <w:tab w:leader="none" w:pos="65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Electronic Fund Transfer Act and NACHA Rules</w:t>
      </w:r>
      <w:r>
        <w:rPr>
          <w:rFonts w:ascii="Times New Roman" w:cs="Times New Roman" w:eastAsia="Times New Roman" w:hAnsi="Times New Roman"/>
          <w:sz w:val="18"/>
          <w:szCs w:val="18"/>
          <w:color w:val="auto"/>
        </w:rPr>
        <w:t>. The federal Electronic Fund Transfer Act (“EFTA”) and Regulation E that implements 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govern the provision of electronic fund transfer services to consumers, and on making an electronic transfer of funds from consumers’ bank accounts. In addition, transfers performed by ACH electronic transfers are subject to detailed timing and notification rules and guidelines administered by the National Automated Clearinghouse Association (“NACHA”). Most consumer transfers of funds, including in connection with the origination and repayment of loans, are performed by electronic fund transfers, such as ACH transfers. EFTA requires that lenders make available loan payment methods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200"/>
          </w:cols>
          <w:pgMar w:left="320" w:top="124" w:right="379" w:bottom="1440" w:gutter="0" w:footer="0" w:header="0"/>
        </w:sectPr>
      </w:pPr>
    </w:p>
    <w:bookmarkStart w:id="187" w:name="page188"/>
    <w:bookmarkEnd w:id="187"/>
    <w:p>
      <w:pPr>
        <w:jc w:val="center"/>
        <w:ind w:right="292"/>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28" w:right="420"/>
        <w:spacing w:after="0" w:line="282" w:lineRule="auto"/>
        <w:rPr>
          <w:sz w:val="20"/>
          <w:szCs w:val="20"/>
          <w:color w:val="auto"/>
        </w:rPr>
      </w:pPr>
      <w:r>
        <w:rPr>
          <w:rFonts w:ascii="Times New Roman" w:cs="Times New Roman" w:eastAsia="Times New Roman" w:hAnsi="Times New Roman"/>
          <w:sz w:val="18"/>
          <w:szCs w:val="18"/>
          <w:color w:val="auto"/>
        </w:rPr>
        <w:t>other than automatic preauthorized electronic fund transfers and prohibits lenders from conditioning the approval of a loan transaction on the borrower’s agreement to repay the loan through automatic fund transfers.</w:t>
      </w:r>
    </w:p>
    <w:p>
      <w:pPr>
        <w:spacing w:after="0" w:line="104" w:lineRule="exact"/>
        <w:rPr>
          <w:sz w:val="20"/>
          <w:szCs w:val="20"/>
          <w:color w:val="auto"/>
        </w:rPr>
      </w:pPr>
    </w:p>
    <w:p>
      <w:pPr>
        <w:ind w:left="328" w:right="140" w:hanging="328"/>
        <w:spacing w:after="0" w:line="257" w:lineRule="auto"/>
        <w:tabs>
          <w:tab w:leader="none" w:pos="323"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Truth in Lending Act</w:t>
      </w:r>
      <w:r>
        <w:rPr>
          <w:rFonts w:ascii="Times New Roman" w:cs="Times New Roman" w:eastAsia="Times New Roman" w:hAnsi="Times New Roman"/>
          <w:sz w:val="18"/>
          <w:szCs w:val="18"/>
          <w:color w:val="auto"/>
        </w:rPr>
        <w:t>. The Truth in Lending Act (“TILA”) and Regulation Z, which implements it, require lenders to provide consumers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uniform, understandable information concerning certain terms and conditions of their loan and credit transactions prior to the consummation of a credit transaction and, in the case of certain open-end loans, at the time of a loan solicitation, application, approval, and origination of a credit transaction. TILA also regulates the advertising of credit and gives borrowers, among other things, certain rights regarding updated disclosures and periodic statements, security interests taken to secure the credit, the right to rescind certain loan transactions, a right to an investigation and resolution of billing errors, and the treatment of credit balances.</w:t>
      </w:r>
    </w:p>
    <w:p>
      <w:pPr>
        <w:spacing w:after="0" w:line="128" w:lineRule="exact"/>
        <w:rPr>
          <w:rFonts w:ascii="Times New Roman" w:cs="Times New Roman" w:eastAsia="Times New Roman" w:hAnsi="Times New Roman"/>
          <w:sz w:val="18"/>
          <w:szCs w:val="18"/>
          <w:color w:val="auto"/>
        </w:rPr>
      </w:pPr>
    </w:p>
    <w:p>
      <w:pPr>
        <w:ind w:left="328" w:right="100" w:hanging="328"/>
        <w:spacing w:after="0" w:line="262" w:lineRule="auto"/>
        <w:tabs>
          <w:tab w:leader="none" w:pos="323"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Section 5 of the Federal Trade Commission Act</w:t>
      </w:r>
      <w:r>
        <w:rPr>
          <w:rFonts w:ascii="Times New Roman" w:cs="Times New Roman" w:eastAsia="Times New Roman" w:hAnsi="Times New Roman"/>
          <w:sz w:val="18"/>
          <w:szCs w:val="18"/>
          <w:color w:val="auto"/>
        </w:rPr>
        <w:t>. The Federal Trade Commission Act prohibits “unfair” and “deceptive” acts and practices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or commerce and gives the FTC enforcement authority to prevent and redress violations of this prohibition. Whether a particular act or practice violates this law, the UDAAP-prevention laws enforced by the CFPB, or similar state laws, frequently involve a highly subjective and/or fact-specific judgment.</w:t>
      </w:r>
    </w:p>
    <w:p>
      <w:pPr>
        <w:spacing w:after="0" w:line="122" w:lineRule="exact"/>
        <w:rPr>
          <w:rFonts w:ascii="Times New Roman" w:cs="Times New Roman" w:eastAsia="Times New Roman" w:hAnsi="Times New Roman"/>
          <w:sz w:val="18"/>
          <w:szCs w:val="18"/>
          <w:color w:val="auto"/>
        </w:rPr>
      </w:pPr>
    </w:p>
    <w:p>
      <w:pPr>
        <w:ind w:left="328" w:hanging="328"/>
        <w:spacing w:after="0" w:line="254" w:lineRule="auto"/>
        <w:tabs>
          <w:tab w:leader="none" w:pos="323"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Equal Credit Opportunity Act</w:t>
      </w:r>
      <w:r>
        <w:rPr>
          <w:rFonts w:ascii="Times New Roman" w:cs="Times New Roman" w:eastAsia="Times New Roman" w:hAnsi="Times New Roman"/>
          <w:sz w:val="18"/>
          <w:szCs w:val="18"/>
          <w:color w:val="auto"/>
        </w:rPr>
        <w:t>. The federal Equal Credit Opportunity Act (“ECOA”) prohibits creditors from discriminating against credit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applicants on the basis of race, color, sex, age, religion, national origin, marital status, the fact that all or part of the applicant’s income derives from any public assistance program or the fact that the applicant has in good faith exercised any right under the federal Consumer Credit Protection Act or any applicable state law. Regulation B, which implements ECOA, restricts creditors from requesting certain types of information from loan applicants and from using advertising or making statements that would discourage on a prohibited basis a reasonable person from making or pursuing an application. In addition, ECOA and Regulation B require creditors to provide applicants with timely notices of adverse action taken on credit applications, including disclosing to such applicants the reason for their application having been declined. ECOA also requires creditors to provide consumers and certain small businesses with timely responses to applications for credit, including notices of adverse action taken on credit applications.</w:t>
      </w:r>
    </w:p>
    <w:p>
      <w:pPr>
        <w:spacing w:after="0" w:line="134" w:lineRule="exact"/>
        <w:rPr>
          <w:rFonts w:ascii="Times New Roman" w:cs="Times New Roman" w:eastAsia="Times New Roman" w:hAnsi="Times New Roman"/>
          <w:sz w:val="18"/>
          <w:szCs w:val="18"/>
          <w:color w:val="auto"/>
        </w:rPr>
      </w:pPr>
    </w:p>
    <w:p>
      <w:pPr>
        <w:ind w:left="328" w:right="20" w:hanging="328"/>
        <w:spacing w:after="0" w:line="256" w:lineRule="auto"/>
        <w:tabs>
          <w:tab w:leader="none" w:pos="323"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Fair Credit Reporting Act</w:t>
      </w:r>
      <w:r>
        <w:rPr>
          <w:rFonts w:ascii="Times New Roman" w:cs="Times New Roman" w:eastAsia="Times New Roman" w:hAnsi="Times New Roman"/>
          <w:sz w:val="18"/>
          <w:szCs w:val="18"/>
          <w:color w:val="auto"/>
        </w:rPr>
        <w:t>. The federal Fair Credit Reporting Act (“FCRA”), as amended by the Fair and Accurate Credit Transactions Act,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promotes the accuracy, fairness, and privacy of information in the files of consumer reporting agencies. FCRA requires a permissible purpose to obtain a consumer credit report and requires persons that furnish loan payment information to credit bureaus to report such information accurately. FCRA also imposes disclosure requirements on creditors who take adverse action on credit applications based on information contained in a consumer report or received from a third party and requires creditors who use consumer reports in establishing loan terms to provide risk-based pricing or credit score notices to affected consumers. FCRA also imposes rules and disclosure requirements on creditors’ use of consumer reports for marketing purposes.</w:t>
      </w:r>
    </w:p>
    <w:p>
      <w:pPr>
        <w:spacing w:after="0" w:line="128" w:lineRule="exact"/>
        <w:rPr>
          <w:rFonts w:ascii="Times New Roman" w:cs="Times New Roman" w:eastAsia="Times New Roman" w:hAnsi="Times New Roman"/>
          <w:sz w:val="18"/>
          <w:szCs w:val="18"/>
          <w:color w:val="auto"/>
        </w:rPr>
      </w:pPr>
    </w:p>
    <w:p>
      <w:pPr>
        <w:ind w:left="328" w:right="60" w:hanging="328"/>
        <w:spacing w:after="0" w:line="259" w:lineRule="auto"/>
        <w:tabs>
          <w:tab w:leader="none" w:pos="323"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Military Lending Act</w:t>
      </w:r>
      <w:r>
        <w:rPr>
          <w:rFonts w:ascii="Times New Roman" w:cs="Times New Roman" w:eastAsia="Times New Roman" w:hAnsi="Times New Roman"/>
          <w:sz w:val="18"/>
          <w:szCs w:val="18"/>
          <w:color w:val="auto"/>
        </w:rPr>
        <w:t>. The Military Lending Act (“MLA”) restricts, among other things, the interest rate and other terms that can be offered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active military personnel and their dependents. The MLA caps the interest rate that may be offered to a covered borrower for most types of consumer credit to a 36% military annual percentage rate, which includes certain fees such as application fees, participation fees and fees for add-on products. The MLA also requires certain disclosures and prohibits certain terms, such as mandatory arbitration if a dispute arises concerning the consumer credit product.</w:t>
      </w:r>
    </w:p>
    <w:p>
      <w:pPr>
        <w:spacing w:after="0" w:line="125" w:lineRule="exact"/>
        <w:rPr>
          <w:rFonts w:ascii="Times New Roman" w:cs="Times New Roman" w:eastAsia="Times New Roman" w:hAnsi="Times New Roman"/>
          <w:sz w:val="18"/>
          <w:szCs w:val="18"/>
          <w:color w:val="auto"/>
        </w:rPr>
      </w:pPr>
    </w:p>
    <w:p>
      <w:pPr>
        <w:ind w:left="328" w:right="500" w:hanging="328"/>
        <w:spacing w:after="0" w:line="268" w:lineRule="auto"/>
        <w:tabs>
          <w:tab w:leader="none" w:pos="323"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Servicemembers Civil Relief Act</w:t>
      </w:r>
      <w:r>
        <w:rPr>
          <w:rFonts w:ascii="Times New Roman" w:cs="Times New Roman" w:eastAsia="Times New Roman" w:hAnsi="Times New Roman"/>
          <w:sz w:val="18"/>
          <w:szCs w:val="18"/>
          <w:color w:val="auto"/>
        </w:rPr>
        <w:t>. The federal Servicemembers Civil Relief Act (“SCRA”) allows military members to suspend or postpone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certain civil obligations, requires creditors to reduce the interest rate to a maximum of 6% on loans to military members under certain circumstances, and imposes restrictions on enforcement of loans to servicemembers.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0888"/>
          </w:cols>
          <w:pgMar w:left="652" w:top="124" w:right="359" w:bottom="1440" w:gutter="0" w:footer="0" w:header="0"/>
        </w:sectPr>
      </w:pPr>
    </w:p>
    <w:bookmarkStart w:id="188" w:name="page189"/>
    <w:bookmarkEnd w:id="188"/>
    <w:p>
      <w:pPr>
        <w:jc w:val="center"/>
        <w:ind w:right="252"/>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252"/>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28" w:right="40" w:hanging="328"/>
        <w:spacing w:after="0" w:line="262" w:lineRule="auto"/>
        <w:tabs>
          <w:tab w:leader="none" w:pos="323"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California Consumer Privacy Act</w:t>
      </w:r>
      <w:r>
        <w:rPr>
          <w:rFonts w:ascii="Times New Roman" w:cs="Times New Roman" w:eastAsia="Times New Roman" w:hAnsi="Times New Roman"/>
          <w:sz w:val="18"/>
          <w:szCs w:val="18"/>
          <w:color w:val="auto"/>
        </w:rPr>
        <w:t>. The California Consumer Privacy Act, as amended by the California Privacy Rights Act, imposes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requirements on the processing of personal information of California residents, and gives California residents rights in their personal information, including to access and delete their personal information, opt out of sales of personal information or other personal information sharing, and receive detailed information about how their personal information is used.</w:t>
      </w:r>
    </w:p>
    <w:p>
      <w:pPr>
        <w:spacing w:after="0" w:line="122" w:lineRule="exact"/>
        <w:rPr>
          <w:rFonts w:ascii="Times New Roman" w:cs="Times New Roman" w:eastAsia="Times New Roman" w:hAnsi="Times New Roman"/>
          <w:sz w:val="18"/>
          <w:szCs w:val="18"/>
          <w:color w:val="auto"/>
        </w:rPr>
      </w:pPr>
    </w:p>
    <w:p>
      <w:pPr>
        <w:ind w:left="328" w:right="280" w:hanging="328"/>
        <w:spacing w:after="0" w:line="262" w:lineRule="auto"/>
        <w:tabs>
          <w:tab w:leader="none" w:pos="323"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Telephone Consumer Protection Act</w:t>
      </w:r>
      <w:r>
        <w:rPr>
          <w:rFonts w:ascii="Times New Roman" w:cs="Times New Roman" w:eastAsia="Times New Roman" w:hAnsi="Times New Roman"/>
          <w:sz w:val="18"/>
          <w:szCs w:val="18"/>
          <w:color w:val="auto"/>
        </w:rPr>
        <w:t>. The federal Telephone Consumer Protection Act (“TCPA”) and the regulations promulgated thereunder,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impose various consumer consent requirements and other restrictions in connection with telemarketing activity and other communication with consumers by phone, fax, or text message, and provide guidelines designed to safeguard consumer privacy in connection with such communications.</w:t>
      </w:r>
    </w:p>
    <w:p>
      <w:pPr>
        <w:spacing w:after="0" w:line="122" w:lineRule="exact"/>
        <w:rPr>
          <w:rFonts w:ascii="Times New Roman" w:cs="Times New Roman" w:eastAsia="Times New Roman" w:hAnsi="Times New Roman"/>
          <w:sz w:val="18"/>
          <w:szCs w:val="18"/>
          <w:color w:val="auto"/>
        </w:rPr>
      </w:pPr>
    </w:p>
    <w:p>
      <w:pPr>
        <w:ind w:left="328" w:hanging="328"/>
        <w:spacing w:after="0" w:line="262" w:lineRule="auto"/>
        <w:tabs>
          <w:tab w:leader="none" w:pos="323"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Electronic Signatures in Global and National Commerce Act</w:t>
      </w:r>
      <w:r>
        <w:rPr>
          <w:rFonts w:ascii="Times New Roman" w:cs="Times New Roman" w:eastAsia="Times New Roman" w:hAnsi="Times New Roman"/>
          <w:sz w:val="18"/>
          <w:szCs w:val="18"/>
          <w:color w:val="auto"/>
        </w:rPr>
        <w:t>. The federal Electronic Signatures in Global and National Commerce Act (“E-Sign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 and similar state laws, particularly the Uniform Electronic Transactions Act, authorize the creation of legally binding and enforceable agreements utilizing electronic records and signatures and require creditors and loan servicers to obtain a consumer’s consent to electronically receive disclosures required under federal and state laws and regulations.</w:t>
      </w:r>
    </w:p>
    <w:p>
      <w:pPr>
        <w:spacing w:after="0" w:line="122" w:lineRule="exact"/>
        <w:rPr>
          <w:rFonts w:ascii="Times New Roman" w:cs="Times New Roman" w:eastAsia="Times New Roman" w:hAnsi="Times New Roman"/>
          <w:sz w:val="18"/>
          <w:szCs w:val="18"/>
          <w:color w:val="auto"/>
        </w:rPr>
      </w:pPr>
    </w:p>
    <w:p>
      <w:pPr>
        <w:ind w:left="328" w:hanging="328"/>
        <w:spacing w:after="0" w:line="254" w:lineRule="auto"/>
        <w:tabs>
          <w:tab w:leader="none" w:pos="323"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Association and Card Network Rules</w:t>
      </w:r>
      <w:r>
        <w:rPr>
          <w:rFonts w:ascii="Times New Roman" w:cs="Times New Roman" w:eastAsia="Times New Roman" w:hAnsi="Times New Roman"/>
          <w:sz w:val="18"/>
          <w:szCs w:val="18"/>
          <w:color w:val="auto"/>
        </w:rPr>
        <w:t>. Our bank partners must comply with the bylaws, regulations, industry standards and requirements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connection with relevant card networks, including the Payment Card Industry Data Security Standard (“PCI-DSS”) and other applicable data security program requirements. The PCI-DSS is issued by the Payment Card Industry Security Standards Council and contains compliance guidelines with regard to the physical and electronic storage, transmission and processing of cardholder data. To the extent that we provide certain services in connection with cards issued by our bank partners, we are also subject to such requirements. To provide payment processing services, we are certified and registered with Visa as a processor for member institutions. We are also certified and registered with other relevant debit card transaction networks, such as STAR Network. As such, we are subject to applicable card network rules that could subject us to fines or penalties for certain acts or omissions. Card networks routinely update and modify their requirements and we, in turn, must work to comply with such updates to continue processing transactions on their networks.</w:t>
      </w:r>
    </w:p>
    <w:p>
      <w:pPr>
        <w:spacing w:after="0" w:line="134" w:lineRule="exact"/>
        <w:rPr>
          <w:rFonts w:ascii="Times New Roman" w:cs="Times New Roman" w:eastAsia="Times New Roman" w:hAnsi="Times New Roman"/>
          <w:sz w:val="18"/>
          <w:szCs w:val="18"/>
          <w:color w:val="auto"/>
        </w:rPr>
      </w:pPr>
    </w:p>
    <w:p>
      <w:pPr>
        <w:ind w:left="328" w:right="40" w:hanging="328"/>
        <w:spacing w:after="0" w:line="259" w:lineRule="auto"/>
        <w:tabs>
          <w:tab w:leader="none" w:pos="323"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Gramm-Leach-Bliley Act</w:t>
      </w:r>
      <w:r>
        <w:rPr>
          <w:rFonts w:ascii="Times New Roman" w:cs="Times New Roman" w:eastAsia="Times New Roman" w:hAnsi="Times New Roman"/>
          <w:sz w:val="18"/>
          <w:szCs w:val="18"/>
          <w:color w:val="auto"/>
        </w:rPr>
        <w:t>. The federal GLBA includes limitations on our bank partner financial institutions’ use of nonpublic personal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information about a consumer and disclosure thereof to nonaffiliated third parties and requires financial institutions to disclose certain privacy policies and practices with respect to nonpublic personal information sharing with affiliated and non-affiliated entities, as well as to safeguard nonpublic personal information. To the extent that we provide certain services in connection with our bank partners, we are also subject to certain requirements under the GLBA, including requirements to safeguard nonpublic personal information.</w:t>
      </w:r>
    </w:p>
    <w:p>
      <w:pPr>
        <w:spacing w:after="0" w:line="125" w:lineRule="exact"/>
        <w:rPr>
          <w:rFonts w:ascii="Times New Roman" w:cs="Times New Roman" w:eastAsia="Times New Roman" w:hAnsi="Times New Roman"/>
          <w:sz w:val="18"/>
          <w:szCs w:val="18"/>
          <w:color w:val="auto"/>
        </w:rPr>
      </w:pPr>
    </w:p>
    <w:p>
      <w:pPr>
        <w:ind w:left="328" w:right="580" w:hanging="328"/>
        <w:spacing w:after="0" w:line="286" w:lineRule="auto"/>
        <w:tabs>
          <w:tab w:leader="none" w:pos="323"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Bank Service Company Act</w:t>
      </w:r>
      <w:r>
        <w:rPr>
          <w:rFonts w:ascii="Times New Roman" w:cs="Times New Roman" w:eastAsia="Times New Roman" w:hAnsi="Times New Roman"/>
          <w:sz w:val="18"/>
          <w:szCs w:val="18"/>
          <w:color w:val="auto"/>
        </w:rPr>
        <w:t>. The Bank Service Company Act (“BSCA”) requires our bank partners to notify the OCC of their contractual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relationship with Chime under our bank partnership model, and subjects us to regulation and examination by the OCC.</w:t>
      </w:r>
    </w:p>
    <w:p>
      <w:pPr>
        <w:spacing w:after="0" w:line="100" w:lineRule="exact"/>
        <w:rPr>
          <w:rFonts w:ascii="Times New Roman" w:cs="Times New Roman" w:eastAsia="Times New Roman" w:hAnsi="Times New Roman"/>
          <w:sz w:val="18"/>
          <w:szCs w:val="18"/>
          <w:color w:val="auto"/>
        </w:rPr>
      </w:pPr>
    </w:p>
    <w:p>
      <w:pPr>
        <w:ind w:left="328" w:right="80" w:hanging="328"/>
        <w:spacing w:after="0" w:line="317" w:lineRule="auto"/>
        <w:tabs>
          <w:tab w:leader="none" w:pos="323"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Truth in Savings Act</w:t>
      </w:r>
      <w:r>
        <w:rPr>
          <w:rFonts w:ascii="Times New Roman" w:cs="Times New Roman" w:eastAsia="Times New Roman" w:hAnsi="Times New Roman"/>
          <w:sz w:val="17"/>
          <w:szCs w:val="17"/>
          <w:color w:val="auto"/>
        </w:rPr>
        <w:t>. The Truth in Savings Act (“TISA”) imposes disclosure requirements in connection with the terms and costs of deposit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accounts with which we and our bank partners must comply, as well as applicable requirements relating to the advertisement of deposit accounts.</w:t>
      </w:r>
    </w:p>
    <w:p>
      <w:pPr>
        <w:spacing w:after="0" w:line="77" w:lineRule="exact"/>
        <w:rPr>
          <w:rFonts w:ascii="Times New Roman" w:cs="Times New Roman" w:eastAsia="Times New Roman" w:hAnsi="Times New Roman"/>
          <w:sz w:val="17"/>
          <w:szCs w:val="17"/>
          <w:color w:val="auto"/>
        </w:rPr>
      </w:pPr>
    </w:p>
    <w:p>
      <w:pPr>
        <w:ind w:left="328" w:right="80" w:hanging="328"/>
        <w:spacing w:after="0" w:line="257" w:lineRule="auto"/>
        <w:tabs>
          <w:tab w:leader="none" w:pos="323"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Bank Secrecy Act/Anti-Money Laundering Requirements. </w:t>
      </w:r>
      <w:r>
        <w:rPr>
          <w:rFonts w:ascii="Times New Roman" w:cs="Times New Roman" w:eastAsia="Times New Roman" w:hAnsi="Times New Roman"/>
          <w:sz w:val="18"/>
          <w:szCs w:val="18"/>
          <w:color w:val="auto"/>
        </w:rPr>
        <w:t>The Bank Secrecy Act (“BSA”) and its implementing regulations require covered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institutions, which include our bank partners, to assist the government with the detection and prevention of money laundering (“AML”) and terrorist financing through the U.S. financial system. The BSA requires covered financial institutions to keep records and file reports that it determines are useful in criminal, tax, or regulatory investigations, risk assessments, or proceedings, or in intelligence or counterintelligence activities, including antiterrorism. Under our contractual obligations to our bank partners, we may be required, in some instances, to assist with BSA/AML compliance efforts.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52"/>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0848"/>
          </w:cols>
          <w:pgMar w:left="652" w:top="124" w:right="399" w:bottom="1440" w:gutter="0" w:footer="0" w:header="0"/>
        </w:sectPr>
      </w:pPr>
    </w:p>
    <w:bookmarkStart w:id="189" w:name="page190"/>
    <w:bookmarkEnd w:id="189"/>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60" w:right="120" w:hanging="328"/>
        <w:spacing w:after="0" w:line="262" w:lineRule="auto"/>
        <w:tabs>
          <w:tab w:leader="none" w:pos="65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OFAC Sanctions Requirements. </w:t>
      </w:r>
      <w:r>
        <w:rPr>
          <w:rFonts w:ascii="Times New Roman" w:cs="Times New Roman" w:eastAsia="Times New Roman" w:hAnsi="Times New Roman"/>
          <w:sz w:val="18"/>
          <w:szCs w:val="18"/>
          <w:color w:val="auto"/>
        </w:rPr>
        <w:t>OFAC-administered U.S. sanctions laws and regulations impose requirements on us and our bank partners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connection with preventing targeted jurisdictions and persons from accessing the U.S. financial system and depriving sanctions targets of U.S.-connected property. Key requirements include the screening of transactions and customers to identify the involvement of OFAC-targeted persons and jurisdictions.</w:t>
      </w:r>
    </w:p>
    <w:p>
      <w:pPr>
        <w:spacing w:after="0" w:line="122" w:lineRule="exact"/>
        <w:rPr>
          <w:rFonts w:ascii="Times New Roman" w:cs="Times New Roman" w:eastAsia="Times New Roman" w:hAnsi="Times New Roman"/>
          <w:sz w:val="18"/>
          <w:szCs w:val="18"/>
          <w:color w:val="auto"/>
        </w:rPr>
      </w:pPr>
    </w:p>
    <w:p>
      <w:pPr>
        <w:ind w:left="660" w:hanging="328"/>
        <w:spacing w:after="0" w:line="262" w:lineRule="auto"/>
        <w:tabs>
          <w:tab w:leader="none" w:pos="65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FDIC Rules and Guidance. </w:t>
      </w:r>
      <w:r>
        <w:rPr>
          <w:rFonts w:ascii="Times New Roman" w:cs="Times New Roman" w:eastAsia="Times New Roman" w:hAnsi="Times New Roman"/>
          <w:sz w:val="18"/>
          <w:szCs w:val="18"/>
          <w:color w:val="auto"/>
        </w:rPr>
        <w:t>The FDIC recently finalized regulations governing the use of official FDIC signs and descriptions of FDIC insurance,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that will more broadly impact how we can describe and advertise financing products. Key provisions include a prohibition on misrepresentations as to FDIC-insured status and a requirement for non-banks to disclose that they are a non-bank when making a statement regarding deposit insurance.</w:t>
      </w:r>
    </w:p>
    <w:p>
      <w:pPr>
        <w:spacing w:after="0" w:line="126"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regulatory framework applicable to consumer financial services providers is evolving and uncertain. Additional or different requirements may apply to our business in the future. While we have developed policies and procedures designed to assist in compliance with these laws and regulations, no assurance is given that our compliance policies and procedures will be effective in all cases or will be adequate as laws change or are applied in a new manner.</w:t>
      </w:r>
    </w:p>
    <w:p>
      <w:pPr>
        <w:spacing w:after="0" w:line="126"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For more information, see the sections titled “Risk Factors—Risks Related to Regulatory and Legal Matters—The regulatory framework for our business is evolving and uncertain as federal and state governments consider new laws and regulations to regulate financial services companies and their partners that, independently or together, provide digital banking services. Additional laws and regulations, or new interpretations thereof, may adversely affect our business, financial condition, and results of operations” and “Risk Factors—Risks Related to Regulatory and Legal Matters—Stringent and changing laws and other requirements relating to privacy, data protection, and data security may adversely affect our brand, business, financial condition, and results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 Licensing Requirements and Regulation</w:t>
      </w:r>
    </w:p>
    <w:p>
      <w:pPr>
        <w:spacing w:after="0" w:line="175"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In collaboration with our bank partners, we provide access to liquidity products through our platform that are subject to lending laws and standards of each individual U.S. state in which we operate. This means that when individual states differ in how they regulate various aspects of consumer lending activity and the offering of consumer credit products, we must operate in accordance with those jurisdictional-specific requirements to the extent applicable.</w:t>
      </w:r>
    </w:p>
    <w:p>
      <w:pPr>
        <w:spacing w:after="0" w:line="126" w:lineRule="exact"/>
        <w:rPr>
          <w:sz w:val="20"/>
          <w:szCs w:val="20"/>
          <w:color w:val="auto"/>
        </w:rPr>
      </w:pPr>
    </w:p>
    <w:p>
      <w:pPr>
        <w:ind w:right="60" w:firstLine="324"/>
        <w:spacing w:after="0" w:line="252" w:lineRule="auto"/>
        <w:rPr>
          <w:sz w:val="20"/>
          <w:szCs w:val="20"/>
          <w:color w:val="auto"/>
        </w:rPr>
      </w:pPr>
      <w:r>
        <w:rPr>
          <w:rFonts w:ascii="Times New Roman" w:cs="Times New Roman" w:eastAsia="Times New Roman" w:hAnsi="Times New Roman"/>
          <w:sz w:val="18"/>
          <w:szCs w:val="18"/>
          <w:color w:val="auto"/>
        </w:rPr>
        <w:t>We are subject to state licensing and other requirements, as well as supervisory examination by state regulatory authorities, with respect to loans and other consumer credit products offered by our banking partners that we facilitate, and we have obtained, through our subsidiary Chime Capital, LLC, necessary licenses or conduct operations pursuant to relevant exemptions in the jurisdictions in which we operate. Licensing statutes and regulations vary from state to state and prescribe different requirements, including restrictions on loan origination and servicing practices (including limits on the type, amount, and manner of our fees), interest rate limits, disclosure requirements, periodic examination requirements, surety bond and minimum specified net worth requirements, periodic financial reporting requirements, notification requirements for changes in principal officers, stock ownership or corporate control, restrictions on advertising, and requirements that loan forms be submitted for review. Additionally, we have experienced, are currently and will likely continue to be subject to and experience exams by state regulators. These examinations have and may continue to result in findings or recommendations that have required us, and may continue to require us, to modify our internal controls and/or business practices. The application of state requirements to our business model is constantly evolving, and while we believe we are in compliance with applicable licensing requirements, state regulators may request or require that we obtain additional licenses or otherwise comply with additional requirements in the future, which may result in changes to our business practices. If we are found to have engaged in activities that require a state license without having the requisite license or in activities that are otherwise deemed to be in violation of state lending laws, the licensing authority may impose fines, impose restrictions on our operations in the relevant state, or seek other remedies for activities conducted in the state. For additional information, see the section titled “Risk Factors—Risks Related to Regulatory and Legal Matters—The regulatory framework for our business is evolving and uncertain as federal and state governments consider new laws and regulations to regulate financial services companies and their partners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220"/>
          </w:cols>
          <w:pgMar w:left="320" w:top="124" w:right="359" w:bottom="1440" w:gutter="0" w:footer="0" w:header="0"/>
        </w:sectPr>
      </w:pPr>
    </w:p>
    <w:bookmarkStart w:id="190" w:name="page191"/>
    <w:bookmarkEnd w:id="190"/>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independently or together, provide digital banking services. Additional laws and regulations, or new interpretations thereof, may adversely affect our business, financial condition, and results of operations.”</w:t>
      </w:r>
    </w:p>
    <w:p>
      <w:pPr>
        <w:spacing w:after="0" w:line="108" w:lineRule="exact"/>
        <w:rPr>
          <w:sz w:val="20"/>
          <w:szCs w:val="20"/>
          <w:color w:val="auto"/>
        </w:rPr>
      </w:pPr>
    </w:p>
    <w:p>
      <w:pPr>
        <w:jc w:val="both"/>
        <w:ind w:right="40" w:firstLine="324"/>
        <w:spacing w:after="0" w:line="261" w:lineRule="auto"/>
        <w:rPr>
          <w:sz w:val="20"/>
          <w:szCs w:val="20"/>
          <w:color w:val="auto"/>
        </w:rPr>
      </w:pPr>
      <w:r>
        <w:rPr>
          <w:rFonts w:ascii="Times New Roman" w:cs="Times New Roman" w:eastAsia="Times New Roman" w:hAnsi="Times New Roman"/>
          <w:sz w:val="18"/>
          <w:szCs w:val="18"/>
          <w:color w:val="auto"/>
        </w:rPr>
        <w:t>Additionally, various laws and regulations govern the payments industry in the United States. One of our wholly-owned subsidiaries holds licenses to operate as a money transmitter (or its equivalent) in 28 U.S. states, and we intend to obtain additional money transmission licenses across the United States in the states where such licenses are required. As such, we are subject to, among other requirements, restrictions with respect to the investment of member funds, reporting requirements, bonding requirements, and supervisory inspection by state regulatory agencies.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Requirements</w:t>
      </w:r>
    </w:p>
    <w:p>
      <w:pPr>
        <w:spacing w:after="0" w:line="175"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In addition to the requirements described above, we are subject to and seek to comply with other state and federal laws and regulations applicable to consumer lending and other consumer financial services, including additional requirements relating to loan disclosure, credit discrimination, credit reporting, debt collection and UDAAP prevention. These laws and regulations may be enforced by state banking or consumer protection regulatory agencies, state attorneys general, the CFPB, and private litigants, among others. Given our novel business model and the subjective nature of some of these laws and regulations, particularly UDAAP-prevention laws, we may become subject to regulatory scrutiny or legal challenge with respect to our compliance with these requirements.</w:t>
      </w:r>
    </w:p>
    <w:p>
      <w:pPr>
        <w:spacing w:after="0" w:line="133"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Given the nature of our business and our arrangements with third parties, including our bank partners, we are subject to compliance obligations related to the U.S. AML laws and regulations. We have developed and currently operate an AML program designed to prevent the offerings on our platform from being used to facilitate money laundering, terrorist financing, and other financial crimes. Our program is also designed to prevent our products from being used to facilitate business in certain countries or territories, or with certain individuals or entities, including those on designated lists promulgated by the U.S. Department of the Treasury’s Office of Foreign Assets Controls and other U.S. and non-U.S. sanctions authorities. Our AML and sanctions compliance programs include policies, procedures, reporting protocols, and internal controls, including the designation of a BSA/AML compliance officer to oversee the programs. Our programs are designed to address these requirements and to assist in managing risk associated with money laundering and terrorist financing.</w:t>
      </w:r>
    </w:p>
    <w:p>
      <w:pPr>
        <w:spacing w:after="0" w:line="13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Additionally, we are subject to anti-corruption and anti-bribery and similar laws, including the U.S. Foreign Corrupt Practices Act of 1977, as amended (the “FCPA”), the U.S. domestic bribery statute contained in 18 U.S.C. § 201, and the U.S. Travel Act. The FCPA and other applicable anti-corruption and anti-bribery laws prohibit companies and their employees and agents from promising, authorizing, making, or offering improper payments or other benefits to government officials and others in the private sector to influence official action, direct business to any person, gain any improper advantage, or obtain or retain business. The FCPA and other applicable anti-corruption and anti-bribery laws, including accounting provisions, are enforced by the Department of Justice and the SEC. The statute has a broad reach, covering all U.S. companies and citizens doing business abroad, among others, and defining a foreign official to include not only those holding public office but also local citizens affiliated with foreign government-run or -owned organizations. The statute also requires maintenance of appropriate books and records and maintenance of adequate internal controls.</w:t>
      </w:r>
    </w:p>
    <w:p>
      <w:pPr>
        <w:spacing w:after="0" w:line="138"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Furthermore, while we are not subject to escheat regulations, our bank partners are subject to unclaimed or abandoned property (escheat) laws in the United States. These state laws require our bank partners to turn over to certain government authorities the property of others that our bank partners hold that has been unclaimed for a specified period of time, such as account balances that are due to a member following discontinuation of our relationship. We may be required to cooperate with such bank partners in the course of their compliance.</w:t>
      </w:r>
    </w:p>
    <w:p>
      <w:pPr>
        <w:spacing w:after="0" w:line="126"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Various regulatory agencies in the United States continue to examine a wide variety of laws and regulations that are or may be applicable to us and may impact our business. These issues include account recordkeeping, antidiscrimination, consumer protection, identity theft, privacy, data protection, data security, disclosure rules, electronic transfers, and marketing. As our business continues to develop and expand, we continue to monitor the additional rules and regulations that may become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220"/>
          </w:cols>
          <w:pgMar w:left="320" w:top="124" w:right="359" w:bottom="1440" w:gutter="0" w:footer="0" w:header="0"/>
        </w:sectPr>
      </w:pPr>
    </w:p>
    <w:bookmarkStart w:id="191" w:name="page192"/>
    <w:bookmarkEnd w:id="191"/>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believe that our intellectual property and other proprietary rights are valuable and important to our business. We rely on patents, copyrights, trademarks, service marks, trade secrets, license agreements, intellectual property assignment agreements, confidentiality procedures, non-disclosure agreements, and employee non-disclosure and invention assignment agreements to establish and protect our intellectual property and other proprietary rights. Though we rely in part upon these legal and contractual protections, we believe that factors such as the skills and ingenuity of our employees and the functionality and frequent enhancements to our solutions are larger contributors to our success in the marketplace.</w:t>
      </w:r>
    </w:p>
    <w:p>
      <w:pPr>
        <w:spacing w:after="0" w:line="1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We have invested in a patent program to identify and protect a substantial portion of our strategic intellectual property in technologies relevant to our business. As of December 31, 2024, we had 21 issued U.S. patents and 65 U.S. patent applications pending. We continually review our development efforts to assess the existence and patentability of new intellectual property.</w:t>
      </w:r>
    </w:p>
    <w:p>
      <w:pPr>
        <w:spacing w:after="0" w:line="122"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We have an ongoing trademark and service mark registration program pursuant to which we register our brand names and product names, taglines and logos in the United States and other countries to the extent we determine appropriate and cost-effective. As of December 31, 2024, we held 24 registered trademarks in the United States, and also held 26 registered trademarks in foreign jurisdictions. We also have common law rights in some trademarks. In addition, we have registered domain names for websites that we use in our business, such as www.chime.com and other variations.</w:t>
      </w:r>
    </w:p>
    <w:p>
      <w:pPr>
        <w:spacing w:after="0" w:line="126"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We endeavor to enter into confidentiality agreements with our employees, contractors, and other third parties with whom we do business in order to limit access to and disclosure of our proprietary information, confidential information, and trade secrets, as well as invention assignment agreements with our employees, consultants, and other third parties to clarify rights to intellectual property associated with our business.</w:t>
      </w:r>
    </w:p>
    <w:p>
      <w:pPr>
        <w:spacing w:after="0" w:line="122"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intend to pursue additional intellectual property protection to the extent we believe it would be beneficial and cost-effective. Despite our efforts to protect our intellectual property and other proprietary rights, they may not be respected in the future or may be invalidated, circumvented, reduced in scope, deemed unenforceable or otherwise challenged. The efforts undertaken to protect our intellectual property and other proprietary rights, including our confidential information, may not be sufficient or effective. For additional information, see the sections titled “Risk Factors—Risks Related to Intellectual Property Matters—If we fail to adequately protect our intellectual property rights, our competitive position may be impaired, and we may lose valuable assets, generate reduced revenue, and incur costly litigation to protect our rights, which may adversely affect our business, financial condition, and results of operations,” “Risk Factors—Risks Related to Intellectual Property Matters—We have been, and may in the future be, subject to intellectual property rights claims by third parties, which are extremely costly to defend, may require us to pay significant damages and may limit our ability to use certain technologies, which may adversely affect our business, financial condition, and results of operations,” and “Risk Factors—Risks Related to Intellectual Property Matters—We use open source software in our products, which may subject us to litigation or other actions, which may adversely affect our business, financial condition, and results of operations.”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75"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Our corporate headquarters is located in San Francisco, California, where we currently lease approximately 201,898 square feet under a lease agreement that expires in 2032. We lease or license additional offices in the United States, including in Chicago, Illinois and New York, New York. We do not own any real property. We believe that these facilities are suitable to meet our needs.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75"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From time to time, we may be subject to legal proceedings and claims that arise in the ordinary course of business, as well as governmental and other regulatory inquiries, investigations, audits, and proceedings. In addition, third parties may from time to time assert claims against us in the form of letters and other communications. We are not currently subject to any legal proceedings that, if determined adversely to us, would, in our opinion, have a material and adverse effect on our business, results of operations, or financial condition. Future litigation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240"/>
          </w:cols>
          <w:pgMar w:left="320" w:top="124" w:right="339" w:bottom="1440" w:gutter="0" w:footer="0" w:header="0"/>
        </w:sectPr>
      </w:pPr>
    </w:p>
    <w:bookmarkStart w:id="192" w:name="page193"/>
    <w:bookmarkEnd w:id="192"/>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necessary or warranted to defend ourselves or our partners or to establish or assert our rights. The results of any current or future legal proceedings or litigation cannot be predicted with certainty, and regardless of the outcome, legal proceedings or litigation can have an adverse impact on us because of defense and settlement costs, diversion of management resources, and other factors.</w:t>
      </w:r>
    </w:p>
    <w:p>
      <w:pPr>
        <w:spacing w:after="0" w:line="12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have in the past been, are currently, and may in the future be the subject of regulatory and administrative investigations, audits, demands, or inquiries conducted by federal, state, or local governmental agencies concerning our business practices, our bank partnership model, compliance with consumer protection laws, privacy, data protection, data security, tax issues, or other matters. We may in the future settle, or record accruals with respect to, such matters. Further, the results of investigations, audits, demands, and inquiries and related governmental action are inherently unpredictable and, as such, there is always the risk of an investigation, audit, demand, or inquiry having a material impact on our business, financial condition, and results of operations, particularly in the event that an investigation, audit, or inquiry results in a lawsuit or unfavorable regulatory enforcement or other action. Regardless of the outcome, these matters can have an adverse impact on us in light of the costs associated with cooperating with, or defending against, such matters, and the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220"/>
          </w:cols>
          <w:pgMar w:left="320" w:top="124" w:right="359" w:bottom="1440" w:gutter="0" w:footer="0" w:header="0"/>
        </w:sectPr>
      </w:pPr>
    </w:p>
    <w:bookmarkStart w:id="193" w:name="page194"/>
    <w:bookmarkEnd w:id="193"/>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executive officers and directors as of March 12, 2025:</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6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23"/>
        </w:trPr>
        <w:tc>
          <w:tcPr>
            <w:tcW w:w="3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60" w:type="dxa"/>
            <w:vAlign w:val="bottom"/>
            <w:tcBorders>
              <w:bottom w:val="single" w:sz="8" w:color="auto"/>
            </w:tcBorders>
          </w:tcPr>
          <w:p>
            <w:pPr>
              <w:spacing w:after="0"/>
              <w:rPr>
                <w:sz w:val="2"/>
                <w:szCs w:val="2"/>
                <w:color w:val="auto"/>
              </w:rPr>
            </w:pPr>
          </w:p>
        </w:tc>
      </w:tr>
      <w:tr>
        <w:trPr>
          <w:trHeight w:val="22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Executive Officers:</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60" w:type="dxa"/>
            <w:vAlign w:val="bottom"/>
            <w:shd w:val="clear" w:color="auto" w:fill="CCEEFF"/>
          </w:tcPr>
          <w:p>
            <w:pPr>
              <w:spacing w:after="0"/>
              <w:rPr>
                <w:sz w:val="19"/>
                <w:szCs w:val="19"/>
                <w:color w:val="auto"/>
              </w:rPr>
            </w:pPr>
          </w:p>
        </w:tc>
      </w:tr>
      <w:tr>
        <w:trPr>
          <w:trHeight w:val="230"/>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Christopher Britt</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10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Chairman, and Co-Founder</w:t>
            </w:r>
          </w:p>
        </w:tc>
      </w:tr>
      <w:tr>
        <w:trPr>
          <w:trHeight w:val="229"/>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Ryan King</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100" w:type="dxa"/>
            <w:vAlign w:val="bottom"/>
            <w:shd w:val="clear" w:color="auto" w:fill="CCEEFF"/>
          </w:tcPr>
          <w:p>
            <w:pPr>
              <w:spacing w:after="0"/>
              <w:rPr>
                <w:sz w:val="19"/>
                <w:szCs w:val="19"/>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Co-Founder and Director</w:t>
            </w:r>
          </w:p>
        </w:tc>
      </w:tr>
      <w:tr>
        <w:trPr>
          <w:trHeight w:val="230"/>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Matthew Newcomb</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10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9"/>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Adam Frankel</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100" w:type="dxa"/>
            <w:vAlign w:val="bottom"/>
            <w:shd w:val="clear" w:color="auto" w:fill="CCEEFF"/>
          </w:tcPr>
          <w:p>
            <w:pPr>
              <w:spacing w:after="0"/>
              <w:rPr>
                <w:sz w:val="19"/>
                <w:szCs w:val="19"/>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r>
        <w:trPr>
          <w:trHeight w:val="229"/>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Mark Troughton</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30"/>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Non-Employee Directors:</w:t>
            </w: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60" w:type="dxa"/>
            <w:vAlign w:val="bottom"/>
            <w:shd w:val="clear" w:color="auto" w:fill="CCEEFF"/>
          </w:tcPr>
          <w:p>
            <w:pPr>
              <w:spacing w:after="0"/>
              <w:rPr>
                <w:sz w:val="19"/>
                <w:szCs w:val="19"/>
                <w:color w:val="auto"/>
              </w:rPr>
            </w:pPr>
          </w:p>
        </w:tc>
      </w:tr>
      <w:tr>
        <w:trPr>
          <w:trHeight w:val="229"/>
        </w:trPr>
        <w:tc>
          <w:tcPr>
            <w:tcW w:w="37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Shawn Carolan</w:t>
            </w:r>
            <w:r>
              <w:rPr>
                <w:rFonts w:ascii="Times New Roman" w:cs="Times New Roman" w:eastAsia="Times New Roman" w:hAnsi="Times New Roman"/>
                <w:sz w:val="23"/>
                <w:szCs w:val="23"/>
                <w:color w:val="auto"/>
                <w:vertAlign w:val="superscript"/>
              </w:rPr>
              <w:t>(1)</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0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37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Susan Decker</w:t>
            </w:r>
            <w:r>
              <w:rPr>
                <w:rFonts w:ascii="Times New Roman" w:cs="Times New Roman" w:eastAsia="Times New Roman" w:hAnsi="Times New Roman"/>
                <w:sz w:val="23"/>
                <w:szCs w:val="23"/>
                <w:color w:val="auto"/>
                <w:vertAlign w:val="superscript"/>
              </w:rPr>
              <w:t>(2)</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100" w:type="dxa"/>
            <w:vAlign w:val="bottom"/>
            <w:shd w:val="clear" w:color="auto" w:fill="CCEEFF"/>
          </w:tcPr>
          <w:p>
            <w:pPr>
              <w:spacing w:after="0"/>
              <w:rPr>
                <w:sz w:val="19"/>
                <w:szCs w:val="19"/>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37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Jimmy Dunne</w:t>
            </w:r>
            <w:r>
              <w:rPr>
                <w:rFonts w:ascii="Times New Roman" w:cs="Times New Roman" w:eastAsia="Times New Roman" w:hAnsi="Times New Roman"/>
                <w:sz w:val="23"/>
                <w:szCs w:val="23"/>
                <w:color w:val="auto"/>
                <w:vertAlign w:val="superscript"/>
              </w:rPr>
              <w:t>(2)(3)</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10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37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James M. P. Feuille</w:t>
            </w:r>
            <w:r>
              <w:rPr>
                <w:rFonts w:ascii="Times New Roman" w:cs="Times New Roman" w:eastAsia="Times New Roman" w:hAnsi="Times New Roman"/>
                <w:sz w:val="23"/>
                <w:szCs w:val="23"/>
                <w:color w:val="auto"/>
                <w:vertAlign w:val="superscript"/>
              </w:rPr>
              <w:t>(1)(2)(3)</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100" w:type="dxa"/>
            <w:vAlign w:val="bottom"/>
            <w:shd w:val="clear" w:color="auto" w:fill="CCEEFF"/>
          </w:tcPr>
          <w:p>
            <w:pPr>
              <w:spacing w:after="0"/>
              <w:rPr>
                <w:sz w:val="19"/>
                <w:szCs w:val="19"/>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306"/>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Cynthia Marshall</w:t>
            </w:r>
            <w:r>
              <w:rPr>
                <w:rFonts w:ascii="Times New Roman" w:cs="Times New Roman" w:eastAsia="Times New Roman" w:hAnsi="Times New Roman"/>
                <w:sz w:val="23"/>
                <w:szCs w:val="23"/>
                <w:color w:val="auto"/>
                <w:vertAlign w:val="superscript"/>
              </w:rPr>
              <w:t>(1)(3)</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100" w:type="dxa"/>
            <w:vAlign w:val="bottom"/>
          </w:tcPr>
          <w:p>
            <w:pPr>
              <w:spacing w:after="0"/>
              <w:rPr>
                <w:sz w:val="24"/>
                <w:szCs w:val="24"/>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2" w:lineRule="exact"/>
        <w:rPr>
          <w:sz w:val="20"/>
          <w:szCs w:val="20"/>
          <w:color w:val="auto"/>
        </w:rPr>
      </w:pPr>
    </w:p>
    <w:p>
      <w:pPr>
        <w:ind w:left="320" w:hanging="312"/>
        <w:spacing w:after="0"/>
        <w:tabs>
          <w:tab w:leader="none" w:pos="32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People, Culture, and Compensation Committee</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Audit and Risk Committee</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Nominating and Corporate Governance Committee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71" w:lineRule="exact"/>
        <w:rPr>
          <w:sz w:val="20"/>
          <w:szCs w:val="20"/>
          <w:color w:val="auto"/>
        </w:rPr>
      </w:pPr>
    </w:p>
    <w:p>
      <w:pPr>
        <w:ind w:right="8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Christopher Britt. </w:t>
      </w:r>
      <w:r>
        <w:rPr>
          <w:rFonts w:ascii="Times New Roman" w:cs="Times New Roman" w:eastAsia="Times New Roman" w:hAnsi="Times New Roman"/>
          <w:sz w:val="18"/>
          <w:szCs w:val="18"/>
          <w:color w:val="auto"/>
        </w:rPr>
        <w:t>Mr. Britt is one of our co-founders and has served as our Chief Executive Officer and Chairman of our board of directors since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founding in 2012. Previously, Mr. Britt worked at Green Dot Corporation, a financial technology company, as Senior Vice President of Corporate Development from 2010 to 2012 and Chief Product Officer from 2007 to 2010. Before that, Mr. Britt held senior positions at Visa and Comscore. Mr. Britt currently serves on the board of directors of CoachArt, a non-profit organization. Mr. Britt holds a B.A. in History from Tulane University.</w:t>
      </w:r>
    </w:p>
    <w:p>
      <w:pPr>
        <w:spacing w:after="0" w:line="126"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Mr. Britt was selected to serve on our board of directors because of the perspective and experience he brings as our Chief Executive Officer and as a co-founder.</w:t>
      </w:r>
    </w:p>
    <w:p>
      <w:pPr>
        <w:spacing w:after="0" w:line="104" w:lineRule="exact"/>
        <w:rPr>
          <w:sz w:val="20"/>
          <w:szCs w:val="20"/>
          <w:color w:val="auto"/>
        </w:rPr>
      </w:pPr>
    </w:p>
    <w:p>
      <w:pPr>
        <w:ind w:right="2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Ryan King. </w:t>
      </w:r>
      <w:r>
        <w:rPr>
          <w:rFonts w:ascii="Times New Roman" w:cs="Times New Roman" w:eastAsia="Times New Roman" w:hAnsi="Times New Roman"/>
          <w:sz w:val="18"/>
          <w:szCs w:val="18"/>
          <w:color w:val="auto"/>
        </w:rPr>
        <w:t>Mr. King is one of our co-founders and has served in varying positions and as a member of our board of directors since February 2019.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King currently serves as Co-Founder and had also served as our Chief Technical Officer from our founding to August 2022 and from August 2023 to May 2024. Previously, Mr. King worked at Plaxo until its acquisition by Comcast, and then at Comcast Silicon Valley Innovation Center as Chief Technology Officer and Vice President from 2010 to 2012. Mr. King holds a B.S. in Computer Science and Engineering from University of California, Los Angeles and an M.S. in Computer Science from Stanford University.</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Mr. King was selected to serve on our board of directors because of the perspective and experience he brings as our Co-Founder.</w:t>
      </w:r>
    </w:p>
    <w:p>
      <w:pPr>
        <w:spacing w:after="0" w:line="167" w:lineRule="exact"/>
        <w:rPr>
          <w:sz w:val="20"/>
          <w:szCs w:val="20"/>
          <w:color w:val="auto"/>
        </w:rPr>
      </w:pPr>
    </w:p>
    <w:p>
      <w:pPr>
        <w:ind w:right="20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Matthew Newcomb. </w:t>
      </w:r>
      <w:r>
        <w:rPr>
          <w:rFonts w:ascii="Times New Roman" w:cs="Times New Roman" w:eastAsia="Times New Roman" w:hAnsi="Times New Roman"/>
          <w:sz w:val="18"/>
          <w:szCs w:val="18"/>
          <w:color w:val="auto"/>
        </w:rPr>
        <w:t>Mr. Newcomb has served as our Chief Financial Officer since September 2019, and before that in various senior roles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joining Chime to lead our finance and strategy team in September 2016. Mr. Newcomb has previous experience in fintech and capital markets, having served as a Vice President in BlackRock’s Financial Markets Advisory practice and Portfolio Analytics group from 2008 to 2012. Mr. Newcomb also co-founded DigiPuppets LLC, a children’s education technology company from 2014 to 2016. Mr. Newcomb holds a B.A. in International Relations from Brown University and an M.B.A. from the Wharton School at the University of Pennsylvania.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240"/>
          </w:cols>
          <w:pgMar w:left="320" w:top="124" w:right="339" w:bottom="1440" w:gutter="0" w:footer="0" w:header="0"/>
        </w:sectPr>
      </w:pPr>
    </w:p>
    <w:bookmarkStart w:id="194" w:name="page195"/>
    <w:bookmarkEnd w:id="194"/>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6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Adam Frankel. </w:t>
      </w:r>
      <w:r>
        <w:rPr>
          <w:rFonts w:ascii="Times New Roman" w:cs="Times New Roman" w:eastAsia="Times New Roman" w:hAnsi="Times New Roman"/>
          <w:sz w:val="18"/>
          <w:szCs w:val="18"/>
          <w:color w:val="auto"/>
        </w:rPr>
        <w:t>Mr. Frankel has served as our General Counsel and Corporate Secretary since August 2023. Previously, Mr. Frankel served as General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Counsel at CBAM Partners, Inc. and its successor, an alternative investment management firm and investment adviser, from October 2018 to July 2023. Before that, Mr. Frankel served as General Counsel at Evercore Partners Inc. from 2006 to 2018 and at Genesee &amp; Wyoming Inc. from 2003 to 2006. Mr. Frankel previously held positions with Ford Motor Company and Simpson Thacher &amp; Bartlett LLP. Mr. Frankel currently serves on the board of directors of Fireblocks Trust Company, LLC. Mr. Frankel holds a B.A. in Economics from Brown University and a J.D. from Stanford Law School.</w:t>
      </w:r>
    </w:p>
    <w:p>
      <w:pPr>
        <w:spacing w:after="0" w:line="125" w:lineRule="exact"/>
        <w:rPr>
          <w:sz w:val="20"/>
          <w:szCs w:val="20"/>
          <w:color w:val="auto"/>
        </w:rPr>
      </w:pPr>
    </w:p>
    <w:p>
      <w:pPr>
        <w:ind w:right="16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 Troughton. </w:t>
      </w:r>
      <w:r>
        <w:rPr>
          <w:rFonts w:ascii="Times New Roman" w:cs="Times New Roman" w:eastAsia="Times New Roman" w:hAnsi="Times New Roman"/>
          <w:sz w:val="18"/>
          <w:szCs w:val="18"/>
          <w:color w:val="auto"/>
        </w:rPr>
        <w:t>Mr. Troughton has served as our Chief Operating Officer since November 2019 and had served as our Chief Business Officer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2019 to November 2019. Previously, Mr. Troughton served as President at Ring.com from 2016 through its acquisition by Amazon in 2018, as President at Whisper from 2015 to 2016, as President, Americas of Wonga.com from 2012 to 2013. Before that, Mr. Troughton held various senior positions at Green Dot Corporation from 2003 to 2012, including as President, Cards &amp; Network from 2007 to 2012. Mr. Troughton holds a BCom, a BCom (Hons), and an MCom, each in finance, accounting, or related subjects, from the University of Cape Town (South Africa).</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Directors</w:t>
      </w:r>
    </w:p>
    <w:p>
      <w:pPr>
        <w:spacing w:after="0" w:line="171" w:lineRule="exact"/>
        <w:rPr>
          <w:sz w:val="20"/>
          <w:szCs w:val="20"/>
          <w:color w:val="auto"/>
        </w:rPr>
      </w:pPr>
    </w:p>
    <w:p>
      <w:pPr>
        <w:ind w:right="20" w:firstLine="324"/>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Shawn Carolan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Mr. Carolan has served as a member of our board of directors since May 2018. Mr. Carolan currently serves as a Partner at Menlo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Ventures, a venture capital firm, a position he has held since 2002, and leads their consumer practice. Previously, Mr. Carolan served as the Chief Executive Officer of Handle, Inc. and as a Senior Developer at Open Port Technology, Inc. Mr. Carolan currently serves on the boards of directors of a number of privately-held companies and previously served on the board of directors of Roku, Inc. and Siri (acquired by Apple, Inc.). Mr. Carolan holds a B.S. in Electrical Engineering and an M.S. in Electrical Engineering from the University of Illinois Urbana-Champaign, and an M.B.A. from Stanford University.</w:t>
      </w:r>
    </w:p>
    <w:p>
      <w:pPr>
        <w:spacing w:after="0" w:line="114"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Mr. Carolan was selected to serve as a member of our board of directors because of his experience in the venture capital industry and knowledge of technology companies.</w:t>
      </w:r>
    </w:p>
    <w:p>
      <w:pPr>
        <w:spacing w:after="0" w:line="104"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Susan Decker. </w:t>
      </w:r>
      <w:r>
        <w:rPr>
          <w:rFonts w:ascii="Times New Roman" w:cs="Times New Roman" w:eastAsia="Times New Roman" w:hAnsi="Times New Roman"/>
          <w:sz w:val="18"/>
          <w:szCs w:val="18"/>
          <w:color w:val="auto"/>
        </w:rPr>
        <w:t>Ms. Decker has served as a member of our board of directors since July 2021. Ms. Decker founded and serves as the Chief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of Raftr Inc., a community engagement platform for universities, a position she has held since January 2021. Previously, Ms. Decker held various executive management positions at Yahoo! Inc., a global internet brand, including as President from 2007 to 2009 and Executive Vice President and Chief Financial Officer from 2000 to 2007. Ms. Decker currently serves on the boards of directors of Berkshire Hathaway Inc., a multinational conglomerate holding company, Costco Wholesale Corporation, a warehouse club retail store, Vail Resorts, Inc., a mountain resort company, and a number of privately-held companies. Ms. Decker previously served on the board of directors of Momentive Global Inc. and InterPrivate II Acquisition Corp. Ms. Decker holds a B.S. in Computer Science from Tufts University and an M.B.A. from Harvard Business School.</w:t>
      </w:r>
    </w:p>
    <w:p>
      <w:pPr>
        <w:spacing w:after="0" w:line="133"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Ms. Decker was selected to serve on our board of directors because of her experience in financial and operational roles and as a public company director.</w:t>
      </w:r>
    </w:p>
    <w:p>
      <w:pPr>
        <w:spacing w:after="0" w:line="104" w:lineRule="exact"/>
        <w:rPr>
          <w:sz w:val="20"/>
          <w:szCs w:val="20"/>
          <w:color w:val="auto"/>
        </w:rPr>
      </w:pPr>
    </w:p>
    <w:p>
      <w:pPr>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Jimmy Dunne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Dunne has served as a member of our board of directors since July 2021. Mr. Dunne currently serves as a Vice Chairman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Senior Managing Principal of Piper Sandler Companies, an investment bank, a position he has held since January 2020. Previously, Mr. Dunne served as a Founding Partner at Sandler O’Neill &amp; Partners, L.P. until its merger with Piper Jaffray created Piper Sandler. Mr. Dunne currently serves as a member of the board of directors of American International Group, Inc., as a director of Troon Golf, and as a trustee of the University of Notre Dame. Mr. Dunne holds a B.A. in Economics from the University of Notre Dame.</w:t>
      </w:r>
    </w:p>
    <w:p>
      <w:pPr>
        <w:spacing w:after="0" w:line="129"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Mr. Dunne was selected to serve on our board of directors because of his experience in leadership roles in the investment banking and financial services industries and as a public company director.</w:t>
      </w:r>
    </w:p>
    <w:p>
      <w:pPr>
        <w:spacing w:after="0" w:line="104" w:lineRule="exact"/>
        <w:rPr>
          <w:sz w:val="20"/>
          <w:szCs w:val="20"/>
          <w:color w:val="auto"/>
        </w:rPr>
      </w:pPr>
    </w:p>
    <w:p>
      <w:pPr>
        <w:ind w:right="20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James M. P. Feuille. </w:t>
      </w:r>
      <w:r>
        <w:rPr>
          <w:rFonts w:ascii="Times New Roman" w:cs="Times New Roman" w:eastAsia="Times New Roman" w:hAnsi="Times New Roman"/>
          <w:sz w:val="18"/>
          <w:szCs w:val="18"/>
          <w:color w:val="auto"/>
        </w:rPr>
        <w:t>Mr. Feuille has served as a member of our board of directors since October 2014. Mr. Feuille currently serves as a Venture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 at Crosslink Capital, an investment and venture capital management firm, a position he has held since January 2018. Mr. Feuille also serves as an Adjunct Professor at Dartmouth College. Mr. Feuille has been affiliated with Crosslink since 2002 and served as a General Partner from 2005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240"/>
          </w:cols>
          <w:pgMar w:left="320" w:top="124" w:right="339" w:bottom="1440" w:gutter="0" w:footer="0" w:header="0"/>
        </w:sectPr>
      </w:pPr>
    </w:p>
    <w:bookmarkStart w:id="195" w:name="page196"/>
    <w:bookmarkEnd w:id="195"/>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2018. Previously, Mr. Feuille served as the Global Head of Technology Investment Banking at UBS Investment Bank, Chief Operating Officer at Volpe Brown Whelan &amp; Company, and Head of Technology Investment Banking at Robertson Stephens &amp; Company. Mr. Feuille currently serves on the boards of directors of a number of privately-held companies. Mr. Feuille holds an A.B. in Chemistry from Dartmouth College and a J.D. and an M.B.A. from Stanford University.</w:t>
      </w:r>
    </w:p>
    <w:p>
      <w:pPr>
        <w:spacing w:after="0" w:line="126"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Mr. Feuille was selected to serve on our board of directors because of his experience in the venture capital industry and knowledge of technology companies.</w:t>
      </w:r>
    </w:p>
    <w:p>
      <w:pPr>
        <w:spacing w:after="0" w:line="104" w:lineRule="exact"/>
        <w:rPr>
          <w:sz w:val="20"/>
          <w:szCs w:val="20"/>
          <w:color w:val="auto"/>
        </w:rPr>
      </w:pPr>
    </w:p>
    <w:p>
      <w:pPr>
        <w:ind w:right="180" w:firstLine="324"/>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 xml:space="preserve">Cynthia Marshall. </w:t>
      </w:r>
      <w:r>
        <w:rPr>
          <w:rFonts w:ascii="Times New Roman" w:cs="Times New Roman" w:eastAsia="Times New Roman" w:hAnsi="Times New Roman"/>
          <w:sz w:val="17"/>
          <w:szCs w:val="17"/>
          <w:color w:val="auto"/>
        </w:rPr>
        <w:t>Ms. Marshall has served as a member of our board of directors since July 2021. Ms. Marshall previously served as the Chief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Executive Officer of the Dallas Mavericks, a professional basketball team, from 2018 to December 2024. Ms. Marshall also founded and serves as President and CEO of Marshalling Resources, a consulting firm. Previously, Ms. Marshall served in various senior positions at AT&amp;T Inc. from 1981 to 2017, including as SVP - Human Resources and Chief Diversity Officer. Ms. Marshall currently serves on the boards of directors of BGSF, Inc., a consulting and staffing company, Jeld-Wen Holdings, Inc., a manufacturing company, and various non-profit organizations. Ms. Marshall holds a B.S. in Business Administration and a B.A. in Human Resource Management from the University of California, Berkeley and four honorary Doctorate degrees.</w:t>
      </w:r>
    </w:p>
    <w:p>
      <w:pPr>
        <w:spacing w:after="0" w:line="118"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Ms. Marshall was selected to serve on our board of directors because of her experience in operational roles in human resources and culture and as a public company director.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are no family relationships among any of our executive officers or directors.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75"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Our board of directors has adopted a code of business conduct and ethics that applies to all of our employees, officers, and directors, including our Chief Executive Officer, Chief Financial Officer, and other executive and senior financial officers. The full text of our code of business conduct and ethics will be posted on the investor relations page on our website. We intend to disclose any amendments to our code of business conduct and ethics, or waivers of its requirements, on our website or in filings under the Exchange Act.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business and affairs are managed under the direction of our board of directors. Our board of directors currently consists of seven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our current certificate of incorporation and amended and restated voting agreement, our current directors were elected as follows:</w:t>
      </w:r>
    </w:p>
    <w:p>
      <w:pPr>
        <w:spacing w:after="0" w:line="153" w:lineRule="exact"/>
        <w:rPr>
          <w:sz w:val="20"/>
          <w:szCs w:val="20"/>
          <w:color w:val="auto"/>
        </w:rPr>
      </w:pPr>
    </w:p>
    <w:p>
      <w:pPr>
        <w:ind w:left="660" w:hanging="328"/>
        <w:spacing w:after="0"/>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Messrs. Britt and King were elected by holders of our common stock as the designees nominated by Messrs. Britt and King;</w:t>
      </w:r>
    </w:p>
    <w:p>
      <w:pPr>
        <w:spacing w:after="0" w:line="17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Mses. Decker and Marshall and Mr. Dunne were elected by holders of our common stock and our Series Seed, Series A, Series A-1, Series A-2, Series B, Series C, Series C-1, and Series D redeemable convertible preferred stock as the designees nominated by Messrs. Britt and King;</w:t>
      </w:r>
    </w:p>
    <w:p>
      <w:pPr>
        <w:spacing w:after="0" w:line="10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Feuille was elected by holders of our Series A redeemable convertible preferred stock as the designee nominated by Crosslink Ventures VII, L.P. and Crosslink Crossover Fund VI, L.P.; and</w:t>
      </w:r>
    </w:p>
    <w:p>
      <w:pPr>
        <w:spacing w:after="0" w:line="107"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Carolan was elected by holders of our Series C redeemable convertible preferred stock as the designee nominated by Menlo Ventures XIV, L.P.</w:t>
      </w:r>
    </w:p>
    <w:p>
      <w:pPr>
        <w:spacing w:after="0" w:line="108" w:lineRule="exact"/>
        <w:rPr>
          <w:sz w:val="20"/>
          <w:szCs w:val="20"/>
          <w:color w:val="auto"/>
        </w:rPr>
      </w:pPr>
    </w:p>
    <w:p>
      <w:pPr>
        <w:jc w:val="both"/>
        <w:ind w:firstLine="324"/>
        <w:spacing w:after="0" w:line="289" w:lineRule="auto"/>
        <w:rPr>
          <w:sz w:val="20"/>
          <w:szCs w:val="20"/>
          <w:color w:val="auto"/>
        </w:rPr>
      </w:pPr>
      <w:r>
        <w:rPr>
          <w:rFonts w:ascii="Times New Roman" w:cs="Times New Roman" w:eastAsia="Times New Roman" w:hAnsi="Times New Roman"/>
          <w:sz w:val="17"/>
          <w:szCs w:val="17"/>
          <w:color w:val="auto"/>
        </w:rPr>
        <w:t>Our voting agreement will terminate and the provisions of our current certificate of incorporation by which our directors were elected will be amended and restated in connection with this offering. After this offering, the number of directors will be fixed by our board of directors, subject to the terms of our amended and restated certificate of incorporation and amended and restated bylaws that will become effective immediately prior to the completion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180"/>
          </w:cols>
          <w:pgMar w:left="320" w:top="124" w:right="399" w:bottom="1440" w:gutter="0" w:footer="0" w:header="0"/>
        </w:sectPr>
      </w:pPr>
    </w:p>
    <w:bookmarkStart w:id="196" w:name="page197"/>
    <w:bookmarkEnd w:id="196"/>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this offering. Each of our current directors will continue to serve as a director until the election and qualification of their successor, or until their earlier death, resignation or removal.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75"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Our board of directors has undertaken a review of the independence of each director. Based on information provided by each director concerning their background, employment and affiliations, our board of directors has determined that Messrs. Carolan, Dunne, and Feuille and Mses. Decker and Marshall do not have a relationship that would interfere with the exercise of independent judgment in carrying out the responsibilities of a director and that each of these directors is “independent” as that term is defined under the Nasdaq corporate governance requirements.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“Certain Relationships and Related Party Transactions.”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75"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Our board of directors has established an audit and risk committee, a people, culture, and compensation committee, and a nominating and corporate governance committee. The composition and responsibilities of each of the committees of our board of directors is described below. Members will serve on these committees until their resignation or until as otherwise determined by our board of directors.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Audit and Risk Committee</w:t>
      </w:r>
    </w:p>
    <w:p>
      <w:pPr>
        <w:spacing w:after="0" w:line="175"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Following the completion of this offering, our audit and risk committee will consist of Ms. Decker and Messrs. Dunne and Feuille, with Ms. Decker serving as Chairperson, and each of whom will meet the requirements for independence under the Nasdaq corporate governance requirements and Rule</w:t>
      </w:r>
    </w:p>
    <w:p>
      <w:pPr>
        <w:spacing w:after="0" w:line="253" w:lineRule="auto"/>
        <w:rPr>
          <w:sz w:val="20"/>
          <w:szCs w:val="20"/>
          <w:color w:val="auto"/>
        </w:rPr>
      </w:pPr>
      <w:r>
        <w:rPr>
          <w:rFonts w:ascii="Times New Roman" w:cs="Times New Roman" w:eastAsia="Times New Roman" w:hAnsi="Times New Roman"/>
          <w:sz w:val="18"/>
          <w:szCs w:val="18"/>
          <w:color w:val="auto"/>
        </w:rPr>
        <w:t>10A-3 under the Exchange Act. Each member of our audit and risk committee will also meet the financial literacy and sophistication requirements of the Nasdaq listing standards. We believe that the composition and functioning of our audit and risk committee complies with all applicable requirements of the Sarbanes-Oxley Act and all applicable SEC rules and regulations. In addition, our board of directors has determined that Ms. Decker is an audit committee financial expert within the meaning of Item 407(d) of Regulation S-K under the Securities Act. Following the completion of this offering, our audit and risk committee will, among other things:</w:t>
      </w:r>
    </w:p>
    <w:p>
      <w:pPr>
        <w:spacing w:after="0" w:line="133" w:lineRule="exact"/>
        <w:rPr>
          <w:sz w:val="20"/>
          <w:szCs w:val="20"/>
          <w:color w:val="auto"/>
        </w:rPr>
      </w:pPr>
    </w:p>
    <w:p>
      <w:pPr>
        <w:ind w:left="660" w:hanging="328"/>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 and oversee a qualified firm to serve as the independent registered public accounting firm to audit our financial statements;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 to ensure the independence and performance of the independent registered public accounting firm;</w:t>
      </w:r>
    </w:p>
    <w:p>
      <w:pPr>
        <w:spacing w:after="0" w:line="171" w:lineRule="exact"/>
        <w:rPr>
          <w:rFonts w:ascii="Times New Roman" w:cs="Times New Roman" w:eastAsia="Times New Roman" w:hAnsi="Times New Roman"/>
          <w:sz w:val="18"/>
          <w:szCs w:val="18"/>
          <w:color w:val="auto"/>
        </w:rPr>
      </w:pPr>
    </w:p>
    <w:p>
      <w:pPr>
        <w:ind w:left="660" w:right="840" w:hanging="328"/>
        <w:spacing w:after="0" w:line="282" w:lineRule="auto"/>
        <w:tabs>
          <w:tab w:leader="none" w:pos="65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the scope and results of the audit with the independent registered public accounting firm, and review, with management and the independent registered public accounting firm, our interim and year-end results of operations;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our internal audit function;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procedures for employees to submit concerns anonymously about questionable accounting or audit matters;</w:t>
      </w:r>
    </w:p>
    <w:p>
      <w:pPr>
        <w:spacing w:after="0" w:line="171"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our overall risk management framework, including policies and practices with respect to key current and emerging risks such as financial, accounting, tax, legal and regulatory and financial crimes compliance, technology (including cybersecurity, information security, and privacy), operational, credit, capital and other matters;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if applicable, approve or ratify related party transactions;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220"/>
          </w:cols>
          <w:pgMar w:left="320" w:top="124" w:right="359" w:bottom="1440" w:gutter="0" w:footer="0" w:header="0"/>
        </w:sectPr>
      </w:pPr>
    </w:p>
    <w:bookmarkStart w:id="197" w:name="page198"/>
    <w:bookmarkEnd w:id="197"/>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60" w:right="40" w:hanging="328"/>
        <w:spacing w:after="0" w:line="282" w:lineRule="auto"/>
        <w:tabs>
          <w:tab w:leader="none" w:pos="65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or, as required, pre-approve, all audit and all permissible non-audit services, other than de minimis non-audit services, to be performed by the independent registered public accounting firm.</w:t>
      </w:r>
    </w:p>
    <w:p>
      <w:pPr>
        <w:spacing w:after="0" w:line="108"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Our audit and risk committee will operate under a written charter, to be effective prior to the completion of this offering, that satisfies the applicable rules and regulations of the SEC and the Nasdaq listing standards.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People, Culture, and Compensation Committee</w:t>
      </w:r>
    </w:p>
    <w:p>
      <w:pPr>
        <w:spacing w:after="0" w:line="17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Following the completion of this offering, our people, culture, and compensation committee will consist of Messrs. Carolan and Feuille and Ms. Marshall, with Mr. Feuille serving as Chairperson, and each of whom will meet the requirements for independence under the Nasdaq corporate governance requirements. Each member of our people, culture, and compensation committee will also be a non-employee director, as defined pursuant to Rule 16b-3 promulgated under the Exchange Act (“Rule 16b-3”). We believe that the composition and functioning of our people, culture, and compensation committee complies with all applicable requirements of the Sarbanes-Oxley Act and all applicable SEC rules and regulations. Following the completion of this offering, our people, culture, and compensation committee will, among other things:</w:t>
      </w:r>
    </w:p>
    <w:p>
      <w:pPr>
        <w:spacing w:after="0" w:line="133" w:lineRule="exact"/>
        <w:rPr>
          <w:sz w:val="20"/>
          <w:szCs w:val="20"/>
          <w:color w:val="auto"/>
        </w:rPr>
      </w:pPr>
    </w:p>
    <w:p>
      <w:pPr>
        <w:ind w:left="660" w:hanging="328"/>
        <w:spacing w:after="0"/>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approve, and determine, or make recommendations to our board of directors regarding, the compensation of our executive officers;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approve, and determine officer and executive compensation goals, policies, plans, and programs;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our incentive compensation and equity compensation plans, to the extent such authority is delegated by our board of directors;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or make recommendations to our board of directors regarding, executive compensation and equity compensation plans;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the terms of any employment agreements, severance arrangements, change in control protections, indemnification agreements, and other similar arrangements between us and our executive officers;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and oversee any compensation consultants;</w:t>
      </w:r>
    </w:p>
    <w:p>
      <w:pPr>
        <w:spacing w:after="0" w:line="17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with management our disclosures under the caption “Compensation Discussion and Analysis” in our periodic reports or proxy statements to be filed with the SEC, to the extent such caption is included in any such report or proxy statement;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and oversee our compensation recovery policy required by applicable SEC rules;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succession planning with respect to our executive officers in coordination with our nominating and corporate governance committee;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review general policies relating to compensation and benefits of our employees.</w:t>
      </w:r>
    </w:p>
    <w:p>
      <w:pPr>
        <w:spacing w:after="0" w:line="171"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Our people, culture, and compensation committee will operate under a written charter, to be effective prior to the completion of this offering, that satisfies the applicable rules and regulations of the SEC and the Nasdaq listing standards.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75"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Following the completion of this offering, our nominating and corporate governance committee will consist of Messrs. Dunne and Feuille and Ms. Marshall, with Mr. Feuille serving as Chairperson, and each of whom will meet the requirements for independence under the Nasdaq corporate governance requirements. We believe that the composition and functioning of our nominating and corporate governance committee complies with all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220"/>
          </w:cols>
          <w:pgMar w:left="320" w:top="124" w:right="359" w:bottom="1440" w:gutter="0" w:footer="0" w:header="0"/>
        </w:sectPr>
      </w:pPr>
    </w:p>
    <w:bookmarkStart w:id="198" w:name="page199"/>
    <w:bookmarkEnd w:id="198"/>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requirements of the Sarbanes-Oxley Act and all applicable SEC rules and regulations. Following the completion of this offering, our nominating and corporate governance committee will, among other things:</w:t>
      </w:r>
    </w:p>
    <w:p>
      <w:pPr>
        <w:spacing w:after="0" w:line="108" w:lineRule="exact"/>
        <w:rPr>
          <w:sz w:val="20"/>
          <w:szCs w:val="20"/>
          <w:color w:val="auto"/>
        </w:rPr>
      </w:pPr>
    </w:p>
    <w:p>
      <w:pPr>
        <w:ind w:left="660" w:hanging="328"/>
        <w:spacing w:after="0" w:line="282" w:lineRule="auto"/>
        <w:tabs>
          <w:tab w:leader="none" w:pos="65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evaluate, and select, or make recommendations to our board of directors regarding, nominees for election to our board of directors and its committees, including reviewing criteria for identifying and evaluating directors;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annual evaluation of our board of directors, its committees, and individual directors;</w:t>
      </w:r>
    </w:p>
    <w:p>
      <w:pPr>
        <w:spacing w:after="0" w:line="171"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 and make recommendations to our board of directors regarding the size, structure, and composition of our board of directors and its committees;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succession planning with respect to our executive officers in coordination with our people, culture, and compensation committee;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developments in corporate governance practices;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make recommendations to our board of directors regarding corporate governance guidelines and matters;</w:t>
      </w:r>
    </w:p>
    <w:p>
      <w:pPr>
        <w:spacing w:after="0" w:line="17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programs, policies, practices, and disclosures with respect to corporate responsibility and sustainability, including environmental, social, and corporate governance matters;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engagement efforts with stockholders and other key stakeholders.</w:t>
      </w:r>
    </w:p>
    <w:p>
      <w:pPr>
        <w:spacing w:after="0" w:line="171"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Our nominating and corporate governance committee will operate under a written charter, to be effective prior to the completion of this offering, that satisfies the applicable Nasdaq listing standards.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None of the members of our people, culture, and compensation committee is or has been an officer or employee of our company. None of our executive officers currently serves, or in the past year has served, as a member of the board of directors or compensation committee (or other board committee performing equivalent functions) of any entity that has one or more of its executive officers serving on our board of directors or people, culture, and compensation committee. See the section titled “Certain Relationships and Related Party Transactions” for information about related party transactions involving members of our people, culture, and compensation committee or their affiliates.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175"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Our employee directors, Messrs. Britt and King, have not received any compensation for their services as directors for the year ended December 31, 2024. The compensation received by Messrs. Britt and King as employees is set forth in the section titled “Executive Compensation—2024 Summary Compensation Table.”</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Compensation</w:t>
      </w:r>
    </w:p>
    <w:p>
      <w:pPr>
        <w:spacing w:after="0" w:line="175"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In July 2021, our board of directors approved a compensation policy pursuant to which each eligible and participating non-employee director is entitled to receive the following cash compensation for their services:</w:t>
      </w:r>
    </w:p>
    <w:p>
      <w:pPr>
        <w:spacing w:after="0" w:line="108" w:lineRule="exact"/>
        <w:rPr>
          <w:sz w:val="20"/>
          <w:szCs w:val="20"/>
          <w:color w:val="auto"/>
        </w:rPr>
      </w:pPr>
    </w:p>
    <w:p>
      <w:pPr>
        <w:ind w:left="660" w:hanging="328"/>
        <w:spacing w:after="0"/>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$55,000 per year for service as a board member;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 per year for service as chair of the audit and risk committee;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$12,500 per year for service as a member of the audit and risk committee;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 per year for service as chair of the people, culture, and compensation committee;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 per year for service as a member of the people, culture, and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180"/>
          </w:cols>
          <w:pgMar w:left="320" w:top="124" w:right="399" w:bottom="1440" w:gutter="0" w:footer="0" w:header="0"/>
        </w:sectPr>
      </w:pPr>
    </w:p>
    <w:bookmarkStart w:id="199" w:name="page200"/>
    <w:bookmarkEnd w:id="199"/>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60" w:hanging="328"/>
        <w:spacing w:after="0"/>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 per year for service as chair of the nominating and corporate governance committee;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$7,500 per year for service as a member of the nominating and corporate governance committee.</w:t>
      </w:r>
    </w:p>
    <w:p>
      <w:pPr>
        <w:spacing w:after="0" w:line="171"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Messrs. Carolan and Feuille, who are affiliated with Menlo Ventures and Crosslink Capital, respectively, did not participate in this compensation policy.</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17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August 2024, we granted an award of 6,667 RSUs to each of Mses. Decker and Marshall and Mr. Dunne under our 2012 Plan. The RSUs are subject to a service-based vesting condition and a liquidity-based vesting condition, each of which must be satisfied for the RSUs to vest. The service-based vesting condition will be satisfied in four equal quarterly installments following the applicable vesting commencement date, subject to such non-employee director remaining a service provider to us through the applicable vesting date. The liquidity-based vesting condition is generally satisfied upon the occurrence of a change in control event or the effective date of the registration statement of which this prospectus forms a part, in each case prior to the seven-year anniversary of the date of grant.</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information regarding the compensation of our non-employee directors for service as directors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or Paid in</w:t>
            </w:r>
          </w:p>
        </w:tc>
        <w:tc>
          <w:tcPr>
            <w:tcW w:w="16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156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203"/>
        </w:trPr>
        <w:tc>
          <w:tcPr>
            <w:tcW w:w="6360" w:type="dxa"/>
            <w:vAlign w:val="bottom"/>
            <w:gridSpan w:val="2"/>
            <w:vMerge w:val="continue"/>
          </w:tcPr>
          <w:p>
            <w:pPr>
              <w:spacing w:after="0"/>
              <w:rPr>
                <w:sz w:val="17"/>
                <w:szCs w:val="17"/>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Cash ($)</w:t>
            </w:r>
          </w:p>
        </w:tc>
        <w:tc>
          <w:tcPr>
            <w:tcW w:w="156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2"/>
              </w:rPr>
              <w:t>($)</w:t>
            </w:r>
            <w:r>
              <w:rPr>
                <w:rFonts w:ascii="Times New Roman" w:cs="Times New Roman" w:eastAsia="Times New Roman" w:hAnsi="Times New Roman"/>
                <w:sz w:val="18"/>
                <w:szCs w:val="18"/>
                <w:b w:val="1"/>
                <w:bCs w:val="1"/>
                <w:color w:val="auto"/>
                <w:w w:val="92"/>
                <w:vertAlign w:val="superscript"/>
              </w:rPr>
              <w:t>(1)</w:t>
            </w:r>
          </w:p>
        </w:tc>
        <w:tc>
          <w:tcPr>
            <w:tcW w:w="100" w:type="dxa"/>
            <w:vAlign w:val="bottom"/>
          </w:tcPr>
          <w:p>
            <w:pPr>
              <w:spacing w:after="0"/>
              <w:rPr>
                <w:sz w:val="17"/>
                <w:szCs w:val="17"/>
                <w:color w:val="auto"/>
              </w:rPr>
            </w:pPr>
          </w:p>
        </w:tc>
        <w:tc>
          <w:tcPr>
            <w:tcW w:w="1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Shawn Carolan</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Susan Decker</w:t>
            </w:r>
          </w:p>
        </w:tc>
        <w:tc>
          <w:tcPr>
            <w:tcW w:w="1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160,165</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240,165</w:t>
            </w:r>
          </w:p>
        </w:tc>
        <w:tc>
          <w:tcPr>
            <w:tcW w:w="0" w:type="dxa"/>
            <w:vAlign w:val="bottom"/>
          </w:tcPr>
          <w:p>
            <w:pPr>
              <w:spacing w:after="0"/>
              <w:rPr>
                <w:sz w:val="1"/>
                <w:szCs w:val="1"/>
                <w:color w:val="auto"/>
              </w:rPr>
            </w:pPr>
          </w:p>
        </w:tc>
      </w:tr>
      <w:tr>
        <w:trPr>
          <w:trHeight w:val="223"/>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Jimmy Dunne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160,165</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235,165</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James M. P. Feuille</w:t>
            </w:r>
          </w:p>
        </w:tc>
        <w:tc>
          <w:tcPr>
            <w:tcW w:w="166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Cynthia Marshall</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160,165</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232,665</w:t>
            </w:r>
          </w:p>
        </w:tc>
        <w:tc>
          <w:tcPr>
            <w:tcW w:w="0" w:type="dxa"/>
            <w:vAlign w:val="bottom"/>
          </w:tcPr>
          <w:p>
            <w:pPr>
              <w:spacing w:after="0"/>
              <w:rPr>
                <w:sz w:val="1"/>
                <w:szCs w:val="1"/>
                <w:color w:val="auto"/>
              </w:rPr>
            </w:pPr>
          </w:p>
        </w:tc>
      </w:tr>
      <w:tr>
        <w:trPr>
          <w:trHeight w:val="243"/>
        </w:trPr>
        <w:tc>
          <w:tcPr>
            <w:tcW w:w="626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340" w:right="20" w:hanging="332"/>
        <w:spacing w:after="0" w:line="278" w:lineRule="auto"/>
        <w:tabs>
          <w:tab w:leader="none" w:pos="332"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reported represent the grant date fair value of the equity awards calculated in accordance with Financial Accounting Standards Board Accounting Standards Codification Topic 718 (“ASC Topic 718”). These amounts do not reflect the actual economic value that may be realized by the directors.</w:t>
      </w:r>
    </w:p>
    <w:p>
      <w:pPr>
        <w:spacing w:after="0" w:line="1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lists all outstanding equity awards held by our non-employee directors as of December 31, 2024:</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23"/>
        </w:trPr>
        <w:tc>
          <w:tcPr>
            <w:tcW w:w="7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7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160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0" w:type="dxa"/>
            <w:vAlign w:val="bottom"/>
          </w:tcPr>
          <w:p>
            <w:pPr>
              <w:spacing w:after="0"/>
              <w:rPr>
                <w:sz w:val="1"/>
                <w:szCs w:val="1"/>
                <w:color w:val="auto"/>
              </w:rPr>
            </w:pPr>
          </w:p>
        </w:tc>
      </w:tr>
      <w:tr>
        <w:trPr>
          <w:trHeight w:val="146"/>
        </w:trPr>
        <w:tc>
          <w:tcPr>
            <w:tcW w:w="7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60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Underlying Unvested</w:t>
            </w:r>
          </w:p>
        </w:tc>
        <w:tc>
          <w:tcPr>
            <w:tcW w:w="0" w:type="dxa"/>
            <w:vAlign w:val="bottom"/>
          </w:tcPr>
          <w:p>
            <w:pPr>
              <w:spacing w:after="0"/>
              <w:rPr>
                <w:sz w:val="1"/>
                <w:szCs w:val="1"/>
                <w:color w:val="auto"/>
              </w:rPr>
            </w:pPr>
          </w:p>
        </w:tc>
      </w:tr>
      <w:tr>
        <w:trPr>
          <w:trHeight w:val="198"/>
        </w:trPr>
        <w:tc>
          <w:tcPr>
            <w:tcW w:w="79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 Awards</w:t>
            </w: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187"/>
        </w:trPr>
        <w:tc>
          <w:tcPr>
            <w:tcW w:w="7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Shawn Carolan</w:t>
            </w:r>
          </w:p>
        </w:tc>
        <w:tc>
          <w:tcPr>
            <w:tcW w:w="80" w:type="dxa"/>
            <w:vAlign w:val="bottom"/>
          </w:tcPr>
          <w:p>
            <w:pPr>
              <w:spacing w:after="0"/>
              <w:rPr>
                <w:sz w:val="16"/>
                <w:szCs w:val="16"/>
                <w:color w:val="auto"/>
              </w:rPr>
            </w:pPr>
          </w:p>
        </w:tc>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9"/>
                <w:szCs w:val="9"/>
                <w:color w:val="auto"/>
              </w:rPr>
              <w:t>(2)(3)</w:t>
            </w:r>
          </w:p>
        </w:tc>
        <w:tc>
          <w:tcPr>
            <w:tcW w:w="0" w:type="dxa"/>
            <w:vAlign w:val="bottom"/>
          </w:tcPr>
          <w:p>
            <w:pPr>
              <w:spacing w:after="0"/>
              <w:rPr>
                <w:sz w:val="1"/>
                <w:szCs w:val="1"/>
                <w:color w:val="auto"/>
              </w:rPr>
            </w:pPr>
          </w:p>
        </w:tc>
      </w:tr>
      <w:tr>
        <w:trPr>
          <w:trHeight w:val="193"/>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Susan Decker</w:t>
            </w:r>
          </w:p>
        </w:tc>
        <w:tc>
          <w:tcPr>
            <w:tcW w:w="166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7/7/2021</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57,000</w:t>
            </w:r>
          </w:p>
        </w:tc>
        <w:tc>
          <w:tcPr>
            <w:tcW w:w="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7900" w:type="dxa"/>
            <w:vAlign w:val="bottom"/>
          </w:tcPr>
          <w:p>
            <w:pPr>
              <w:spacing w:after="0"/>
              <w:rPr>
                <w:sz w:val="19"/>
                <w:szCs w:val="19"/>
                <w:color w:val="auto"/>
              </w:rPr>
            </w:pPr>
          </w:p>
        </w:tc>
        <w:tc>
          <w:tcPr>
            <w:tcW w:w="166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8/30/2024</w:t>
            </w: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6,667</w:t>
            </w:r>
          </w:p>
        </w:tc>
        <w:tc>
          <w:tcPr>
            <w:tcW w:w="460" w:type="dxa"/>
            <w:vAlign w:val="bottom"/>
          </w:tcPr>
          <w:p>
            <w:pPr>
              <w:ind w:left="40"/>
              <w:spacing w:after="0"/>
              <w:rPr>
                <w:sz w:val="20"/>
                <w:szCs w:val="20"/>
                <w:color w:val="auto"/>
              </w:rPr>
            </w:pPr>
            <w:r>
              <w:rPr>
                <w:rFonts w:ascii="Times New Roman" w:cs="Times New Roman" w:eastAsia="Times New Roman" w:hAnsi="Times New Roman"/>
                <w:sz w:val="9"/>
                <w:szCs w:val="9"/>
                <w:color w:val="auto"/>
              </w:rPr>
              <w:t>(4)</w:t>
            </w:r>
          </w:p>
        </w:tc>
        <w:tc>
          <w:tcPr>
            <w:tcW w:w="0" w:type="dxa"/>
            <w:vAlign w:val="bottom"/>
          </w:tcPr>
          <w:p>
            <w:pPr>
              <w:spacing w:after="0"/>
              <w:rPr>
                <w:sz w:val="1"/>
                <w:szCs w:val="1"/>
                <w:color w:val="auto"/>
              </w:rPr>
            </w:pPr>
          </w:p>
        </w:tc>
      </w:tr>
      <w:tr>
        <w:trPr>
          <w:trHeight w:val="39"/>
        </w:trPr>
        <w:tc>
          <w:tcPr>
            <w:tcW w:w="7900" w:type="dxa"/>
            <w:vAlign w:val="bottom"/>
          </w:tcPr>
          <w:p>
            <w:pPr>
              <w:spacing w:after="0"/>
              <w:rPr>
                <w:sz w:val="3"/>
                <w:szCs w:val="3"/>
                <w:color w:val="auto"/>
              </w:rPr>
            </w:pPr>
          </w:p>
        </w:tc>
        <w:tc>
          <w:tcPr>
            <w:tcW w:w="166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7/7/2021</w:t>
            </w:r>
          </w:p>
        </w:tc>
        <w:tc>
          <w:tcPr>
            <w:tcW w:w="80" w:type="dxa"/>
            <w:vAlign w:val="bottom"/>
          </w:tcPr>
          <w:p>
            <w:pPr>
              <w:spacing w:after="0"/>
              <w:rPr>
                <w:sz w:val="3"/>
                <w:szCs w:val="3"/>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57,000</w:t>
            </w:r>
          </w:p>
        </w:tc>
        <w:tc>
          <w:tcPr>
            <w:tcW w:w="460" w:type="dxa"/>
            <w:vAlign w:val="bottom"/>
            <w:vMerge w:val="restart"/>
          </w:tcPr>
          <w:p>
            <w:pPr>
              <w:ind w:left="40"/>
              <w:spacing w:after="0"/>
              <w:rPr>
                <w:sz w:val="20"/>
                <w:szCs w:val="20"/>
                <w:color w:val="auto"/>
              </w:rPr>
            </w:pPr>
            <w:r>
              <w:rPr>
                <w:rFonts w:ascii="Times New Roman" w:cs="Times New Roman" w:eastAsia="Times New Roman" w:hAnsi="Times New Roman"/>
                <w:sz w:val="9"/>
                <w:szCs w:val="9"/>
                <w:color w:val="auto"/>
              </w:rPr>
              <w:t>(2)</w:t>
            </w:r>
          </w:p>
        </w:tc>
        <w:tc>
          <w:tcPr>
            <w:tcW w:w="0" w:type="dxa"/>
            <w:vAlign w:val="bottom"/>
          </w:tcPr>
          <w:p>
            <w:pPr>
              <w:spacing w:after="0" w:line="20" w:lineRule="exact"/>
              <w:rPr>
                <w:sz w:val="1"/>
                <w:szCs w:val="1"/>
                <w:color w:val="auto"/>
              </w:rPr>
            </w:pPr>
          </w:p>
        </w:tc>
      </w:tr>
      <w:tr>
        <w:trPr>
          <w:trHeight w:val="195"/>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Jimmy Dunne</w:t>
            </w:r>
          </w:p>
        </w:tc>
        <w:tc>
          <w:tcPr>
            <w:tcW w:w="16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gridSpan w:val="2"/>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8/30/2024</w:t>
            </w:r>
          </w:p>
        </w:tc>
        <w:tc>
          <w:tcPr>
            <w:tcW w:w="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6,667</w:t>
            </w:r>
          </w:p>
        </w:tc>
        <w:tc>
          <w:tcPr>
            <w:tcW w:w="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9"/>
                <w:szCs w:val="9"/>
                <w:color w:val="auto"/>
              </w:rPr>
              <w:t>(4)</w:t>
            </w:r>
          </w:p>
        </w:tc>
        <w:tc>
          <w:tcPr>
            <w:tcW w:w="0" w:type="dxa"/>
            <w:vAlign w:val="bottom"/>
          </w:tcPr>
          <w:p>
            <w:pPr>
              <w:spacing w:after="0"/>
              <w:rPr>
                <w:sz w:val="1"/>
                <w:szCs w:val="1"/>
                <w:color w:val="auto"/>
              </w:rPr>
            </w:pPr>
          </w:p>
        </w:tc>
      </w:tr>
      <w:tr>
        <w:trPr>
          <w:trHeight w:val="188"/>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James M. P. Feuille</w:t>
            </w:r>
          </w:p>
        </w:tc>
        <w:tc>
          <w:tcPr>
            <w:tcW w:w="80" w:type="dxa"/>
            <w:vAlign w:val="bottom"/>
          </w:tcPr>
          <w:p>
            <w:pPr>
              <w:spacing w:after="0"/>
              <w:rPr>
                <w:sz w:val="16"/>
                <w:szCs w:val="16"/>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tcPr>
          <w:p>
            <w:pPr>
              <w:ind w:left="40"/>
              <w:spacing w:after="0"/>
              <w:rPr>
                <w:sz w:val="20"/>
                <w:szCs w:val="20"/>
                <w:color w:val="auto"/>
              </w:rPr>
            </w:pPr>
            <w:r>
              <w:rPr>
                <w:rFonts w:ascii="Times New Roman" w:cs="Times New Roman" w:eastAsia="Times New Roman" w:hAnsi="Times New Roman"/>
                <w:sz w:val="9"/>
                <w:szCs w:val="9"/>
                <w:color w:val="auto"/>
              </w:rPr>
              <w:t>(2)</w:t>
            </w: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Cynthia Marshall</w:t>
            </w:r>
          </w:p>
        </w:tc>
        <w:tc>
          <w:tcPr>
            <w:tcW w:w="166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7/7/2021</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57,000</w:t>
            </w:r>
          </w:p>
        </w:tc>
        <w:tc>
          <w:tcPr>
            <w:tcW w:w="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9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8/30/2024</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6,667</w:t>
            </w:r>
          </w:p>
        </w:tc>
        <w:tc>
          <w:tcPr>
            <w:tcW w:w="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9"/>
                <w:szCs w:val="9"/>
                <w:color w:val="auto"/>
              </w:rPr>
              <w:t>(4)</w:t>
            </w:r>
          </w:p>
        </w:tc>
        <w:tc>
          <w:tcPr>
            <w:tcW w:w="0" w:type="dxa"/>
            <w:vAlign w:val="bottom"/>
          </w:tcPr>
          <w:p>
            <w:pPr>
              <w:spacing w:after="0"/>
              <w:rPr>
                <w:sz w:val="1"/>
                <w:szCs w:val="1"/>
                <w:color w:val="auto"/>
              </w:rPr>
            </w:pPr>
          </w:p>
        </w:tc>
      </w:tr>
      <w:tr>
        <w:trPr>
          <w:trHeight w:val="23"/>
        </w:trPr>
        <w:tc>
          <w:tcPr>
            <w:tcW w:w="79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-1113790</wp:posOffset>
            </wp:positionV>
            <wp:extent cx="7132320"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-694055</wp:posOffset>
            </wp:positionV>
            <wp:extent cx="7132320" cy="1289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1289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40" w:right="20" w:hanging="332"/>
        <w:spacing w:after="0" w:line="254" w:lineRule="auto"/>
        <w:tabs>
          <w:tab w:leader="none" w:pos="332"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described above, these RSUs are subject to a service-based vesting condition and a liquidity-based vesting condition, each of which must be satisfied for the RSUs to vest. The liquidity-based vesting condition is generally satisfied upon the occurrence of a change in control event or the effective date of the registration statement of which this prospectus forms a part, in each case prior to the seven-year anniversary of the date of grant.</w:t>
      </w:r>
    </w:p>
    <w:p>
      <w:pPr>
        <w:spacing w:after="0" w:line="1" w:lineRule="exact"/>
        <w:rPr>
          <w:rFonts w:ascii="Times New Roman" w:cs="Times New Roman" w:eastAsia="Times New Roman" w:hAnsi="Times New Roman"/>
          <w:sz w:val="14"/>
          <w:szCs w:val="14"/>
          <w:color w:val="auto"/>
        </w:rPr>
      </w:pPr>
    </w:p>
    <w:p>
      <w:pPr>
        <w:ind w:left="340" w:right="320" w:hanging="332"/>
        <w:spacing w:after="0" w:line="283" w:lineRule="auto"/>
        <w:tabs>
          <w:tab w:leader="none" w:pos="332"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service-based vesting condition will be satisfied in 12 equal quarterly installments following July 7, 2021, subject to such non-employee director remaining a service provider to us through the applicable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240"/>
          </w:cols>
          <w:pgMar w:left="320" w:top="124" w:right="339" w:bottom="1440" w:gutter="0" w:footer="0" w:header="0"/>
        </w:sectPr>
      </w:pPr>
    </w:p>
    <w:bookmarkStart w:id="200" w:name="page201"/>
    <w:bookmarkEnd w:id="200"/>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20" w:hanging="312"/>
        <w:spacing w:after="0"/>
        <w:tabs>
          <w:tab w:leader="none" w:pos="32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December 2024, Ms. Decker transferred this RSU award to an estate planning vehicle other than for value.</w:t>
      </w:r>
    </w:p>
    <w:p>
      <w:pPr>
        <w:spacing w:after="0" w:line="27" w:lineRule="exact"/>
        <w:rPr>
          <w:rFonts w:ascii="Times New Roman" w:cs="Times New Roman" w:eastAsia="Times New Roman" w:hAnsi="Times New Roman"/>
          <w:sz w:val="14"/>
          <w:szCs w:val="14"/>
          <w:color w:val="auto"/>
        </w:rPr>
      </w:pPr>
    </w:p>
    <w:p>
      <w:pPr>
        <w:ind w:left="340" w:right="240" w:hanging="332"/>
        <w:spacing w:after="0" w:line="283" w:lineRule="auto"/>
        <w:tabs>
          <w:tab w:leader="none" w:pos="332"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service-based vesting condition will be satisfied in four equal quarterly installments following July 1, 2024, subject to such non-employee director remaining a service provider to us through the applicable vesting date.</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IPO Outside Director Compensation Policy</w:t>
      </w:r>
    </w:p>
    <w:p>
      <w:pPr>
        <w:spacing w:after="0" w:line="175"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We anticipate adopting a new compensation policy for our directors, which will govern their cash and equity compensation following the completion of this offering. This director compensation policy will supersede the prior non-employee director compensation policy described above upon its effectiveness.</w:t>
      </w:r>
    </w:p>
    <w:p>
      <w:pPr>
        <w:spacing w:after="0" w:line="122"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We anticipate that under this director compensation policy each eligible non-employee director will receive cash and equity compensation for board services described below. We also will continue to reimburse our eligible non-employee directors for reasonable, customary, and documented travel expenses to board and committee meetings.</w:t>
      </w:r>
    </w:p>
    <w:p>
      <w:pPr>
        <w:spacing w:after="0" w:line="122"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We anticipate that the director compensation policy will include a maximum annual limit of $ of cash compensation and equity awards that may be paid, issued, or granted to a non-employee director in any fiscal year, increased to $ in the initial fiscal year of service as a non-employee director. For</w:t>
      </w:r>
    </w:p>
    <w:p>
      <w:pPr>
        <w:ind w:right="280"/>
        <w:spacing w:after="0" w:line="253" w:lineRule="auto"/>
        <w:rPr>
          <w:sz w:val="20"/>
          <w:szCs w:val="20"/>
          <w:color w:val="auto"/>
        </w:rPr>
      </w:pPr>
      <w:r>
        <w:rPr>
          <w:rFonts w:ascii="Times New Roman" w:cs="Times New Roman" w:eastAsia="Times New Roman" w:hAnsi="Times New Roman"/>
          <w:sz w:val="18"/>
          <w:szCs w:val="18"/>
          <w:color w:val="auto"/>
        </w:rPr>
        <w:t>purposes of this limitation, the value of equity awards will be based on the grant date fair value (determined in accordance with GAAP). Any cash compensation paid or equity awards granted to a person for his or her services as a consultant (other than as a non-employee director), will not count for purposes of the limitation. The maximum limit does not reflect the intended size of any potential compensation or equity awards to our non-employee directors.</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Cash Compensation</w:t>
      </w:r>
    </w:p>
    <w:p>
      <w:pPr>
        <w:spacing w:after="0" w:line="17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anticipate that, starting with our 2026 annual meeting of stockholders, eligible non-employee directors will be entitled to receive the following cash compensation for their services:</w:t>
      </w:r>
    </w:p>
    <w:p>
      <w:pPr>
        <w:spacing w:after="0" w:line="108" w:lineRule="exact"/>
        <w:rPr>
          <w:sz w:val="20"/>
          <w:szCs w:val="20"/>
          <w:color w:val="auto"/>
        </w:rPr>
      </w:pPr>
    </w:p>
    <w:p>
      <w:pPr>
        <w:ind w:left="660" w:hanging="328"/>
        <w:spacing w:after="0"/>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 year for service as a board member;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 year for service as lead independent director;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 year for service as chair of the audit and risk committee;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 year for service as a member of the audit and risk committee;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 year for service as chair of the people, culture, and compensation committee;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 year for service as a member of the people, culture, and compensation committee;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 year for service as chair of the nominating and corporate governance committee;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 year for service as a member of the nominating and corporate governance committee.</w:t>
      </w:r>
    </w:p>
    <w:p>
      <w:pPr>
        <w:spacing w:after="0" w:line="171"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anticipate that each eligible non-employee director who serves as the chair of a committee will receive both the additional annual fee as the chair of the committee and the additional annual fee as a member of the committee. All cash payments to non-employee directors are paid quarterly in arrears on a prorated basis.</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Equity Compensation</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Initial Award</w:t>
      </w:r>
    </w:p>
    <w:p>
      <w:pPr>
        <w:spacing w:after="0" w:line="171"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We anticipate that each person who first becomes an eligible non-employee director following the completion of this offering will receive an initial award of (the “Initial Award”), covering shares of our common stock. The Initial Award will vest , subject to the eligible non-employee director continuing to provide services to us through the applicable vesting date. If the person was a member of the board of directors and also an employee, becoming an eligible non-employee director due to termination of employment will not entitle the eligible non-employee director to an Initial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240"/>
          </w:cols>
          <w:pgMar w:left="320" w:top="124" w:right="339" w:bottom="1440" w:gutter="0" w:footer="0" w:header="0"/>
        </w:sectPr>
      </w:pPr>
    </w:p>
    <w:bookmarkStart w:id="201" w:name="page202"/>
    <w:bookmarkEnd w:id="201"/>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Annual Award</w:t>
      </w:r>
    </w:p>
    <w:p>
      <w:pPr>
        <w:spacing w:after="0" w:line="171"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We anticipate that each eligible non-employee director automatically will receive, on the date of each annual meeting of stockholders starting in 2026, an annual award of (the “Annual Award”), covering shares of our common stock. We anticipate that the Annual Award will vest on the one-year anniversary of the grant date of the Annual Award or, if earlier, the day before our annual meeting of stockholders that follows the grant date of the Annual Award, subject to the eligible non-employee director continuing to provide services to us through the applicable vesting date.</w:t>
      </w:r>
    </w:p>
    <w:p>
      <w:pPr>
        <w:spacing w:after="0" w:line="12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anticipate that, in the event of a “change in control” (as defined in our 2025 Plan), each non-employee director will fully vest in his or her outstanding equity awards under the 2025 Plan, including any Initial Award or Annual Award, provided that the eligible non-employee director continues to be a non-employee director through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240"/>
          </w:cols>
          <w:pgMar w:left="320" w:top="124" w:right="339" w:bottom="1440" w:gutter="0" w:footer="0" w:header="0"/>
        </w:sectPr>
      </w:pPr>
    </w:p>
    <w:bookmarkStart w:id="202" w:name="page203"/>
    <w:bookmarkEnd w:id="202"/>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7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purpose of this Compensation Discussion and Analysis section is to discuss our compensation philosophy, our executive compensation program, and the compensation for our named executive officers (“NEOs”). In addition, we explain how and why we determined the specific compensation elements that comprised the 2024 executive compensation program.</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NEOs for the year ended December 31, 2024 were:</w:t>
      </w:r>
    </w:p>
    <w:p>
      <w:pPr>
        <w:spacing w:after="0" w:line="171" w:lineRule="exact"/>
        <w:rPr>
          <w:sz w:val="20"/>
          <w:szCs w:val="20"/>
          <w:color w:val="auto"/>
        </w:rPr>
      </w:pPr>
    </w:p>
    <w:p>
      <w:pPr>
        <w:ind w:left="660" w:hanging="328"/>
        <w:spacing w:after="0"/>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Christopher Britt, our Chief Executive Officer, Chairman, and Co-Founder;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Ryan King, our Co-Founder and Director;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Matthew Newcomb, our Chief Financial Officer;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Adam Frankel, our General Counsel and Corporate Secretary;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 Troughton, our Chief Operating Officer.</w:t>
      </w:r>
    </w:p>
    <w:p>
      <w:pPr>
        <w:spacing w:after="0" w:line="171" w:lineRule="exact"/>
        <w:rPr>
          <w:sz w:val="20"/>
          <w:szCs w:val="20"/>
          <w:color w:val="auto"/>
        </w:rPr>
      </w:pPr>
    </w:p>
    <w:p>
      <w:pPr>
        <w:ind w:right="440" w:firstLine="324"/>
        <w:spacing w:after="0" w:line="261" w:lineRule="auto"/>
        <w:rPr>
          <w:sz w:val="20"/>
          <w:szCs w:val="20"/>
          <w:color w:val="auto"/>
        </w:rPr>
      </w:pPr>
      <w:r>
        <w:rPr>
          <w:rFonts w:ascii="Times New Roman" w:cs="Times New Roman" w:eastAsia="Times New Roman" w:hAnsi="Times New Roman"/>
          <w:sz w:val="18"/>
          <w:szCs w:val="18"/>
          <w:color w:val="auto"/>
        </w:rPr>
        <w:t>This discussion may contain forward-looking statements that are based on our current plans, considerations, expectations, and determinations regarding future compensation programs. Actual compensation programs that we adopt in the future may differ materially from the currently planned programs summarized in this discussion. The information in this Compensation Discussion and Analysis provides perspective and narrative analysis relating to, and should be read along with, the executive compensation tables.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Policies and Practices</w:t>
      </w:r>
    </w:p>
    <w:p>
      <w:pPr>
        <w:spacing w:after="0" w:line="17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endeavor to maintain compensation policies and practices that are consistent with sound governance standards. We believe it is important to provide competitive compensation packages and a high-quality work environment in order to hire, retain, and motivate key personnel, and we seek to ensure that our executive compensation program is consistent with our short-term and long-term goals given the nature of the market in which we compete for key personnel. The following policies and practices were in effect during 2024:</w:t>
      </w:r>
    </w:p>
    <w:p>
      <w:pPr>
        <w:spacing w:after="0" w:line="122" w:lineRule="exact"/>
        <w:rPr>
          <w:sz w:val="20"/>
          <w:szCs w:val="20"/>
          <w:color w:val="auto"/>
        </w:rPr>
      </w:pPr>
    </w:p>
    <w:p>
      <w:pPr>
        <w:jc w:val="both"/>
        <w:ind w:left="660" w:right="220" w:hanging="328"/>
        <w:spacing w:after="0" w:line="268" w:lineRule="auto"/>
        <w:tabs>
          <w:tab w:leader="none" w:pos="65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Performance-Based Compensation</w:t>
      </w:r>
      <w:r>
        <w:rPr>
          <w:rFonts w:ascii="Times New Roman" w:cs="Times New Roman" w:eastAsia="Times New Roman" w:hAnsi="Times New Roman"/>
          <w:sz w:val="18"/>
          <w:szCs w:val="18"/>
          <w:color w:val="auto"/>
        </w:rPr>
        <w:t>. Our executive compensation program is designed so that a portion of compensation is performance-based,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therefore “at risk,” dependent upon corporate performance. The overall performance and contribution of the executive is also considered in determining each individual’s compensation.</w:t>
      </w:r>
    </w:p>
    <w:p>
      <w:pPr>
        <w:spacing w:after="0" w:line="116" w:lineRule="exact"/>
        <w:rPr>
          <w:rFonts w:ascii="Times New Roman" w:cs="Times New Roman" w:eastAsia="Times New Roman" w:hAnsi="Times New Roman"/>
          <w:sz w:val="18"/>
          <w:szCs w:val="18"/>
          <w:color w:val="auto"/>
        </w:rPr>
      </w:pPr>
    </w:p>
    <w:p>
      <w:pPr>
        <w:jc w:val="both"/>
        <w:ind w:left="660" w:right="140" w:hanging="328"/>
        <w:spacing w:after="0" w:line="262" w:lineRule="auto"/>
        <w:tabs>
          <w:tab w:leader="none" w:pos="65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Minimal Special Benefits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members of our executive team are eligible to participate in broad-based Company-sponsored retirement, health,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welfare benefits programs on the same basis as our other full-time, salaried employees. In 2024, we engaged a third party to provide limited security and transportation services to Mr. Britt, provided Mr. Troughton with a corporate housing stipend on a grossed up basis, and reimbursed Mr. Frankel for costs associated with his relocation to San Francisco, as discussed in more detail below.</w:t>
      </w:r>
    </w:p>
    <w:p>
      <w:pPr>
        <w:spacing w:after="0" w:line="122" w:lineRule="exact"/>
        <w:rPr>
          <w:rFonts w:ascii="Times New Roman" w:cs="Times New Roman" w:eastAsia="Times New Roman" w:hAnsi="Times New Roman"/>
          <w:sz w:val="18"/>
          <w:szCs w:val="18"/>
          <w:color w:val="auto"/>
        </w:rPr>
      </w:pPr>
    </w:p>
    <w:p>
      <w:pPr>
        <w:ind w:left="660" w:right="160" w:hanging="328"/>
        <w:spacing w:after="0" w:line="286" w:lineRule="auto"/>
        <w:tabs>
          <w:tab w:leader="none" w:pos="65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 “Golden Parachute” Tax Reimbursements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do not provide any tax reimbursement payments (including “gross-ups”) on any tax liability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our executive officers might owe as a result of the application of Sections 280G or 4999 of the Code.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Compensation-Setting Process</w:t>
      </w:r>
    </w:p>
    <w:p>
      <w:pPr>
        <w:spacing w:after="0" w:line="175"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We periodically review our executive compensation program and related policies and practices. In determining the compensation of our executive team, including our NEOs, for 2024, we reviewed the compensation arrangements, including base salary, target bonus, and equity incentives of our executive officers, as well as our overall strategic business plan. In 2024, factors we considered in making our executive compensation decisions included input from Messrs. Britt and King (except with respect to their own compensation), market data, past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200"/>
          </w:cols>
          <w:pgMar w:left="320" w:top="124" w:right="379" w:bottom="1440" w:gutter="0" w:footer="0" w:header="0"/>
        </w:sectPr>
      </w:pPr>
    </w:p>
    <w:bookmarkStart w:id="203" w:name="page204"/>
    <w:bookmarkEnd w:id="203"/>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individual performance and expected future performance, vesting status and value of existing equity incentives, and internal pay equity based on the impact of business and performance. To assess the competitiveness of our executive compensation program, we also consider competitive compensation for similar executive talent.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the People, Culture, and Compensation Committee</w:t>
      </w:r>
    </w:p>
    <w:p>
      <w:pPr>
        <w:spacing w:after="0" w:line="17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People, Culture, and Compensation Committee (the “Compensation Committee”), among its other responsibilities, provides oversight of the Company’s executive compensation plans, policies, and programs and reviews and approves the Company’s compensation strategy and practices with respect to executive officers, including the specific compensation of our NEOs. While the Compensation Committee determines our overall compensation philosophy and approves the compensation of our executives, it relies on its compensation consultant and legal counsel to formulate recommendations with respect to specific compensation actions. The Compensation Committee’s authority, duties, and responsibilities are described in its charter, which is reviewed regularly and revised and updated as warranted.</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Role of the Compensation Consultant</w:t>
      </w:r>
    </w:p>
    <w:p>
      <w:pPr>
        <w:spacing w:after="0" w:line="175" w:lineRule="exact"/>
        <w:rPr>
          <w:sz w:val="20"/>
          <w:szCs w:val="20"/>
          <w:color w:val="auto"/>
        </w:rPr>
      </w:pPr>
    </w:p>
    <w:p>
      <w:pPr>
        <w:jc w:val="both"/>
        <w:ind w:right="360" w:firstLine="324"/>
        <w:spacing w:after="0" w:line="266" w:lineRule="auto"/>
        <w:rPr>
          <w:sz w:val="20"/>
          <w:szCs w:val="20"/>
          <w:color w:val="auto"/>
        </w:rPr>
      </w:pPr>
      <w:r>
        <w:rPr>
          <w:rFonts w:ascii="Times New Roman" w:cs="Times New Roman" w:eastAsia="Times New Roman" w:hAnsi="Times New Roman"/>
          <w:sz w:val="18"/>
          <w:szCs w:val="18"/>
          <w:color w:val="auto"/>
        </w:rPr>
        <w:t>Pursuant to its charter, the Compensation Committee has the authority to engage its own legal counsel and other advisors, including compensation consultants, as determined in its sole discretion, to assist it in carrying out its responsibilities. The Compensation Committee makes all determinations regarding the engagement, fees, and services of these advisors, and any such advisor reports directly to the Compensation Committee.</w:t>
      </w:r>
    </w:p>
    <w:p>
      <w:pPr>
        <w:spacing w:after="0" w:line="122"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For fiscal 2024, the Compensation Committee engaged Pay Governance, a national compensation consulting firm, to provide information, analysis, and other assistance relating to our executive compensation program on an ongoing basis.</w:t>
      </w:r>
    </w:p>
    <w:p>
      <w:pPr>
        <w:spacing w:after="0" w:line="108"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Representatives of Pay Governance attend meetings of the Compensation Committee as requested and also communicate with the Compensation Committee outside of meetings. Pay Governance reports to the Compensation Committee rather than to management, although Pay Governance may meet with members of management for purposes of gathering information on proposals that management may make to the Compensation Committee.</w:t>
      </w:r>
    </w:p>
    <w:p>
      <w:pPr>
        <w:spacing w:after="0" w:line="122"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Compensation Committee may replace its compensation consultant or hire additional advisors at any time. Pay Governance has not provided any other services to us and has received no compensation other than with respect to the services described above.</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Peer Group Selection</w:t>
      </w:r>
    </w:p>
    <w:p>
      <w:pPr>
        <w:spacing w:after="0" w:line="175"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As part of its deliberations, the Compensation Committee considers competitive market data on executive compensation levels and practices and a related analysis of such data. This data is drawn from a select group of peer companies determined by the Compensation Committee, as well as compensation survey data. The compensation peer group consists of publicly-traded technology companies located in the San Francisco Bay Area that are similar to us in terms of revenue and market capitalization. In September 2023, the Compensation Committee, with the assistance of Pay Governance and input from management, developed and approved the following compensation peer group of 22 publicly traded companies for purposes of understanding the competitive market for executive talent for the purposes of fiscal 2024 compensation decisions:</w:t>
      </w:r>
    </w:p>
    <w:p>
      <w:pPr>
        <w:spacing w:after="0" w:line="174" w:lineRule="exact"/>
        <w:rPr>
          <w:sz w:val="20"/>
          <w:szCs w:val="20"/>
          <w:color w:val="auto"/>
        </w:rPr>
      </w:pPr>
    </w:p>
    <w:tbl>
      <w:tblPr>
        <w:tblLayout w:type="fixed"/>
        <w:tblInd w:w="1040" w:type="dxa"/>
        <w:tblCellMar>
          <w:top w:w="0" w:type="dxa"/>
          <w:left w:w="0" w:type="dxa"/>
          <w:bottom w:w="0" w:type="dxa"/>
          <w:right w:w="0" w:type="dxa"/>
        </w:tblCellMar>
      </w:tblPr>
      <w:tr>
        <w:trPr>
          <w:trHeight w:val="230"/>
        </w:trPr>
        <w:tc>
          <w:tcPr>
            <w:tcW w:w="266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rPr>
              <w:t>Affirm Holdings, Inc.</w:t>
            </w: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Elastic N.V.</w:t>
            </w:r>
          </w:p>
        </w:tc>
        <w:tc>
          <w:tcPr>
            <w:tcW w:w="270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w w:val="98"/>
              </w:rPr>
              <w:t>SoFi Technologies, Inc.</w:t>
            </w:r>
          </w:p>
        </w:tc>
      </w:tr>
      <w:tr>
        <w:trPr>
          <w:trHeight w:val="230"/>
        </w:trPr>
        <w:tc>
          <w:tcPr>
            <w:tcW w:w="266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rPr>
              <w:t>AppFolio, Inc.</w:t>
            </w: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GitLab Inc.</w:t>
            </w:r>
          </w:p>
        </w:tc>
        <w:tc>
          <w:tcPr>
            <w:tcW w:w="270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9"/>
              </w:rPr>
              <w:t>The Trade Desk, Inc.</w:t>
            </w:r>
          </w:p>
        </w:tc>
      </w:tr>
      <w:tr>
        <w:trPr>
          <w:trHeight w:val="229"/>
        </w:trPr>
        <w:tc>
          <w:tcPr>
            <w:tcW w:w="266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rPr>
              <w:t>AppLovin Corporation</w:t>
            </w: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Marqeta, Inc.</w:t>
            </w:r>
          </w:p>
        </w:tc>
        <w:tc>
          <w:tcPr>
            <w:tcW w:w="270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rPr>
              <w:t>Tradeweb Markets Inc.</w:t>
            </w:r>
          </w:p>
        </w:tc>
      </w:tr>
      <w:tr>
        <w:trPr>
          <w:trHeight w:val="230"/>
        </w:trPr>
        <w:tc>
          <w:tcPr>
            <w:tcW w:w="266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9"/>
              </w:rPr>
              <w:t>BILL Holdings, Inc.</w:t>
            </w: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Okta, Inc.</w:t>
            </w:r>
          </w:p>
        </w:tc>
        <w:tc>
          <w:tcPr>
            <w:tcW w:w="270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w w:val="99"/>
              </w:rPr>
              <w:t>Unity Software Inc.</w:t>
            </w:r>
          </w:p>
        </w:tc>
      </w:tr>
      <w:tr>
        <w:trPr>
          <w:trHeight w:val="230"/>
        </w:trPr>
        <w:tc>
          <w:tcPr>
            <w:tcW w:w="266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9"/>
              </w:rPr>
              <w:t>Box, Inc.</w:t>
            </w: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Pinterest, Inc.</w:t>
            </w:r>
          </w:p>
        </w:tc>
        <w:tc>
          <w:tcPr>
            <w:tcW w:w="270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9"/>
              </w:rPr>
              <w:t>Upstart Holdings, Inc.</w:t>
            </w:r>
          </w:p>
        </w:tc>
      </w:tr>
      <w:tr>
        <w:trPr>
          <w:trHeight w:val="230"/>
        </w:trPr>
        <w:tc>
          <w:tcPr>
            <w:tcW w:w="266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rPr>
              <w:t>Cloudflare, Inc.</w:t>
            </w: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Robinhood Markets, Inc.</w:t>
            </w:r>
          </w:p>
        </w:tc>
        <w:tc>
          <w:tcPr>
            <w:tcW w:w="270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8"/>
              </w:rPr>
              <w:t>Zscaler, Inc.</w:t>
            </w:r>
          </w:p>
        </w:tc>
      </w:tr>
      <w:tr>
        <w:trPr>
          <w:trHeight w:val="229"/>
        </w:trPr>
        <w:tc>
          <w:tcPr>
            <w:tcW w:w="266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rPr>
              <w:t>Confluent, Inc.</w:t>
            </w: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Roblox Corporation</w:t>
            </w:r>
          </w:p>
        </w:tc>
        <w:tc>
          <w:tcPr>
            <w:tcW w:w="2700" w:type="dxa"/>
            <w:vAlign w:val="bottom"/>
          </w:tcPr>
          <w:p>
            <w:pPr>
              <w:spacing w:after="0"/>
              <w:rPr>
                <w:sz w:val="19"/>
                <w:szCs w:val="19"/>
                <w:color w:val="auto"/>
              </w:rPr>
            </w:pPr>
          </w:p>
        </w:tc>
      </w:tr>
      <w:tr>
        <w:trPr>
          <w:trHeight w:val="234"/>
        </w:trPr>
        <w:tc>
          <w:tcPr>
            <w:tcW w:w="266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rPr>
              <w:t>Datadog, Inc.</w:t>
            </w: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Samsara Inc.</w:t>
            </w:r>
          </w:p>
        </w:tc>
        <w:tc>
          <w:tcPr>
            <w:tcW w:w="27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220"/>
          </w:cols>
          <w:pgMar w:left="320" w:top="124" w:right="359" w:bottom="1440" w:gutter="0" w:footer="0" w:header="0"/>
        </w:sectPr>
      </w:pPr>
    </w:p>
    <w:bookmarkStart w:id="204" w:name="page205"/>
    <w:bookmarkEnd w:id="204"/>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companies in this compensation peer group were selected on the basis of their similarity to us in terms of industry and financial characteristics, as determined using the following criteria:</w:t>
      </w:r>
    </w:p>
    <w:p>
      <w:pPr>
        <w:spacing w:after="0" w:line="108" w:lineRule="exact"/>
        <w:rPr>
          <w:sz w:val="20"/>
          <w:szCs w:val="20"/>
          <w:color w:val="auto"/>
        </w:rPr>
      </w:pPr>
    </w:p>
    <w:p>
      <w:pPr>
        <w:ind w:left="660" w:hanging="328"/>
        <w:spacing w:after="0"/>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recently public publicly traded technology companies with a disruptive business model and/or a consumer focus;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capitalization range between $2 billion and $40 billion;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revenue range between $350 million and $3.6 billion;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emphasis on companies located in the San Francisco Bay area.</w:t>
      </w:r>
    </w:p>
    <w:p>
      <w:pPr>
        <w:spacing w:after="0" w:line="171"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The competitive data drawn from this compensation peer group is one of several factors that the Compensation Committee considers in making its decisions with respect to the compensation of our NEOs for 2024. Although the Compensation Committee does not rely solely on benchmarking to determine any element of compensation or overall compensation, the Compensation Committee does believe that comparative compensation data is important to assess whether our executive compensation falls within a competitive range against industry norms.</w:t>
      </w:r>
    </w:p>
    <w:p>
      <w:pPr>
        <w:spacing w:after="0" w:line="12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Compensation Committee reviews our compensation peer group at least annually and makes adjustments to its composition if warranted, taking into account changes in both our business and the business of the companies in the peer group. In September 2024, the Compensation Committee, with the assistance of Pay Governance and input from management, developed and approved the following compensation peer group of 24 publicly traded companies for purposes of understanding the competitive market for executive talent for the purposes of fiscal 2025 compensation decisions:</w:t>
      </w:r>
    </w:p>
    <w:p>
      <w:pPr>
        <w:spacing w:after="0" w:line="166" w:lineRule="exact"/>
        <w:rPr>
          <w:sz w:val="20"/>
          <w:szCs w:val="20"/>
          <w:color w:val="auto"/>
        </w:rPr>
      </w:pPr>
    </w:p>
    <w:tbl>
      <w:tblPr>
        <w:tblLayout w:type="fixed"/>
        <w:tblInd w:w="1040" w:type="dxa"/>
        <w:tblCellMar>
          <w:top w:w="0" w:type="dxa"/>
          <w:left w:w="0" w:type="dxa"/>
          <w:bottom w:w="0" w:type="dxa"/>
          <w:right w:w="0" w:type="dxa"/>
        </w:tblCellMar>
      </w:tblPr>
      <w:tr>
        <w:trPr>
          <w:trHeight w:val="229"/>
        </w:trPr>
        <w:tc>
          <w:tcPr>
            <w:tcW w:w="2560" w:type="dxa"/>
            <w:vAlign w:val="bottom"/>
          </w:tcPr>
          <w:p>
            <w:pPr>
              <w:jc w:val="center"/>
              <w:ind w:right="810"/>
              <w:spacing w:after="0"/>
              <w:rPr>
                <w:sz w:val="20"/>
                <w:szCs w:val="20"/>
                <w:color w:val="auto"/>
              </w:rPr>
            </w:pPr>
            <w:r>
              <w:rPr>
                <w:rFonts w:ascii="Times New Roman" w:cs="Times New Roman" w:eastAsia="Times New Roman" w:hAnsi="Times New Roman"/>
                <w:sz w:val="18"/>
                <w:szCs w:val="18"/>
                <w:color w:val="auto"/>
              </w:rPr>
              <w:t>Affirm Holdings, Inc.</w:t>
            </w: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Elastic N.V.</w:t>
            </w:r>
          </w:p>
        </w:tc>
        <w:tc>
          <w:tcPr>
            <w:tcW w:w="260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9"/>
              </w:rPr>
              <w:t>Roblox Corporation</w:t>
            </w:r>
          </w:p>
        </w:tc>
      </w:tr>
      <w:tr>
        <w:trPr>
          <w:trHeight w:val="230"/>
        </w:trPr>
        <w:tc>
          <w:tcPr>
            <w:tcW w:w="2560" w:type="dxa"/>
            <w:vAlign w:val="bottom"/>
          </w:tcPr>
          <w:p>
            <w:pPr>
              <w:jc w:val="center"/>
              <w:ind w:right="810"/>
              <w:spacing w:after="0"/>
              <w:rPr>
                <w:sz w:val="20"/>
                <w:szCs w:val="20"/>
                <w:color w:val="auto"/>
              </w:rPr>
            </w:pPr>
            <w:r>
              <w:rPr>
                <w:rFonts w:ascii="Times New Roman" w:cs="Times New Roman" w:eastAsia="Times New Roman" w:hAnsi="Times New Roman"/>
                <w:sz w:val="18"/>
                <w:szCs w:val="18"/>
                <w:color w:val="auto"/>
              </w:rPr>
              <w:t>AppFolio, Inc.</w:t>
            </w: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GitLab Inc.</w:t>
            </w:r>
          </w:p>
        </w:tc>
        <w:tc>
          <w:tcPr>
            <w:tcW w:w="260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8"/>
              </w:rPr>
              <w:t>Samsara Inc.</w:t>
            </w:r>
          </w:p>
        </w:tc>
      </w:tr>
      <w:tr>
        <w:trPr>
          <w:trHeight w:val="229"/>
        </w:trPr>
        <w:tc>
          <w:tcPr>
            <w:tcW w:w="2560" w:type="dxa"/>
            <w:vAlign w:val="bottom"/>
          </w:tcPr>
          <w:p>
            <w:pPr>
              <w:jc w:val="center"/>
              <w:ind w:right="810"/>
              <w:spacing w:after="0"/>
              <w:rPr>
                <w:sz w:val="20"/>
                <w:szCs w:val="20"/>
                <w:color w:val="auto"/>
              </w:rPr>
            </w:pPr>
            <w:r>
              <w:rPr>
                <w:rFonts w:ascii="Times New Roman" w:cs="Times New Roman" w:eastAsia="Times New Roman" w:hAnsi="Times New Roman"/>
                <w:sz w:val="18"/>
                <w:szCs w:val="18"/>
                <w:color w:val="auto"/>
              </w:rPr>
              <w:t>AppLovin Corporation</w:t>
            </w: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Maplebear Inc.</w:t>
            </w:r>
          </w:p>
        </w:tc>
        <w:tc>
          <w:tcPr>
            <w:tcW w:w="260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w w:val="98"/>
              </w:rPr>
              <w:t>SoFi Technologies, Inc.</w:t>
            </w:r>
          </w:p>
        </w:tc>
      </w:tr>
      <w:tr>
        <w:trPr>
          <w:trHeight w:val="230"/>
        </w:trPr>
        <w:tc>
          <w:tcPr>
            <w:tcW w:w="2560" w:type="dxa"/>
            <w:vAlign w:val="bottom"/>
          </w:tcPr>
          <w:p>
            <w:pPr>
              <w:jc w:val="center"/>
              <w:ind w:right="810"/>
              <w:spacing w:after="0"/>
              <w:rPr>
                <w:sz w:val="20"/>
                <w:szCs w:val="20"/>
                <w:color w:val="auto"/>
              </w:rPr>
            </w:pPr>
            <w:r>
              <w:rPr>
                <w:rFonts w:ascii="Times New Roman" w:cs="Times New Roman" w:eastAsia="Times New Roman" w:hAnsi="Times New Roman"/>
                <w:sz w:val="18"/>
                <w:szCs w:val="18"/>
                <w:color w:val="auto"/>
                <w:w w:val="99"/>
              </w:rPr>
              <w:t>BILL Holdings, Inc.</w:t>
            </w: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Okta, Inc.</w:t>
            </w:r>
          </w:p>
        </w:tc>
        <w:tc>
          <w:tcPr>
            <w:tcW w:w="260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rPr>
              <w:t>Tradeweb Markets Inc.</w:t>
            </w:r>
          </w:p>
        </w:tc>
      </w:tr>
      <w:tr>
        <w:trPr>
          <w:trHeight w:val="230"/>
        </w:trPr>
        <w:tc>
          <w:tcPr>
            <w:tcW w:w="2560" w:type="dxa"/>
            <w:vAlign w:val="bottom"/>
          </w:tcPr>
          <w:p>
            <w:pPr>
              <w:jc w:val="center"/>
              <w:ind w:right="810"/>
              <w:spacing w:after="0"/>
              <w:rPr>
                <w:sz w:val="20"/>
                <w:szCs w:val="20"/>
                <w:color w:val="auto"/>
              </w:rPr>
            </w:pPr>
            <w:r>
              <w:rPr>
                <w:rFonts w:ascii="Times New Roman" w:cs="Times New Roman" w:eastAsia="Times New Roman" w:hAnsi="Times New Roman"/>
                <w:sz w:val="18"/>
                <w:szCs w:val="18"/>
                <w:color w:val="auto"/>
                <w:w w:val="99"/>
              </w:rPr>
              <w:t>Box, Inc.</w:t>
            </w: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Paycom Software, Inc.</w:t>
            </w:r>
          </w:p>
        </w:tc>
        <w:tc>
          <w:tcPr>
            <w:tcW w:w="260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w w:val="99"/>
              </w:rPr>
              <w:t>Unity Software Inc.</w:t>
            </w:r>
          </w:p>
        </w:tc>
      </w:tr>
      <w:tr>
        <w:trPr>
          <w:trHeight w:val="229"/>
        </w:trPr>
        <w:tc>
          <w:tcPr>
            <w:tcW w:w="2560" w:type="dxa"/>
            <w:vAlign w:val="bottom"/>
          </w:tcPr>
          <w:p>
            <w:pPr>
              <w:jc w:val="center"/>
              <w:ind w:right="810"/>
              <w:spacing w:after="0"/>
              <w:rPr>
                <w:sz w:val="20"/>
                <w:szCs w:val="20"/>
                <w:color w:val="auto"/>
              </w:rPr>
            </w:pPr>
            <w:r>
              <w:rPr>
                <w:rFonts w:ascii="Times New Roman" w:cs="Times New Roman" w:eastAsia="Times New Roman" w:hAnsi="Times New Roman"/>
                <w:sz w:val="18"/>
                <w:szCs w:val="18"/>
                <w:color w:val="auto"/>
              </w:rPr>
              <w:t>Cloudflare, Inc.</w:t>
            </w: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Paylocity Holding Corporation</w:t>
            </w:r>
          </w:p>
        </w:tc>
        <w:tc>
          <w:tcPr>
            <w:tcW w:w="260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9"/>
              </w:rPr>
              <w:t>Upstart Holdings, Inc.</w:t>
            </w:r>
          </w:p>
        </w:tc>
      </w:tr>
      <w:tr>
        <w:trPr>
          <w:trHeight w:val="230"/>
        </w:trPr>
        <w:tc>
          <w:tcPr>
            <w:tcW w:w="2560" w:type="dxa"/>
            <w:vAlign w:val="bottom"/>
          </w:tcPr>
          <w:p>
            <w:pPr>
              <w:jc w:val="center"/>
              <w:ind w:right="810"/>
              <w:spacing w:after="0"/>
              <w:rPr>
                <w:sz w:val="20"/>
                <w:szCs w:val="20"/>
                <w:color w:val="auto"/>
              </w:rPr>
            </w:pPr>
            <w:r>
              <w:rPr>
                <w:rFonts w:ascii="Times New Roman" w:cs="Times New Roman" w:eastAsia="Times New Roman" w:hAnsi="Times New Roman"/>
                <w:sz w:val="18"/>
                <w:szCs w:val="18"/>
                <w:color w:val="auto"/>
              </w:rPr>
              <w:t>Confluent, Inc.</w:t>
            </w: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Pinterest, Inc.</w:t>
            </w:r>
          </w:p>
        </w:tc>
        <w:tc>
          <w:tcPr>
            <w:tcW w:w="260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8"/>
              </w:rPr>
              <w:t>Zscaler, Inc.</w:t>
            </w:r>
          </w:p>
        </w:tc>
      </w:tr>
      <w:tr>
        <w:trPr>
          <w:trHeight w:val="234"/>
        </w:trPr>
        <w:tc>
          <w:tcPr>
            <w:tcW w:w="2560" w:type="dxa"/>
            <w:vAlign w:val="bottom"/>
          </w:tcPr>
          <w:p>
            <w:pPr>
              <w:jc w:val="center"/>
              <w:ind w:right="810"/>
              <w:spacing w:after="0"/>
              <w:rPr>
                <w:sz w:val="20"/>
                <w:szCs w:val="20"/>
                <w:color w:val="auto"/>
              </w:rPr>
            </w:pPr>
            <w:r>
              <w:rPr>
                <w:rFonts w:ascii="Times New Roman" w:cs="Times New Roman" w:eastAsia="Times New Roman" w:hAnsi="Times New Roman"/>
                <w:sz w:val="18"/>
                <w:szCs w:val="18"/>
                <w:color w:val="auto"/>
              </w:rPr>
              <w:t>Datadog, Inc.</w:t>
            </w: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Robinhood Markets, Inc.</w:t>
            </w:r>
          </w:p>
        </w:tc>
        <w:tc>
          <w:tcPr>
            <w:tcW w:w="260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rPr>
              <w:t>Zillow Group, Inc.</w:t>
            </w:r>
          </w:p>
        </w:tc>
      </w:tr>
    </w:tbl>
    <w:p>
      <w:pPr>
        <w:spacing w:after="0" w:line="23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companies in this compensation peer group were selected on the basis of their similarity to us in terms of industry and financial characteristics, as determined using the following criteria:</w:t>
      </w:r>
    </w:p>
    <w:p>
      <w:pPr>
        <w:spacing w:after="0" w:line="108" w:lineRule="exact"/>
        <w:rPr>
          <w:sz w:val="20"/>
          <w:szCs w:val="20"/>
          <w:color w:val="auto"/>
        </w:rPr>
      </w:pPr>
    </w:p>
    <w:p>
      <w:pPr>
        <w:ind w:left="660" w:hanging="328"/>
        <w:spacing w:after="0"/>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recently public publicly traded technology companies with a disruptive business model and/or a consumer focus;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capitalization range between $2 billion and $40 billion;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revenue range between $350 million and $3.6 billion;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emphasis on companies located in the San Francisco Bay area.</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Overview</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executive compensation program for 2024 consisted of the following principal compensation elements:</w:t>
      </w:r>
    </w:p>
    <w:p>
      <w:pPr>
        <w:spacing w:after="0" w:line="171" w:lineRule="exact"/>
        <w:rPr>
          <w:sz w:val="20"/>
          <w:szCs w:val="20"/>
          <w:color w:val="auto"/>
        </w:rPr>
      </w:pPr>
    </w:p>
    <w:p>
      <w:pPr>
        <w:ind w:left="660" w:hanging="328"/>
        <w:spacing w:after="0"/>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incentive compensation in the form of a cash bonus, other than in the case of Messrs. Britt and King;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minimal cash anniversary bonuses;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140"/>
          </w:cols>
          <w:pgMar w:left="320" w:top="124" w:right="439" w:bottom="1440" w:gutter="0" w:footer="0" w:header="0"/>
        </w:sectPr>
      </w:pPr>
    </w:p>
    <w:bookmarkStart w:id="205" w:name="page206"/>
    <w:bookmarkEnd w:id="205"/>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60" w:right="180" w:hanging="328"/>
        <w:spacing w:after="0" w:line="282" w:lineRule="auto"/>
        <w:tabs>
          <w:tab w:leader="none" w:pos="65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incentive compensation in the form of RSUs to new executives and service-based and performance option awards to Messrs. Britt and King.</w:t>
      </w:r>
    </w:p>
    <w:p>
      <w:pPr>
        <w:spacing w:after="0" w:line="108"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We are committed to providing appropriate cash and equity incentives to compensate our NEOs in a manner that our board of directors determines is reasonable and appropriate to motivate and retain key talent.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175"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Base salary is a customary, fixed element of compensation intended to attract and retain our NEOs and compensate them for their day-to-day efforts. Base salaries are reviewed periodically, including at the time of a promotion or other change in responsibilities, and each executive officer’s performance, prior base salary level, and breadth of role are considered.</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2024 base salary for each of our NEOs: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6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2024 Base Salary ($)</w:t>
            </w:r>
          </w:p>
        </w:tc>
      </w:tr>
      <w:tr>
        <w:trPr>
          <w:trHeight w:val="23"/>
        </w:trPr>
        <w:tc>
          <w:tcPr>
            <w:tcW w:w="9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Christopher Britt</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29"/>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Ryan King</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475,000</w:t>
            </w:r>
          </w:p>
        </w:tc>
      </w:tr>
      <w:tr>
        <w:trPr>
          <w:trHeight w:val="229"/>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Matthew Newcomb</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r>
      <w:tr>
        <w:trPr>
          <w:trHeight w:val="230"/>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Adam Frankel</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425,000</w:t>
            </w:r>
          </w:p>
        </w:tc>
      </w:tr>
      <w:tr>
        <w:trPr>
          <w:trHeight w:val="229"/>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 Troughton</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actual base salaries paid to our NEOs during 2024 are set forth in the 2024 Summary Compensation Table below.</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Bonus Plan</w:t>
      </w:r>
    </w:p>
    <w:p>
      <w:pPr>
        <w:spacing w:after="0" w:line="175"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With the exception of Messrs. Britt and King, each of our NEOs was eligible to participate in our 2024 Bonus Plan (“2024 Bonus Plan”). Our annual cash bonus program is designed to motivate and reward our executives to perform to the best of their abilities and to achieve our objectives.</w:t>
      </w:r>
    </w:p>
    <w:p>
      <w:pPr>
        <w:spacing w:after="0" w:line="108"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Under the 2024 Bonus Plan, each NEO’s target bonus was eligible to be earned based on achievement against company financial performance metrics for revenue and a modified adjusted EBITDA and individual performance. For the purposes of our 2024 Bonus Plan, adjusted EBITDA is calculated the same as presented elsewhere in this prospectus, modified to also exclude bonus expense and certain other compensation related expenses. In calculating company performance metric payouts, we first calculate the payout with respect to each component. If achievement against the company financial performance metric is less than 50%, there will be no payout with respect to that financial performance metric; if achievement against the financial performance metric is 50% or greater, the payout with respect to that financial performance metric is determined by linear interpolation up to a maximum payout of 200%. In determining the aggregate payout percentage with respect to the company performance metric, the revenue component represents a 50% weighting and the adjusted EBITDA component represents a 50% weighting. Under the 2024 Bonus Plan, actual bonus payouts are adjusted based on an individual’s performance.</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Each participating NEOs’ 2024 Bonus Plan target amount was set at 50% of their annual base salary. The following table sets forth the target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Bonus Plan amounts for each of our participating NEOs: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 Bonus Plan Target</w:t>
            </w:r>
          </w:p>
        </w:tc>
        <w:tc>
          <w:tcPr>
            <w:tcW w:w="0" w:type="dxa"/>
            <w:vAlign w:val="bottom"/>
          </w:tcPr>
          <w:p>
            <w:pPr>
              <w:spacing w:after="0"/>
              <w:rPr>
                <w:sz w:val="1"/>
                <w:szCs w:val="1"/>
                <w:color w:val="auto"/>
              </w:rPr>
            </w:pPr>
          </w:p>
        </w:tc>
      </w:tr>
      <w:tr>
        <w:trPr>
          <w:trHeight w:val="196"/>
        </w:trPr>
        <w:tc>
          <w:tcPr>
            <w:tcW w:w="9680" w:type="dxa"/>
            <w:vAlign w:val="bottom"/>
            <w:gridSpan w:val="2"/>
            <w:vMerge w:val="continue"/>
          </w:tcPr>
          <w:p>
            <w:pPr>
              <w:spacing w:after="0"/>
              <w:rPr>
                <w:sz w:val="17"/>
                <w:szCs w:val="17"/>
                <w:color w:val="auto"/>
              </w:rPr>
            </w:pPr>
          </w:p>
        </w:tc>
        <w:tc>
          <w:tcPr>
            <w:tcW w:w="1560" w:type="dxa"/>
            <w:vAlign w:val="bottom"/>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9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Matthew Newcomb</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0" w:type="dxa"/>
            <w:vAlign w:val="bottom"/>
          </w:tcPr>
          <w:p>
            <w:pPr>
              <w:spacing w:after="0"/>
              <w:rPr>
                <w:sz w:val="1"/>
                <w:szCs w:val="1"/>
                <w:color w:val="auto"/>
              </w:rPr>
            </w:pPr>
          </w:p>
        </w:tc>
      </w:tr>
      <w:tr>
        <w:trPr>
          <w:trHeight w:val="230"/>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Adam Frankel</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212,500</w:t>
            </w:r>
          </w:p>
        </w:tc>
        <w:tc>
          <w:tcPr>
            <w:tcW w:w="0" w:type="dxa"/>
            <w:vAlign w:val="bottom"/>
          </w:tcPr>
          <w:p>
            <w:pPr>
              <w:spacing w:after="0"/>
              <w:rPr>
                <w:sz w:val="1"/>
                <w:szCs w:val="1"/>
                <w:color w:val="auto"/>
              </w:rPr>
            </w:pPr>
          </w:p>
        </w:tc>
      </w:tr>
      <w:tr>
        <w:trPr>
          <w:trHeight w:val="230"/>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 Troughton</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240"/>
          </w:cols>
          <w:pgMar w:left="320" w:top="124" w:right="339" w:bottom="1440" w:gutter="0" w:footer="0" w:header="0"/>
        </w:sectPr>
      </w:pPr>
    </w:p>
    <w:bookmarkStart w:id="206" w:name="page207"/>
    <w:bookmarkEnd w:id="206"/>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80" w:firstLine="324"/>
        <w:spacing w:after="0" w:line="312" w:lineRule="auto"/>
        <w:rPr>
          <w:sz w:val="20"/>
          <w:szCs w:val="20"/>
          <w:color w:val="auto"/>
        </w:rPr>
      </w:pPr>
      <w:r>
        <w:rPr>
          <w:rFonts w:ascii="Times New Roman" w:cs="Times New Roman" w:eastAsia="Times New Roman" w:hAnsi="Times New Roman"/>
          <w:sz w:val="17"/>
          <w:szCs w:val="17"/>
          <w:color w:val="auto"/>
        </w:rPr>
        <w:t>The actual cash incentives earned by our NEOs during 2024 have not yet been determined and a final bonus amount determination is expected before the end of March 2025. The actual cash incentives earned by our NEOs during 2024 will be set forth in the 2024 Summary Compensation Table below.</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Anniversary Bonus Program</w:t>
      </w:r>
    </w:p>
    <w:p>
      <w:pPr>
        <w:spacing w:after="0" w:line="175"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We recognize the service anniversaries of all our employees, including our NEOs, with a cash bonus based on length of service commencing on the second anniversary of an employee’s tenure. Our anniversary bonus program is designed to reward our employees for continued service. The actual amounts of the anniversary bonus paid to our NEOs during 2024 are set forth in the 2024 Summary Compensation Table below.</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w:t>
      </w:r>
    </w:p>
    <w:p>
      <w:pPr>
        <w:spacing w:after="0" w:line="1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2024, we granted stock options subject to service-based vesting and stock options subject to performance-based vesting to each of Messrs. Britt and King, and stock options and RSUs to Mr. Frankel. We did not grant equity awards to our other NEOs in 2024. In determining the size and terms of the equity awards granted to our NEOs, we considered the NEOs’ current vested and unvested equity holdings as well as the other factors described in the “Compensation-Setting Process” section above to further align their incentives with those of our other stockholders and to provide additional incentives to drive achievement of key performance metrics in 2024.</w:t>
      </w:r>
    </w:p>
    <w:p>
      <w:pPr>
        <w:spacing w:after="0" w:line="129"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In March 2024, we granted each of Messrs. Britt and King a stock option covering 700,000 shares with a per share exercise price of $17.35 under our 2012 Plan. The shares subject to each option are scheduled to vest in 48 equal monthly installments over four years following the vesting commencement date, in each case subject to the executive’s continued service to us through the applicable vesting date.</w:t>
      </w:r>
    </w:p>
    <w:p>
      <w:pPr>
        <w:spacing w:after="0" w:line="122"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Additionally, in March 2024, we granted each of Messrs. Britt and King a stock option covering 600,000 shares with a per share exercise price of $17.35 under our 2012 Plan. The shares subject to each option are subject to both a service-based vesting condition and a performance-based vesting condition, each of which must be satisfied in order for an option share to vest. The service-based vesting schedule is satisfied in 48 equal monthly installments over four years following the vesting commencement date, in each case subject to the applicable executive’s continued service to us through the applicable vesting date. The performance condition is satisfied (i) as to 1/3 of the shares, upon attainment of both 30% annual revenue growth for 2024 (over 2023) and 1200 basis points of improvement in 2024 EBITDA margin (over 2023); (ii) as to 1/3 of the shares, upon attainment of both 35% annual revenue growth for 2024 (over 2023) and 1400 basis points of improvement in 2024 EBITDA margin (over 2023); and (iii) as to 1/3 of the shares, upon attainment of both 40% annual revenue growth for 2024 (over 2023) and 1600 basis points of improvement in 2024 EBITDA margin (over 2023), subject to continued service to us through the date of certification of achievement. For the purposes of these stock options, adjusted EBITDA is calculated in the same manner as our 2024 Bonus Plan. A determination of the achievement of the performance conditions for these options is expected before the end of March 2025.</w:t>
      </w:r>
    </w:p>
    <w:p>
      <w:pPr>
        <w:spacing w:after="0" w:line="138"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In December 2024, we granted Mr. Frankel (i) a stock option covering 100,000 shares with a per share exercise price of $23.51 and (ii) an award of 50,000 RSUs, each under our 2012 Plan. The shares subject to the option are scheduled to vest in 48 equal monthly installments over four years following the vesting commencement date, in each case subject to Mr. Frankel remaining a service provider to us through the applicable vesting date. The award of RSUs is subject to a service-based vesting condition and a liquidity-based vesting condition, each of which must be satisfied for an RSU to vest. The service-based vesting condition will be satisfied in 16 equal quarterly installments following the vesting commencement date, in each case subject to Mr. Frankel remaining a service provider to us through the applicable vesting date. The liquidity-based vesting condition is generally satisfied upon the occurrence of a change in control event or the effective date of the registration statement of which this prospectus forms a part, in each case prior to the 7-year anniversary of the date of grant.</w:t>
      </w:r>
    </w:p>
    <w:p>
      <w:pPr>
        <w:spacing w:after="0" w:line="138"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Each such award granted in 2024 by us to Messrs. Britt, Frankel, and King is subject to full vesting acceleration under the terms of our Change in Control Severance Plan, in the event the NEO is terminated by us other than for “cause” or by the NEO for “good reason,” in each case within 12 months following a “change in control,” subject to the terms of our Change in Control Severance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160"/>
          </w:cols>
          <w:pgMar w:left="320" w:top="124" w:right="419" w:bottom="1440" w:gutter="0" w:footer="0" w:header="0"/>
        </w:sectPr>
      </w:pPr>
    </w:p>
    <w:bookmarkStart w:id="207" w:name="page208"/>
    <w:bookmarkEnd w:id="207"/>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2000" w:firstLine="324"/>
        <w:spacing w:after="0" w:line="438" w:lineRule="auto"/>
        <w:rPr>
          <w:sz w:val="20"/>
          <w:szCs w:val="20"/>
          <w:color w:val="auto"/>
        </w:rPr>
      </w:pPr>
      <w:r>
        <w:rPr>
          <w:rFonts w:ascii="Times New Roman" w:cs="Times New Roman" w:eastAsia="Times New Roman" w:hAnsi="Times New Roman"/>
          <w:sz w:val="18"/>
          <w:szCs w:val="18"/>
          <w:color w:val="auto"/>
        </w:rPr>
        <w:t xml:space="preserve">We do not intend to have a policy or practice to time equity grants based on the release of material non-public information. </w:t>
      </w:r>
      <w:r>
        <w:rPr>
          <w:rFonts w:ascii="Times New Roman" w:cs="Times New Roman" w:eastAsia="Times New Roman" w:hAnsi="Times New Roman"/>
          <w:sz w:val="18"/>
          <w:szCs w:val="18"/>
          <w:b w:val="1"/>
          <w:bCs w:val="1"/>
          <w:color w:val="auto"/>
        </w:rPr>
        <w:t>Welfare and Other Employee Benefits</w:t>
      </w:r>
    </w:p>
    <w:p>
      <w:pPr>
        <w:spacing w:after="0" w:line="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NEOs are eligible to participate in the same group insurance and employee benefit plans generally available to our other salaried employees in the U.S. These benefits include medical, dental, vision, and disability benefits, and other plans and programs made available to other eligible employees. We have a qualified defined contribution plan under Code Section 401(k) covering eligible employees, including our NEOs. All participants in the plan are eligible to make pre-tax or Roth or after-tax Roth contributions. All participant 401(k) contributions and earnings, as well as all matching contributions and earnings, are fully and immediately vested.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did not sponsor any defined benefit pension or other actuarial plan for our NEOs in 2024.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Perquisites</w:t>
      </w:r>
    </w:p>
    <w:p>
      <w:pPr>
        <w:spacing w:after="0" w:line="17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do not view perquisites or other personal benefits as a significant component of our executive compensation program. Accordingly, we generally do not provide special plans or programs for our NEOs. In 2024, we engaged third parties to provide limited security and transportation services to Mr. Britt. We view these security and transportation services provided to Mr. Britt as an integral part of our risk management program and as necessary and appropriate business expenses. However, because they may be viewed as conveying a personal benefit to Mr. Britt, we have included in the Summary Compensation Table below the aggregate incremental costs to us of these services in the total value of perquisites and personal benefits paid to Mr. Britt. Additionally, in 2024, we provided a corporate housing stipend, paid on a grossed up basis, to Mr. Troughton, and reimbursed Mr. Frankel, on a grossed-up basis, for certain costs associated with his relocation to San Francisco and certain legal fees in connection with his hiring.</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practices with respect to perquisites or other personal benefits will be subject to review and approval by our board of directors.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Compensation Policies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Compensation Recovery Policy</w:t>
      </w:r>
    </w:p>
    <w:p>
      <w:pPr>
        <w:spacing w:after="0" w:line="175"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Prior to the completion of this offering, we expect our board of directors to adopt a clawback policy in compliance with SEC rules and Nasdaq listing standards related to compensation recovery.</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Derivatives Trading, Hedging, and Pledging Policy</w:t>
      </w:r>
    </w:p>
    <w:p>
      <w:pPr>
        <w:spacing w:after="0" w:line="175"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We have adopted an insider trading policy that will become effective as of the effective date of the registration statement of which this prospectus forms a part. Pursuant to such policy, our employees, including the members of our executive team and the members of our board of directors, are prohibited from engaging in transactions involving derivative securities or otherwise that would hedge the risk of ownership of our equity securities and from pledging our equity securities as collateral for a loan.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and Accounting Considerations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Tax Considerations</w:t>
      </w:r>
    </w:p>
    <w:p>
      <w:pPr>
        <w:spacing w:after="0" w:line="175"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We have not provided any of our NEOs with a gross-up or other reimbursement for tax amounts the individual might pay pursuant to Code Sections 280G, 4999, or 409A. Code Sections 280G and 4999 provide that NEOs, directors who hold significant stockholder interests and certain other service providers could be subject to significant additional taxes if they receive payments or benefits in connection with a change in control of our company that exceeds certain limits, and that we or our successor could lose a deduction on the amounts subject to the additional tax. Code Section 409A also imposes significant taxes on the individual in the event that an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180"/>
          </w:cols>
          <w:pgMar w:left="320" w:top="124" w:right="399" w:bottom="1440" w:gutter="0" w:footer="0" w:header="0"/>
        </w:sectPr>
      </w:pPr>
    </w:p>
    <w:bookmarkStart w:id="208" w:name="page209"/>
    <w:bookmarkEnd w:id="208"/>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or other service provider receives “deferred compensation” that does not meet the requirements of Code Section 409A.</w:t>
      </w:r>
    </w:p>
    <w:p>
      <w:pPr>
        <w:spacing w:after="0" w:line="171"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Under Code Section 162(m), we are subject to limits on the deductibility of executive compensation. Deductible compensation is limited to $1.0 million per year for certain of our current and former highly compensated executive officers. While we cannot predict how the deductibility limit may impact our compensation program in future years, we intend to maintain an approach to executive compensation that strongly links pay to performance. In addition, although we have not adopted a formal policy regarding tax deductibility of compensation paid to our NEOs, the board of directors may consider tax deductibility under Code Section 162(m) as a factor in its compensation decisions.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Accounting Considerations</w:t>
      </w:r>
    </w:p>
    <w:p>
      <w:pPr>
        <w:spacing w:after="0" w:line="175" w:lineRule="exact"/>
        <w:rPr>
          <w:sz w:val="20"/>
          <w:szCs w:val="20"/>
          <w:color w:val="auto"/>
        </w:rPr>
      </w:pPr>
    </w:p>
    <w:p>
      <w:pPr>
        <w:ind w:right="80" w:firstLine="324"/>
        <w:spacing w:after="0" w:line="289" w:lineRule="auto"/>
        <w:rPr>
          <w:sz w:val="20"/>
          <w:szCs w:val="20"/>
          <w:color w:val="auto"/>
        </w:rPr>
      </w:pPr>
      <w:r>
        <w:rPr>
          <w:rFonts w:ascii="Times New Roman" w:cs="Times New Roman" w:eastAsia="Times New Roman" w:hAnsi="Times New Roman"/>
          <w:sz w:val="17"/>
          <w:szCs w:val="17"/>
          <w:color w:val="auto"/>
        </w:rPr>
        <w:t>We take financial reporting implications into consideration in designing compensation plans and arrangements for the members of our executive team, other employees and members of our board of directors. These accounting considerations include Financial Accounting Standards Board Accounting Standards Codification Topic 718 (“ASC Topic 718”), the standard which governs the accounting treatment of stock-based compensation awards.</w:t>
      </w:r>
    </w:p>
    <w:p>
      <w:pPr>
        <w:spacing w:after="0" w:line="1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Compensation-Related Risk</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board of directors is responsible for the oversight of our risk profile, including compensation-related risks, and monitors our compensation policies and practices as applied to our employees to ensure that these policies and practices do not encourage excessive and unnecessary risk-taking. In cooperation with management and the Compensation Committee, our board of directors reviewed our 2024 compensation programs. Our board of directors believes the mix and design of the elements of such programs do not encourage our employees to assume excessive risks and accordingly are not reasonably likely to have a material adverse effect on our company. We have designed our compensation programs to be balanced so that our employees are focused on both short-term and long-term financial and operational performance goals are appropriately set with targets that encourage growth in the business.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the compensation awarded, paid to or earned by each of our NEOs for the year ended December 31, 2024:</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Name and Principal Position</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Year</w:t>
            </w:r>
          </w:p>
        </w:tc>
        <w:tc>
          <w:tcPr>
            <w:tcW w:w="100" w:type="dxa"/>
            <w:vAlign w:val="bottom"/>
          </w:tcPr>
          <w:p>
            <w:pPr>
              <w:spacing w:after="0"/>
              <w:rPr>
                <w:sz w:val="10"/>
                <w:szCs w:val="10"/>
                <w:color w:val="auto"/>
              </w:rPr>
            </w:pPr>
          </w:p>
        </w:tc>
        <w:tc>
          <w:tcPr>
            <w:tcW w:w="11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b w:val="1"/>
                <w:bCs w:val="1"/>
                <w:color w:val="auto"/>
              </w:rPr>
              <w:t>Salary ($)</w:t>
            </w: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Bonus ($)</w:t>
            </w:r>
            <w:r>
              <w:rPr>
                <w:rFonts w:ascii="Times New Roman" w:cs="Times New Roman" w:eastAsia="Times New Roman" w:hAnsi="Times New Roman"/>
                <w:sz w:val="14"/>
                <w:szCs w:val="14"/>
                <w:b w:val="1"/>
                <w:bCs w:val="1"/>
                <w:color w:val="auto"/>
                <w:vertAlign w:val="superscript"/>
              </w:rPr>
              <w:t>(1)</w:t>
            </w:r>
          </w:p>
        </w:tc>
        <w:tc>
          <w:tcPr>
            <w:tcW w:w="1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Stock Awards ($)</w:t>
            </w:r>
            <w:r>
              <w:rPr>
                <w:rFonts w:ascii="Times New Roman" w:cs="Times New Roman" w:eastAsia="Times New Roman" w:hAnsi="Times New Roman"/>
                <w:sz w:val="14"/>
                <w:szCs w:val="14"/>
                <w:b w:val="1"/>
                <w:bCs w:val="1"/>
                <w:color w:val="auto"/>
                <w:vertAlign w:val="superscript"/>
              </w:rPr>
              <w:t>(2)</w:t>
            </w: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Options Awards ($)</w:t>
            </w:r>
            <w:r>
              <w:rPr>
                <w:rFonts w:ascii="Times New Roman" w:cs="Times New Roman" w:eastAsia="Times New Roman" w:hAnsi="Times New Roman"/>
                <w:sz w:val="14"/>
                <w:szCs w:val="14"/>
                <w:b w:val="1"/>
                <w:bCs w:val="1"/>
                <w:color w:val="auto"/>
                <w:vertAlign w:val="superscript"/>
              </w:rPr>
              <w:t>(2)</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Non-Equity Incentive</w:t>
            </w: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All Other Compensation</w:t>
            </w:r>
          </w:p>
        </w:tc>
        <w:tc>
          <w:tcPr>
            <w:tcW w:w="1220" w:type="dxa"/>
            <w:vAlign w:val="bottom"/>
            <w:vMerge w:val="restart"/>
          </w:tcPr>
          <w:p>
            <w:pPr>
              <w:jc w:val="right"/>
              <w:ind w:right="351"/>
              <w:spacing w:after="0"/>
              <w:rPr>
                <w:sz w:val="20"/>
                <w:szCs w:val="20"/>
                <w:color w:val="auto"/>
              </w:rPr>
            </w:pPr>
            <w:r>
              <w:rPr>
                <w:rFonts w:ascii="Times New Roman" w:cs="Times New Roman" w:eastAsia="Times New Roman" w:hAnsi="Times New Roman"/>
                <w:sz w:val="11"/>
                <w:szCs w:val="11"/>
                <w:b w:val="1"/>
                <w:bCs w:val="1"/>
                <w:color w:val="auto"/>
              </w:rPr>
              <w:t>Total ($)</w:t>
            </w:r>
          </w:p>
        </w:tc>
        <w:tc>
          <w:tcPr>
            <w:tcW w:w="0" w:type="dxa"/>
            <w:vAlign w:val="bottom"/>
          </w:tcPr>
          <w:p>
            <w:pPr>
              <w:spacing w:after="0"/>
              <w:rPr>
                <w:sz w:val="1"/>
                <w:szCs w:val="1"/>
                <w:color w:val="auto"/>
              </w:rPr>
            </w:pPr>
          </w:p>
        </w:tc>
      </w:tr>
      <w:tr>
        <w:trPr>
          <w:trHeight w:val="162"/>
        </w:trPr>
        <w:tc>
          <w:tcPr>
            <w:tcW w:w="224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6"/>
              </w:rPr>
              <w:t>Plan Compensation ($)</w:t>
            </w:r>
            <w:r>
              <w:rPr>
                <w:rFonts w:ascii="Times New Roman" w:cs="Times New Roman" w:eastAsia="Times New Roman" w:hAnsi="Times New Roman"/>
                <w:sz w:val="14"/>
                <w:szCs w:val="14"/>
                <w:b w:val="1"/>
                <w:bCs w:val="1"/>
                <w:color w:val="auto"/>
                <w:w w:val="96"/>
                <w:vertAlign w:val="superscript"/>
              </w:rPr>
              <w:t>(3)</w:t>
            </w:r>
          </w:p>
        </w:tc>
        <w:tc>
          <w:tcPr>
            <w:tcW w:w="1320" w:type="dxa"/>
            <w:vAlign w:val="bottom"/>
          </w:tcPr>
          <w:p>
            <w:pPr>
              <w:jc w:val="right"/>
              <w:ind w:right="493"/>
              <w:spacing w:after="0"/>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4"/>
                <w:szCs w:val="14"/>
                <w:b w:val="1"/>
                <w:bCs w:val="1"/>
                <w:color w:val="auto"/>
                <w:vertAlign w:val="superscript"/>
              </w:rPr>
              <w:t>(4)</w:t>
            </w:r>
          </w:p>
        </w:tc>
        <w:tc>
          <w:tcPr>
            <w:tcW w:w="10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Christopher Britt</w:t>
            </w:r>
          </w:p>
        </w:tc>
        <w:tc>
          <w:tcPr>
            <w:tcW w:w="10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10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1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14,957,098</w:t>
            </w:r>
          </w:p>
        </w:tc>
        <w:tc>
          <w:tcPr>
            <w:tcW w:w="10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378,601</w:t>
            </w:r>
          </w:p>
        </w:tc>
        <w:tc>
          <w:tcPr>
            <w:tcW w:w="10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15,837,199</w:t>
            </w:r>
          </w:p>
        </w:tc>
        <w:tc>
          <w:tcPr>
            <w:tcW w:w="0" w:type="dxa"/>
            <w:vAlign w:val="bottom"/>
          </w:tcPr>
          <w:p>
            <w:pPr>
              <w:spacing w:after="0"/>
              <w:rPr>
                <w:sz w:val="1"/>
                <w:szCs w:val="1"/>
                <w:color w:val="auto"/>
              </w:rPr>
            </w:pPr>
          </w:p>
        </w:tc>
      </w:tr>
      <w:tr>
        <w:trPr>
          <w:trHeight w:val="152"/>
        </w:trPr>
        <w:tc>
          <w:tcPr>
            <w:tcW w:w="2140" w:type="dxa"/>
            <w:vAlign w:val="bottom"/>
            <w:shd w:val="clear" w:color="auto" w:fill="CCEEFF"/>
          </w:tcPr>
          <w:p>
            <w:pPr>
              <w:ind w:left="240"/>
              <w:spacing w:after="0" w:line="151" w:lineRule="exact"/>
              <w:rPr>
                <w:sz w:val="20"/>
                <w:szCs w:val="20"/>
                <w:color w:val="auto"/>
              </w:rPr>
            </w:pPr>
            <w:r>
              <w:rPr>
                <w:rFonts w:ascii="Times New Roman" w:cs="Times New Roman" w:eastAsia="Times New Roman" w:hAnsi="Times New Roman"/>
                <w:sz w:val="14"/>
                <w:szCs w:val="14"/>
                <w:i w:val="1"/>
                <w:iCs w:val="1"/>
                <w:color w:val="auto"/>
              </w:rPr>
              <w:t>Chief Executive Officer,</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1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i w:val="1"/>
                <w:iCs w:val="1"/>
                <w:color w:val="auto"/>
              </w:rPr>
              <w:t>Chairman, and Co-Founder</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Ryan King</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475,000</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14,957,098</w:t>
            </w:r>
          </w:p>
        </w:tc>
        <w:tc>
          <w:tcPr>
            <w:tcW w:w="100" w:type="dxa"/>
            <w:vAlign w:val="bottom"/>
          </w:tcPr>
          <w:p>
            <w:pPr>
              <w:spacing w:after="0"/>
              <w:rPr>
                <w:sz w:val="16"/>
                <w:szCs w:val="16"/>
                <w:color w:val="auto"/>
              </w:rPr>
            </w:pP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9,004</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15,442,602</w:t>
            </w:r>
          </w:p>
        </w:tc>
        <w:tc>
          <w:tcPr>
            <w:tcW w:w="0" w:type="dxa"/>
            <w:vAlign w:val="bottom"/>
          </w:tcPr>
          <w:p>
            <w:pPr>
              <w:spacing w:after="0"/>
              <w:rPr>
                <w:sz w:val="1"/>
                <w:szCs w:val="1"/>
                <w:color w:val="auto"/>
              </w:rPr>
            </w:pPr>
          </w:p>
        </w:tc>
      </w:tr>
      <w:tr>
        <w:trPr>
          <w:trHeight w:val="203"/>
        </w:trPr>
        <w:tc>
          <w:tcPr>
            <w:tcW w:w="2240" w:type="dxa"/>
            <w:vAlign w:val="bottom"/>
            <w:gridSpan w:val="2"/>
          </w:tcPr>
          <w:p>
            <w:pPr>
              <w:ind w:left="240"/>
              <w:spacing w:after="0"/>
              <w:rPr>
                <w:sz w:val="20"/>
                <w:szCs w:val="20"/>
                <w:color w:val="auto"/>
              </w:rPr>
            </w:pPr>
            <w:r>
              <w:rPr>
                <w:rFonts w:ascii="Times New Roman" w:cs="Times New Roman" w:eastAsia="Times New Roman" w:hAnsi="Times New Roman"/>
                <w:sz w:val="14"/>
                <w:szCs w:val="14"/>
                <w:i w:val="1"/>
                <w:iCs w:val="1"/>
                <w:color w:val="auto"/>
              </w:rPr>
              <w:t>Co-Founder and Director</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240" w:type="dxa"/>
            <w:vAlign w:val="bottom"/>
            <w:gridSpan w:val="2"/>
          </w:tcPr>
          <w:p>
            <w:pPr>
              <w:spacing w:after="0"/>
              <w:rPr>
                <w:sz w:val="16"/>
                <w:szCs w:val="16"/>
                <w:color w:val="auto"/>
              </w:rPr>
            </w:pPr>
          </w:p>
        </w:tc>
        <w:tc>
          <w:tcPr>
            <w:tcW w:w="580" w:type="dxa"/>
            <w:vAlign w:val="bottom"/>
          </w:tcPr>
          <w:p>
            <w:pPr>
              <w:spacing w:after="0"/>
              <w:rPr>
                <w:sz w:val="16"/>
                <w:szCs w:val="16"/>
                <w:color w:val="auto"/>
              </w:rPr>
            </w:pPr>
          </w:p>
        </w:tc>
        <w:tc>
          <w:tcPr>
            <w:tcW w:w="112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Matthew Newcomb</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446,760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10,686</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458,946</w:t>
            </w:r>
          </w:p>
        </w:tc>
        <w:tc>
          <w:tcPr>
            <w:tcW w:w="0" w:type="dxa"/>
            <w:vAlign w:val="bottom"/>
          </w:tcPr>
          <w:p>
            <w:pPr>
              <w:spacing w:after="0"/>
              <w:rPr>
                <w:sz w:val="1"/>
                <w:szCs w:val="1"/>
                <w:color w:val="auto"/>
              </w:rPr>
            </w:pPr>
          </w:p>
        </w:tc>
      </w:tr>
      <w:tr>
        <w:trPr>
          <w:trHeight w:val="219"/>
        </w:trPr>
        <w:tc>
          <w:tcPr>
            <w:tcW w:w="2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i w:val="1"/>
                <w:iCs w:val="1"/>
                <w:color w:val="auto"/>
              </w:rPr>
              <w:t>Chief Financial Officer</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Adam Frankel</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425,000</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1,251,265</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1,454,782</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44,813</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3,175,860</w:t>
            </w:r>
          </w:p>
        </w:tc>
        <w:tc>
          <w:tcPr>
            <w:tcW w:w="0" w:type="dxa"/>
            <w:vAlign w:val="bottom"/>
          </w:tcPr>
          <w:p>
            <w:pPr>
              <w:spacing w:after="0"/>
              <w:rPr>
                <w:sz w:val="1"/>
                <w:szCs w:val="1"/>
                <w:color w:val="auto"/>
              </w:rPr>
            </w:pPr>
          </w:p>
        </w:tc>
      </w:tr>
      <w:tr>
        <w:trPr>
          <w:trHeight w:val="161"/>
        </w:trPr>
        <w:tc>
          <w:tcPr>
            <w:tcW w:w="2240" w:type="dxa"/>
            <w:vAlign w:val="bottom"/>
            <w:gridSpan w:val="2"/>
          </w:tcPr>
          <w:p>
            <w:pPr>
              <w:ind w:left="240"/>
              <w:spacing w:after="0"/>
              <w:rPr>
                <w:sz w:val="20"/>
                <w:szCs w:val="20"/>
                <w:color w:val="auto"/>
              </w:rPr>
            </w:pPr>
            <w:r>
              <w:rPr>
                <w:rFonts w:ascii="Times New Roman" w:cs="Times New Roman" w:eastAsia="Times New Roman" w:hAnsi="Times New Roman"/>
                <w:sz w:val="14"/>
                <w:szCs w:val="14"/>
                <w:i w:val="1"/>
                <w:iCs w:val="1"/>
                <w:color w:val="auto"/>
              </w:rPr>
              <w:t>General Counsel and Corporate</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240" w:type="dxa"/>
            <w:vAlign w:val="bottom"/>
            <w:gridSpan w:val="2"/>
          </w:tcPr>
          <w:p>
            <w:pPr>
              <w:ind w:left="400"/>
              <w:spacing w:after="0"/>
              <w:rPr>
                <w:sz w:val="20"/>
                <w:szCs w:val="20"/>
                <w:color w:val="auto"/>
              </w:rPr>
            </w:pPr>
            <w:r>
              <w:rPr>
                <w:rFonts w:ascii="Times New Roman" w:cs="Times New Roman" w:eastAsia="Times New Roman" w:hAnsi="Times New Roman"/>
                <w:sz w:val="14"/>
                <w:szCs w:val="14"/>
                <w:i w:val="1"/>
                <w:iCs w:val="1"/>
                <w:color w:val="auto"/>
              </w:rPr>
              <w:t>Secretary</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240" w:type="dxa"/>
            <w:vAlign w:val="bottom"/>
            <w:gridSpan w:val="2"/>
          </w:tcPr>
          <w:p>
            <w:pPr>
              <w:spacing w:after="0"/>
              <w:rPr>
                <w:sz w:val="3"/>
                <w:szCs w:val="3"/>
                <w:color w:val="auto"/>
              </w:rPr>
            </w:pPr>
          </w:p>
        </w:tc>
        <w:tc>
          <w:tcPr>
            <w:tcW w:w="580" w:type="dxa"/>
            <w:vAlign w:val="bottom"/>
          </w:tcPr>
          <w:p>
            <w:pPr>
              <w:spacing w:after="0"/>
              <w:rPr>
                <w:sz w:val="3"/>
                <w:szCs w:val="3"/>
                <w:color w:val="auto"/>
              </w:rPr>
            </w:pPr>
          </w:p>
        </w:tc>
        <w:tc>
          <w:tcPr>
            <w:tcW w:w="11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 Troughton</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156,054</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607,054</w:t>
            </w:r>
          </w:p>
        </w:tc>
        <w:tc>
          <w:tcPr>
            <w:tcW w:w="0" w:type="dxa"/>
            <w:vAlign w:val="bottom"/>
          </w:tcPr>
          <w:p>
            <w:pPr>
              <w:spacing w:after="0"/>
              <w:rPr>
                <w:sz w:val="1"/>
                <w:szCs w:val="1"/>
                <w:color w:val="auto"/>
              </w:rPr>
            </w:pPr>
          </w:p>
        </w:tc>
      </w:tr>
      <w:tr>
        <w:trPr>
          <w:trHeight w:val="203"/>
        </w:trPr>
        <w:tc>
          <w:tcPr>
            <w:tcW w:w="2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i w:val="1"/>
                <w:iCs w:val="1"/>
                <w:color w:val="auto"/>
              </w:rPr>
              <w:t>Chief Operating Officer</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represent anniversary bonuses as described above.</w:t>
      </w:r>
    </w:p>
    <w:p>
      <w:pPr>
        <w:spacing w:after="0" w:line="11" w:lineRule="exact"/>
        <w:rPr>
          <w:rFonts w:ascii="Times New Roman" w:cs="Times New Roman" w:eastAsia="Times New Roman" w:hAnsi="Times New Roman"/>
          <w:sz w:val="14"/>
          <w:szCs w:val="14"/>
          <w:color w:val="auto"/>
        </w:rPr>
      </w:pPr>
    </w:p>
    <w:p>
      <w:pPr>
        <w:ind w:left="340" w:right="40" w:hanging="332"/>
        <w:spacing w:after="0" w:line="272" w:lineRule="auto"/>
        <w:tabs>
          <w:tab w:leader="none" w:pos="332"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represent the aggregate grant-date fair value of the RSUs or options awarded to the NEOs calculated in accordance with ASC Topic 718. These amounts do not reflect the actual economic value that may be realized by the NEO. The assumptions used in determining the grant date fair value of the RSUs or options reported in this column are set forth in Note 13 to our consolidated financial statements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240"/>
          </w:cols>
          <w:pgMar w:left="320" w:top="124" w:right="339" w:bottom="1440" w:gutter="0" w:footer="0" w:header="0"/>
        </w:sectPr>
      </w:pPr>
    </w:p>
    <w:bookmarkStart w:id="209" w:name="page210"/>
    <w:bookmarkEnd w:id="209"/>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40" w:right="380" w:hanging="332"/>
        <w:spacing w:after="0" w:line="271" w:lineRule="auto"/>
        <w:tabs>
          <w:tab w:leader="none" w:pos="332"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Messrs. Newcomb, Frankel, and Troughton participate in our 2024 Bonus Plan with target bonus opportunities of $225,000, $212,500, and $225,000, respectively. However, the actual bonus amounts for 2024 have not yet been determined. A final bonus amount determination is expected before the end of March 2025.</w:t>
      </w:r>
    </w:p>
    <w:p>
      <w:pPr>
        <w:ind w:left="340" w:hanging="332"/>
        <w:spacing w:after="0" w:line="261" w:lineRule="auto"/>
        <w:tabs>
          <w:tab w:leader="none" w:pos="332"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reported amount of all other compensation consists of: (i) for Mr. Britt, $10,350 in connection with 401(k) Company matching, $336 in life insurance premiums, and $367,915 in connection with company-paid security and transportation services that we view as an integral part of our risk management program but may be viewed as conveying a personal benefit to Mr. Britt; (ii) for Mr. King, $8,668 in connection with 401(k) Company matching and $336 in life insurance premiums; (iii) for Mr. Newcomb, $10,350 in connection with 401(k) Company matching and $336 in life insurance premiums; (iv) for Mr. Frankel, $21,151 in connection with legal fee reimbursement in connection with his hiring, $14,157 in connection with relocation expenses, $9,169 in connection with 401(k) Company matching, and $336 in life insurance premiums; and (v) for Mr. Troughton, $153,944 in corporate housing benefits, $1,774 in connection with 401(k) Company matching, and $336 in life insurance premiums.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Grants of Plan-Based Awards in 2024</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information regarding grants of awards made to our NEOs during 2024:</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6"/>
              </w:rPr>
              <w:t>Estimated Future</w:t>
            </w:r>
          </w:p>
        </w:tc>
        <w:tc>
          <w:tcPr>
            <w:tcW w:w="12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Estimated Future</w:t>
            </w: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32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7"/>
              </w:rPr>
              <w:t>Payouts Under Non-</w:t>
            </w:r>
          </w:p>
        </w:tc>
        <w:tc>
          <w:tcPr>
            <w:tcW w:w="124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9"/>
              </w:rPr>
              <w:t>Payouts Under Equity</w:t>
            </w:r>
          </w:p>
        </w:tc>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All Other Option</w:t>
            </w: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32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w w:val="97"/>
              </w:rPr>
              <w:t>Equity Incentive</w:t>
            </w:r>
          </w:p>
        </w:tc>
        <w:tc>
          <w:tcPr>
            <w:tcW w:w="124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rPr>
              <w:t>Incentive</w:t>
            </w:r>
          </w:p>
        </w:tc>
        <w:tc>
          <w:tcPr>
            <w:tcW w:w="80" w:type="dxa"/>
            <w:vAlign w:val="bottom"/>
          </w:tcPr>
          <w:p>
            <w:pPr>
              <w:spacing w:after="0"/>
              <w:rPr>
                <w:sz w:val="9"/>
                <w:szCs w:val="9"/>
                <w:color w:val="auto"/>
              </w:rPr>
            </w:pPr>
          </w:p>
        </w:tc>
        <w:tc>
          <w:tcPr>
            <w:tcW w:w="13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All Other Stock Awards:</w:t>
            </w:r>
          </w:p>
        </w:tc>
        <w:tc>
          <w:tcPr>
            <w:tcW w:w="1320" w:type="dxa"/>
            <w:vAlign w:val="bottom"/>
            <w:gridSpan w:val="2"/>
            <w:vMerge w:val="continue"/>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Grant Date Fair Value of</w:t>
            </w:r>
          </w:p>
        </w:tc>
        <w:tc>
          <w:tcPr>
            <w:tcW w:w="0" w:type="dxa"/>
            <w:vAlign w:val="bottom"/>
          </w:tcPr>
          <w:p>
            <w:pPr>
              <w:spacing w:after="0"/>
              <w:rPr>
                <w:sz w:val="1"/>
                <w:szCs w:val="1"/>
                <w:color w:val="auto"/>
              </w:rPr>
            </w:pPr>
          </w:p>
        </w:tc>
      </w:tr>
      <w:tr>
        <w:trPr>
          <w:trHeight w:val="108"/>
        </w:trPr>
        <w:tc>
          <w:tcPr>
            <w:tcW w:w="2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32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6"/>
              </w:rPr>
              <w:t>Plan Awards ($)</w:t>
            </w:r>
            <w:r>
              <w:rPr>
                <w:rFonts w:ascii="Times New Roman" w:cs="Times New Roman" w:eastAsia="Times New Roman" w:hAnsi="Times New Roman"/>
                <w:sz w:val="7"/>
                <w:szCs w:val="7"/>
                <w:color w:val="auto"/>
                <w:w w:val="96"/>
              </w:rPr>
              <w:t>(2)</w:t>
            </w:r>
          </w:p>
        </w:tc>
        <w:tc>
          <w:tcPr>
            <w:tcW w:w="124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9"/>
              </w:rPr>
              <w:t>Plan Awards (#)</w:t>
            </w:r>
            <w:r>
              <w:rPr>
                <w:rFonts w:ascii="Times New Roman" w:cs="Times New Roman" w:eastAsia="Times New Roman" w:hAnsi="Times New Roman"/>
                <w:sz w:val="7"/>
                <w:szCs w:val="7"/>
                <w:color w:val="auto"/>
                <w:w w:val="99"/>
              </w:rPr>
              <w:t>(3)</w:t>
            </w:r>
          </w:p>
        </w:tc>
        <w:tc>
          <w:tcPr>
            <w:tcW w:w="80" w:type="dxa"/>
            <w:vAlign w:val="bottom"/>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132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7"/>
              </w:rPr>
              <w:t>Awards: Number of</w:t>
            </w: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6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Name</w:t>
            </w:r>
          </w:p>
        </w:tc>
        <w:tc>
          <w:tcPr>
            <w:tcW w:w="100" w:type="dxa"/>
            <w:vAlign w:val="bottom"/>
          </w:tcPr>
          <w:p>
            <w:pPr>
              <w:spacing w:after="0"/>
              <w:rPr>
                <w:sz w:val="4"/>
                <w:szCs w:val="4"/>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Grant Date</w:t>
            </w:r>
            <w:r>
              <w:rPr>
                <w:rFonts w:ascii="Times New Roman" w:cs="Times New Roman" w:eastAsia="Times New Roman" w:hAnsi="Times New Roman"/>
                <w:sz w:val="7"/>
                <w:szCs w:val="7"/>
                <w:b w:val="1"/>
                <w:bCs w:val="1"/>
                <w:color w:val="auto"/>
              </w:rPr>
              <w:t>(1)</w:t>
            </w:r>
          </w:p>
        </w:tc>
        <w:tc>
          <w:tcPr>
            <w:tcW w:w="12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340" w:type="dxa"/>
            <w:vAlign w:val="bottom"/>
            <w:gridSpan w:val="2"/>
          </w:tcPr>
          <w:p>
            <w:pPr>
              <w:jc w:val="center"/>
              <w:ind w:right="100"/>
              <w:spacing w:after="0" w:line="48" w:lineRule="exact"/>
              <w:rPr>
                <w:sz w:val="20"/>
                <w:szCs w:val="20"/>
                <w:color w:val="auto"/>
              </w:rPr>
            </w:pPr>
            <w:r>
              <w:rPr>
                <w:rFonts w:ascii="Times New Roman" w:cs="Times New Roman" w:eastAsia="Times New Roman" w:hAnsi="Times New Roman"/>
                <w:sz w:val="5"/>
                <w:szCs w:val="5"/>
                <w:b w:val="1"/>
                <w:bCs w:val="1"/>
                <w:color w:val="auto"/>
              </w:rPr>
              <w:t>Number of Shares of</w:t>
            </w:r>
          </w:p>
        </w:tc>
        <w:tc>
          <w:tcPr>
            <w:tcW w:w="1320" w:type="dxa"/>
            <w:vAlign w:val="bottom"/>
            <w:gridSpan w:val="2"/>
          </w:tcPr>
          <w:p>
            <w:pPr>
              <w:jc w:val="center"/>
              <w:ind w:right="120"/>
              <w:spacing w:after="0" w:line="48" w:lineRule="exact"/>
              <w:rPr>
                <w:sz w:val="20"/>
                <w:szCs w:val="20"/>
                <w:color w:val="auto"/>
              </w:rPr>
            </w:pPr>
            <w:r>
              <w:rPr>
                <w:rFonts w:ascii="Times New Roman" w:cs="Times New Roman" w:eastAsia="Times New Roman" w:hAnsi="Times New Roman"/>
                <w:sz w:val="5"/>
                <w:szCs w:val="5"/>
                <w:b w:val="1"/>
                <w:bCs w:val="1"/>
                <w:color w:val="auto"/>
              </w:rPr>
              <w:t>Securities Underlying</w:t>
            </w:r>
          </w:p>
        </w:tc>
        <w:tc>
          <w:tcPr>
            <w:tcW w:w="1320" w:type="dxa"/>
            <w:vAlign w:val="bottom"/>
            <w:gridSpan w:val="2"/>
          </w:tcPr>
          <w:p>
            <w:pPr>
              <w:jc w:val="center"/>
              <w:ind w:right="100"/>
              <w:spacing w:after="0" w:line="48" w:lineRule="exact"/>
              <w:rPr>
                <w:sz w:val="20"/>
                <w:szCs w:val="20"/>
                <w:color w:val="auto"/>
              </w:rPr>
            </w:pPr>
            <w:r>
              <w:rPr>
                <w:rFonts w:ascii="Times New Roman" w:cs="Times New Roman" w:eastAsia="Times New Roman" w:hAnsi="Times New Roman"/>
                <w:sz w:val="5"/>
                <w:szCs w:val="5"/>
                <w:b w:val="1"/>
                <w:bCs w:val="1"/>
                <w:color w:val="auto"/>
              </w:rPr>
              <w:t>Exercise or Base Price of</w:t>
            </w:r>
          </w:p>
        </w:tc>
        <w:tc>
          <w:tcPr>
            <w:tcW w:w="1240" w:type="dxa"/>
            <w:vAlign w:val="bottom"/>
          </w:tcPr>
          <w:p>
            <w:pPr>
              <w:jc w:val="center"/>
              <w:spacing w:after="0" w:line="48" w:lineRule="exact"/>
              <w:rPr>
                <w:sz w:val="20"/>
                <w:szCs w:val="20"/>
                <w:color w:val="auto"/>
              </w:rPr>
            </w:pPr>
            <w:r>
              <w:rPr>
                <w:rFonts w:ascii="Times New Roman" w:cs="Times New Roman" w:eastAsia="Times New Roman" w:hAnsi="Times New Roman"/>
                <w:sz w:val="5"/>
                <w:szCs w:val="5"/>
                <w:b w:val="1"/>
                <w:bCs w:val="1"/>
                <w:color w:val="auto"/>
              </w:rPr>
              <w:t>Stock and Option Awards</w:t>
            </w:r>
          </w:p>
        </w:tc>
        <w:tc>
          <w:tcPr>
            <w:tcW w:w="0" w:type="dxa"/>
            <w:vAlign w:val="bottom"/>
          </w:tcPr>
          <w:p>
            <w:pPr>
              <w:spacing w:after="0"/>
              <w:rPr>
                <w:sz w:val="1"/>
                <w:szCs w:val="1"/>
                <w:color w:val="auto"/>
              </w:rPr>
            </w:pPr>
          </w:p>
        </w:tc>
      </w:tr>
      <w:tr>
        <w:trPr>
          <w:trHeight w:val="149"/>
        </w:trPr>
        <w:tc>
          <w:tcPr>
            <w:tcW w:w="2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4"/>
              </w:rPr>
              <w:t>Target</w:t>
            </w:r>
          </w:p>
        </w:tc>
        <w:tc>
          <w:tcPr>
            <w:tcW w:w="12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Target</w:t>
            </w:r>
          </w:p>
        </w:tc>
        <w:tc>
          <w:tcPr>
            <w:tcW w:w="80" w:type="dxa"/>
            <w:vAlign w:val="bottom"/>
          </w:tcPr>
          <w:p>
            <w:pPr>
              <w:spacing w:after="0"/>
              <w:rPr>
                <w:sz w:val="12"/>
                <w:szCs w:val="12"/>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Stock or Units (#)</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Options (#)</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Option Awards ($/sh)</w:t>
            </w:r>
          </w:p>
        </w:tc>
        <w:tc>
          <w:tcPr>
            <w:tcW w:w="12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7"/>
                <w:szCs w:val="7"/>
                <w:b w:val="1"/>
                <w:bCs w:val="1"/>
                <w:color w:val="auto"/>
              </w:rPr>
              <w:t>)(4)</w:t>
            </w:r>
          </w:p>
        </w:tc>
        <w:tc>
          <w:tcPr>
            <w:tcW w:w="0" w:type="dxa"/>
            <w:vAlign w:val="bottom"/>
          </w:tcPr>
          <w:p>
            <w:pPr>
              <w:spacing w:after="0"/>
              <w:rPr>
                <w:sz w:val="1"/>
                <w:szCs w:val="1"/>
                <w:color w:val="auto"/>
              </w:rPr>
            </w:pPr>
          </w:p>
        </w:tc>
      </w:tr>
      <w:tr>
        <w:trPr>
          <w:trHeight w:val="210"/>
        </w:trPr>
        <w:tc>
          <w:tcPr>
            <w:tcW w:w="2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Christopher Britt</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3/30/2024</w:t>
            </w:r>
          </w:p>
        </w:tc>
        <w:tc>
          <w:tcPr>
            <w:tcW w:w="12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700,000</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17.35</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8,053,822</w:t>
            </w:r>
          </w:p>
        </w:tc>
        <w:tc>
          <w:tcPr>
            <w:tcW w:w="0" w:type="dxa"/>
            <w:vAlign w:val="bottom"/>
          </w:tcPr>
          <w:p>
            <w:pPr>
              <w:spacing w:after="0"/>
              <w:rPr>
                <w:sz w:val="1"/>
                <w:szCs w:val="1"/>
                <w:color w:val="auto"/>
              </w:rPr>
            </w:pPr>
          </w:p>
        </w:tc>
      </w:tr>
      <w:tr>
        <w:trPr>
          <w:trHeight w:val="222"/>
        </w:trPr>
        <w:tc>
          <w:tcPr>
            <w:tcW w:w="20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3/30/2024</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6"/>
                <w:szCs w:val="16"/>
                <w:color w:val="auto"/>
              </w:rPr>
              <w:t>600,000</w:t>
            </w:r>
          </w:p>
        </w:tc>
        <w:tc>
          <w:tcPr>
            <w:tcW w:w="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17.35</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6,903,276</w:t>
            </w:r>
          </w:p>
        </w:tc>
        <w:tc>
          <w:tcPr>
            <w:tcW w:w="0" w:type="dxa"/>
            <w:vAlign w:val="bottom"/>
          </w:tcPr>
          <w:p>
            <w:pPr>
              <w:spacing w:after="0"/>
              <w:rPr>
                <w:sz w:val="1"/>
                <w:szCs w:val="1"/>
                <w:color w:val="auto"/>
              </w:rPr>
            </w:pPr>
          </w:p>
        </w:tc>
      </w:tr>
      <w:tr>
        <w:trPr>
          <w:trHeight w:val="210"/>
        </w:trPr>
        <w:tc>
          <w:tcPr>
            <w:tcW w:w="2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Ryan King</w:t>
            </w:r>
          </w:p>
        </w:tc>
        <w:tc>
          <w:tcPr>
            <w:tcW w:w="13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3/30/2024</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700,000</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17.35</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8,053,822</w:t>
            </w:r>
          </w:p>
        </w:tc>
        <w:tc>
          <w:tcPr>
            <w:tcW w:w="0" w:type="dxa"/>
            <w:vAlign w:val="bottom"/>
          </w:tcPr>
          <w:p>
            <w:pPr>
              <w:spacing w:after="0"/>
              <w:rPr>
                <w:sz w:val="1"/>
                <w:szCs w:val="1"/>
                <w:color w:val="auto"/>
              </w:rPr>
            </w:pPr>
          </w:p>
        </w:tc>
      </w:tr>
      <w:tr>
        <w:trPr>
          <w:trHeight w:val="219"/>
        </w:trPr>
        <w:tc>
          <w:tcPr>
            <w:tcW w:w="2060" w:type="dxa"/>
            <w:vAlign w:val="bottom"/>
          </w:tcPr>
          <w:p>
            <w:pPr>
              <w:spacing w:after="0"/>
              <w:rPr>
                <w:sz w:val="19"/>
                <w:szCs w:val="19"/>
                <w:color w:val="auto"/>
              </w:rPr>
            </w:pPr>
          </w:p>
        </w:tc>
        <w:tc>
          <w:tcPr>
            <w:tcW w:w="13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3/30/2024</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9"/>
              <w:spacing w:after="0"/>
              <w:rPr>
                <w:sz w:val="20"/>
                <w:szCs w:val="20"/>
                <w:color w:val="auto"/>
              </w:rPr>
            </w:pPr>
            <w:r>
              <w:rPr>
                <w:rFonts w:ascii="Times New Roman" w:cs="Times New Roman" w:eastAsia="Times New Roman" w:hAnsi="Times New Roman"/>
                <w:sz w:val="16"/>
                <w:szCs w:val="16"/>
                <w:color w:val="auto"/>
              </w:rPr>
              <w:t>600,000</w:t>
            </w:r>
          </w:p>
        </w:tc>
        <w:tc>
          <w:tcPr>
            <w:tcW w:w="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17.35</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6,903,276</w:t>
            </w:r>
          </w:p>
        </w:tc>
        <w:tc>
          <w:tcPr>
            <w:tcW w:w="0" w:type="dxa"/>
            <w:vAlign w:val="bottom"/>
          </w:tcPr>
          <w:p>
            <w:pPr>
              <w:spacing w:after="0"/>
              <w:rPr>
                <w:sz w:val="1"/>
                <w:szCs w:val="1"/>
                <w:color w:val="auto"/>
              </w:rPr>
            </w:pPr>
          </w:p>
        </w:tc>
      </w:tr>
      <w:tr>
        <w:trPr>
          <w:trHeight w:val="219"/>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Matthew Newcomb</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6"/>
                <w:szCs w:val="16"/>
                <w:color w:val="auto"/>
              </w:rPr>
              <w:t>225,000</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Adam Frankel</w:t>
            </w:r>
          </w:p>
        </w:tc>
        <w:tc>
          <w:tcPr>
            <w:tcW w:w="13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12/4/2024</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23.51</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1,454,782</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3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12/4/2024</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1,251,265</w:t>
            </w:r>
          </w:p>
        </w:tc>
        <w:tc>
          <w:tcPr>
            <w:tcW w:w="0" w:type="dxa"/>
            <w:vAlign w:val="bottom"/>
          </w:tcPr>
          <w:p>
            <w:pPr>
              <w:spacing w:after="0"/>
              <w:rPr>
                <w:sz w:val="1"/>
                <w:szCs w:val="1"/>
                <w:color w:val="auto"/>
              </w:rPr>
            </w:pPr>
          </w:p>
        </w:tc>
      </w:tr>
      <w:tr>
        <w:trPr>
          <w:trHeight w:val="219"/>
        </w:trPr>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40" w:type="dxa"/>
            <w:vAlign w:val="bottom"/>
          </w:tcPr>
          <w:p>
            <w:pPr>
              <w:jc w:val="right"/>
              <w:ind w:right="9"/>
              <w:spacing w:after="0"/>
              <w:rPr>
                <w:sz w:val="20"/>
                <w:szCs w:val="20"/>
                <w:color w:val="auto"/>
              </w:rPr>
            </w:pPr>
            <w:r>
              <w:rPr>
                <w:rFonts w:ascii="Times New Roman" w:cs="Times New Roman" w:eastAsia="Times New Roman" w:hAnsi="Times New Roman"/>
                <w:sz w:val="16"/>
                <w:szCs w:val="16"/>
                <w:color w:val="auto"/>
              </w:rPr>
              <w:t>212,500</w:t>
            </w:r>
          </w:p>
        </w:tc>
        <w:tc>
          <w:tcPr>
            <w:tcW w:w="80" w:type="dxa"/>
            <w:vAlign w:val="bottom"/>
          </w:tcPr>
          <w:p>
            <w:pPr>
              <w:spacing w:after="0"/>
              <w:rPr>
                <w:sz w:val="19"/>
                <w:szCs w:val="19"/>
                <w:color w:val="auto"/>
              </w:rPr>
            </w:pPr>
          </w:p>
        </w:tc>
        <w:tc>
          <w:tcPr>
            <w:tcW w:w="1240" w:type="dxa"/>
            <w:vAlign w:val="bottom"/>
          </w:tcPr>
          <w:p>
            <w:pPr>
              <w:jc w:val="right"/>
              <w:ind w:right="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 Troughton</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6"/>
                <w:szCs w:val="16"/>
                <w:color w:val="auto"/>
              </w:rPr>
              <w:t>225,000</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40" w:right="240" w:hanging="332"/>
        <w:spacing w:after="0" w:line="254" w:lineRule="auto"/>
        <w:tabs>
          <w:tab w:leader="none" w:pos="332"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equity incentive plan awards was granted pursuant to our 2012 Plan. Each of the non-equity incentive plan awards represent target bonus opportunities under our 2024 Bonus Plan.</w:t>
      </w:r>
    </w:p>
    <w:p>
      <w:pPr>
        <w:ind w:left="340" w:right="280" w:hanging="332"/>
        <w:spacing w:after="0" w:line="260" w:lineRule="auto"/>
        <w:tabs>
          <w:tab w:leader="none" w:pos="332"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amounts reflect the target payout to Messrs. Newcomb, Frankel, and Troughton under our 2024 Bonus Plan. There are no threshold or maximum amounts under such awards. The actual amounts paid will be reflected in the “Non-Equity Incentive Plan Compensation” column of the Summary Compensation Table. The 2024 Bonus Plan is described further in “— Compensation Discussion and Analysis—2024 Bonus Plan.”</w:t>
      </w:r>
    </w:p>
    <w:p>
      <w:pPr>
        <w:ind w:left="340" w:right="140" w:hanging="332"/>
        <w:spacing w:after="0" w:line="254" w:lineRule="auto"/>
        <w:tabs>
          <w:tab w:leader="none" w:pos="332"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awards reflect the grant of stock options subject to both a service-based vesting condition and a performance-based vesting condition, each of which must be satisfied in order for an option share to vest, as described below in “—Narrative Disclosure to Summary Compensation and Grants of Plan-Based Awards Tables—Equity Compensation.”</w:t>
      </w:r>
    </w:p>
    <w:p>
      <w:pPr>
        <w:ind w:left="340" w:right="40" w:hanging="332"/>
        <w:spacing w:after="0" w:line="270" w:lineRule="auto"/>
        <w:tabs>
          <w:tab w:leader="none" w:pos="332"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represent the aggregate grant-date fair value of the RSUs or options awarded to the NEOs calculated in accordance with ASC Topic 718. These amounts do not reflect the actual economic value that may be realized by the NEO. The assumptions used in determining the grant date fair value of the RSUs or options reported in this column are set forth in Note 13 to our consolidated financial statements included elsewhere in this prospectus.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Arrangements with Our NEOs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anticipate entering into confirmatory employment agreements with certain of our NEOs, providing for the terms set forth below.</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Christopher Britt</w:t>
      </w:r>
    </w:p>
    <w:p>
      <w:pPr>
        <w:spacing w:after="0" w:line="17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Mr. Britt’s confirmatory employment agreement will not have a specific term and will provide that Mr. Britt is an at-will employee. The agreement will supersede all existing agreements and understandings that Mr. Britt may have concerning his employment relationship with us. We expect that Mr. Britt’s confirmatory employment agreement will provide that he will continue to receive his current annual base salary of $ , and be eligible for a target annual bonus at % of his annual base salary.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240"/>
          </w:cols>
          <w:pgMar w:left="320" w:top="124" w:right="339" w:bottom="1440" w:gutter="0" w:footer="0" w:header="0"/>
        </w:sectPr>
      </w:pPr>
    </w:p>
    <w:bookmarkStart w:id="210" w:name="page211"/>
    <w:bookmarkEnd w:id="210"/>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Ryan King</w:t>
      </w:r>
    </w:p>
    <w:p>
      <w:pPr>
        <w:spacing w:after="0" w:line="175"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Mr. King’s confirmatory employment agreement will not have a specific term and will provide that Mr. King is an at-will employee. The agreement will supersede all existing agreements and understandings that Mr. King may have concerning his employment relationship with us. We expect that Mr. King’s confirmatory employment agreement will provide that he will continue to receive his current annual base salary of $ , and be eligible for a target annual bonus at % of his annual base salary.</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Matthew Newcomb</w:t>
      </w:r>
    </w:p>
    <w:p>
      <w:pPr>
        <w:spacing w:after="0" w:line="175"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Mr. Newcomb’s confirmatory employment agreement will not have a specific term and will provide that Mr. Newcomb is an at-will employee. The agreement will supersede all existing agreements and understandings that Mr. Newcomb may have concerning his employment relationship with us. We expect that Mr. Newcomb’s confirmatory employment agreement will provide that he will continue to receive his current annual base salary of $ , and be eligible for a target annual bonus at % of his annual base salary.</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Adam Frankel</w:t>
      </w:r>
    </w:p>
    <w:p>
      <w:pPr>
        <w:spacing w:after="0" w:line="175"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Mr. Frankel’s confirmatory employment agreement will not have a specific term and will provide that Mr. Frankel is an at-will employee. The agreement will supersede all existing agreements and understandings that Mr. Frankel may have concerning his employment relationship with us. We expect that Mr. Frankel’s confirmatory employment agreement will provide that he will continue to receive his current annual base salary of $ , and be eligible for a target annual bonus at % of his annual base salary.</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Mark Troughton</w:t>
      </w:r>
    </w:p>
    <w:p>
      <w:pPr>
        <w:spacing w:after="0" w:line="175" w:lineRule="exact"/>
        <w:rPr>
          <w:sz w:val="20"/>
          <w:szCs w:val="20"/>
          <w:color w:val="auto"/>
        </w:rPr>
      </w:pPr>
    </w:p>
    <w:p>
      <w:pPr>
        <w:jc w:val="both"/>
        <w:ind w:right="180" w:firstLine="324"/>
        <w:spacing w:after="0" w:line="261" w:lineRule="auto"/>
        <w:rPr>
          <w:sz w:val="20"/>
          <w:szCs w:val="20"/>
          <w:color w:val="auto"/>
        </w:rPr>
      </w:pPr>
      <w:r>
        <w:rPr>
          <w:rFonts w:ascii="Times New Roman" w:cs="Times New Roman" w:eastAsia="Times New Roman" w:hAnsi="Times New Roman"/>
          <w:sz w:val="18"/>
          <w:szCs w:val="18"/>
          <w:color w:val="auto"/>
        </w:rPr>
        <w:t>Mr. Troughton’s confirmatory employment agreement will not have a specific term and will provide that Mr. Troughton is an at-will employee. The agreement will supersede all existing agreements and understandings that Mr. Troughton may have concerning his employment relationship with us. We expect that Mr. Troughton ’s confirmatory employment agreement will provide that he will continue to receive his current annual base salary of $ , and be eligible for a target annual bonus at % of his annual base salary.</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Severance Plans</w:t>
      </w:r>
    </w:p>
    <w:p>
      <w:pPr>
        <w:spacing w:after="0" w:line="175" w:lineRule="exact"/>
        <w:rPr>
          <w:sz w:val="20"/>
          <w:szCs w:val="20"/>
          <w:color w:val="auto"/>
        </w:rPr>
      </w:pPr>
    </w:p>
    <w:p>
      <w:pPr>
        <w:jc w:val="both"/>
        <w:ind w:right="180" w:firstLine="324"/>
        <w:spacing w:after="0" w:line="282" w:lineRule="auto"/>
        <w:rPr>
          <w:sz w:val="20"/>
          <w:szCs w:val="20"/>
          <w:color w:val="auto"/>
        </w:rPr>
      </w:pPr>
      <w:r>
        <w:rPr>
          <w:rFonts w:ascii="Times New Roman" w:cs="Times New Roman" w:eastAsia="Times New Roman" w:hAnsi="Times New Roman"/>
          <w:sz w:val="18"/>
          <w:szCs w:val="18"/>
          <w:color w:val="auto"/>
        </w:rPr>
        <w:t>Each of our NEOs is currently eligible to receive severance benefits under the terms of our Change in Control Severance Plan and Officer Severance Plan, as applicable.</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Change in Control Severance Plan</w:t>
      </w:r>
    </w:p>
    <w:p>
      <w:pPr>
        <w:spacing w:after="0" w:line="173"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Under the terms of our Change in Control Severance Plan, each of our NEOs will become eligible to receive the following severance benefits in the event of such NEO’s termination of employment either (i) by us other than for cause (as defined in such plan), death, or disability, or (ii) by such NEO’s resignation for good reason (as defined in such plan), in either case, within the one-year period beginning on the occurrence of a change in control (as defined in such plan):</w:t>
      </w:r>
    </w:p>
    <w:p>
      <w:pPr>
        <w:spacing w:after="0" w:line="124" w:lineRule="exact"/>
        <w:rPr>
          <w:sz w:val="20"/>
          <w:szCs w:val="20"/>
          <w:color w:val="auto"/>
        </w:rPr>
      </w:pPr>
    </w:p>
    <w:p>
      <w:pPr>
        <w:jc w:val="both"/>
        <w:ind w:left="660" w:right="140" w:hanging="323"/>
        <w:spacing w:after="0" w:line="267" w:lineRule="auto"/>
        <w:tabs>
          <w:tab w:leader="none" w:pos="6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i w:val="1"/>
          <w:iCs w:val="1"/>
          <w:color w:val="auto"/>
        </w:rPr>
        <w:t>Accrued Benefits</w:t>
      </w:r>
      <w:r>
        <w:rPr>
          <w:rFonts w:ascii="Times New Roman" w:cs="Times New Roman" w:eastAsia="Times New Roman" w:hAnsi="Times New Roman"/>
          <w:sz w:val="18"/>
          <w:szCs w:val="18"/>
          <w:color w:val="auto"/>
        </w:rPr>
        <w:t>: The sum of (i) the NEO’s annual base salary through the date of termination, (ii) any annual incentive payment earned for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period that was completed prior to the date of termination, and (iii) any accrued and unused vacation pay or other paid time off, and any business expenses incurred but unreimbursed as of the date of termination;</w:t>
      </w:r>
    </w:p>
    <w:p>
      <w:pPr>
        <w:spacing w:after="0" w:line="119" w:lineRule="exact"/>
        <w:rPr>
          <w:sz w:val="20"/>
          <w:szCs w:val="20"/>
          <w:color w:val="auto"/>
        </w:rPr>
      </w:pPr>
    </w:p>
    <w:p>
      <w:pPr>
        <w:ind w:left="660" w:hanging="328"/>
        <w:spacing w:after="0" w:line="284" w:lineRule="auto"/>
        <w:tabs>
          <w:tab w:leader="none" w:pos="65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Salary Severance</w:t>
      </w:r>
      <w:r>
        <w:rPr>
          <w:rFonts w:ascii="Times New Roman" w:cs="Times New Roman" w:eastAsia="Times New Roman" w:hAnsi="Times New Roman"/>
          <w:sz w:val="18"/>
          <w:szCs w:val="18"/>
          <w:color w:val="auto"/>
        </w:rPr>
        <w:t>: A cash amount equal to the NEO’s annual base salary immediately prior to the change in control, or if higher, immediately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date of termination (disregarding any reduction giving rise to a claim for good reason);</w:t>
      </w:r>
    </w:p>
    <w:p>
      <w:pPr>
        <w:spacing w:after="0" w:line="104" w:lineRule="exact"/>
        <w:rPr>
          <w:rFonts w:ascii="Times New Roman" w:cs="Times New Roman" w:eastAsia="Times New Roman" w:hAnsi="Times New Roman"/>
          <w:sz w:val="18"/>
          <w:szCs w:val="18"/>
          <w:color w:val="auto"/>
        </w:rPr>
      </w:pPr>
    </w:p>
    <w:p>
      <w:pPr>
        <w:ind w:left="660" w:right="640" w:hanging="328"/>
        <w:spacing w:after="0" w:line="284" w:lineRule="auto"/>
        <w:tabs>
          <w:tab w:leader="none" w:pos="65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Bonus Severance</w:t>
      </w:r>
      <w:r>
        <w:rPr>
          <w:rFonts w:ascii="Times New Roman" w:cs="Times New Roman" w:eastAsia="Times New Roman" w:hAnsi="Times New Roman"/>
          <w:sz w:val="18"/>
          <w:szCs w:val="18"/>
          <w:color w:val="auto"/>
        </w:rPr>
        <w:t>: A cash amount equal to the NEO’s annual target bonus in effect immediately prior to the change in control, or if higher,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immediately prior to the date of termination (disregarding any reduction giving rise to a claim for good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220"/>
          </w:cols>
          <w:pgMar w:left="320" w:top="124" w:right="359" w:bottom="1440" w:gutter="0" w:footer="0" w:header="0"/>
        </w:sectPr>
      </w:pPr>
    </w:p>
    <w:bookmarkStart w:id="211" w:name="page212"/>
    <w:bookmarkEnd w:id="211"/>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 w:right="20" w:hanging="328"/>
        <w:spacing w:after="0" w:line="267" w:lineRule="auto"/>
        <w:tabs>
          <w:tab w:leader="none" w:pos="65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COBRA Severance</w:t>
      </w:r>
      <w:r>
        <w:rPr>
          <w:rFonts w:ascii="Times New Roman" w:cs="Times New Roman" w:eastAsia="Times New Roman" w:hAnsi="Times New Roman"/>
          <w:sz w:val="18"/>
          <w:szCs w:val="18"/>
          <w:color w:val="auto"/>
        </w:rPr>
        <w:t>: A cash amount equal to the cost of 12 months’ of continued coverage under the Company’s healthcare benefit plans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Omnibus Budget Reconciliation Act of 1985, as amended (“COBRA”); provided that the NEO is not obligated to use this payment for continuation coverage under COBRA;</w:t>
      </w:r>
    </w:p>
    <w:p>
      <w:pPr>
        <w:spacing w:after="0" w:line="119" w:lineRule="exact"/>
        <w:rPr>
          <w:rFonts w:ascii="Times New Roman" w:cs="Times New Roman" w:eastAsia="Times New Roman" w:hAnsi="Times New Roman"/>
          <w:sz w:val="18"/>
          <w:szCs w:val="18"/>
          <w:color w:val="auto"/>
        </w:rPr>
      </w:pPr>
    </w:p>
    <w:p>
      <w:pPr>
        <w:ind w:left="660" w:right="60" w:hanging="328"/>
        <w:spacing w:after="0" w:line="284" w:lineRule="auto"/>
        <w:tabs>
          <w:tab w:leader="none" w:pos="65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Equity Award Acceleration</w:t>
      </w:r>
      <w:r>
        <w:rPr>
          <w:rFonts w:ascii="Times New Roman" w:cs="Times New Roman" w:eastAsia="Times New Roman" w:hAnsi="Times New Roman"/>
          <w:sz w:val="18"/>
          <w:szCs w:val="18"/>
          <w:color w:val="auto"/>
        </w:rPr>
        <w:t>: All equity awards subject to service-based equity awards will accelerate vesting in full, otherwise expressly 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in the applicable equity award agreements; and</w:t>
      </w:r>
    </w:p>
    <w:p>
      <w:pPr>
        <w:spacing w:after="0" w:line="104"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5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Option Exercise Period</w:t>
      </w:r>
      <w:r>
        <w:rPr>
          <w:rFonts w:ascii="Times New Roman" w:cs="Times New Roman" w:eastAsia="Times New Roman" w:hAnsi="Times New Roman"/>
          <w:sz w:val="18"/>
          <w:szCs w:val="18"/>
          <w:color w:val="auto"/>
        </w:rPr>
        <w:t>: The post-termination exercise period of non-qualified stock options will continue through the earlier of 18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the date of termination or the post-termination exercise period in the applicable award agreement or other written agreement (subject to the term of the option), and NEOs will receive a written election form pursuant to which NEOs may elect to apply some post-termination exercise period extension to incentive stock options.</w:t>
      </w:r>
    </w:p>
    <w:p>
      <w:pPr>
        <w:spacing w:after="0" w:line="128" w:lineRule="exact"/>
        <w:rPr>
          <w:sz w:val="20"/>
          <w:szCs w:val="20"/>
          <w:color w:val="auto"/>
        </w:rPr>
      </w:pPr>
    </w:p>
    <w:p>
      <w:pPr>
        <w:jc w:val="both"/>
        <w:ind w:firstLine="324"/>
        <w:spacing w:after="0" w:line="289" w:lineRule="auto"/>
        <w:rPr>
          <w:sz w:val="20"/>
          <w:szCs w:val="20"/>
          <w:color w:val="auto"/>
        </w:rPr>
      </w:pPr>
      <w:r>
        <w:rPr>
          <w:rFonts w:ascii="Times New Roman" w:cs="Times New Roman" w:eastAsia="Times New Roman" w:hAnsi="Times New Roman"/>
          <w:sz w:val="17"/>
          <w:szCs w:val="17"/>
          <w:color w:val="auto"/>
        </w:rPr>
        <w:t>Unless otherwise provided for in an applicable equity award agreement, with respect to outstanding equity awards scheduled to vest upon achievement of performance goals which have not yet been certified, performance shall be deemed earned based on the higher of target and actual performance prior to the date of the change in control and such awards will become subject to the vesting acceleration described above upon a qualifying termination.</w:t>
      </w:r>
    </w:p>
    <w:p>
      <w:pPr>
        <w:spacing w:after="0" w:line="104"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Additionally, if a NEO’s employment is terminated within 3 months prior to a change in control and it is reasonably demonstrated that such termination of employment was at the request of a third party to effect a change in control, or was otherwise in connection with or anticipation of a change in control (an “Anticipatory Termination”), a NEO will be eligible to receive the salary severance, bonus severance and COBRA severance described above, reduced by amounts paid to such NEO under our Officer Severance Plan.</w:t>
      </w:r>
    </w:p>
    <w:p>
      <w:pPr>
        <w:spacing w:after="0" w:line="85" w:lineRule="exact"/>
        <w:rPr>
          <w:sz w:val="20"/>
          <w:szCs w:val="20"/>
          <w:color w:val="auto"/>
        </w:rPr>
      </w:pPr>
    </w:p>
    <w:p>
      <w:pPr>
        <w:ind w:firstLine="324"/>
        <w:spacing w:after="0" w:line="245" w:lineRule="exact"/>
        <w:rPr>
          <w:sz w:val="20"/>
          <w:szCs w:val="20"/>
          <w:color w:val="auto"/>
        </w:rPr>
      </w:pPr>
      <w:r>
        <w:rPr>
          <w:rFonts w:ascii="Times New Roman" w:cs="Times New Roman" w:eastAsia="Times New Roman" w:hAnsi="Times New Roman"/>
          <w:sz w:val="18"/>
          <w:szCs w:val="18"/>
          <w:color w:val="auto"/>
        </w:rPr>
        <w:t>Severance benefits under our Change in Control Severance Plan (but excluding accrued benefits) are subject to a NEO’s execution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revocation of a release of claims in favor of us and our affiliates within 45 days following the date of termination (or such longer period specified in the release).</w:t>
      </w:r>
    </w:p>
    <w:p>
      <w:pPr>
        <w:spacing w:after="0" w:line="145"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Severance benefits under our Change in Control Severance Plan will be subject to reduction to the extent duplicative of amounts paid under other any benefit plan, policy, agreement, or arrangements, including our Officer Severance Plan.</w:t>
      </w:r>
    </w:p>
    <w:p>
      <w:pPr>
        <w:spacing w:after="0" w:line="108"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Additionally, our Change in Control Severance Plan provides that if any payments made to an NEO under such plan would subject the NEO to the excise tax under Section 4999 of the Code, such payments will be reduced if and to the extent such reduction would provide an NEO with the best after-tax result, as determined by a nationally recognized accounting firm.</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Officer Severance Plan</w:t>
      </w:r>
    </w:p>
    <w:p>
      <w:pPr>
        <w:spacing w:after="0" w:line="173"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Under the terms of our Officer Severance Plan, each of our NEOs will become eligible to receive the following severance benefits in the event of such NEO’s termination of employment either (i) by us other than for cause (as defined in such plan), death or disability, or (ii) by such NEO’s resignation for good reason (as defined in such plan), in either case, outside the one-year period beginning on the occurrence of a change in control (as defined in such plan):</w:t>
      </w:r>
    </w:p>
    <w:p>
      <w:pPr>
        <w:spacing w:after="0" w:line="124" w:lineRule="exact"/>
        <w:rPr>
          <w:sz w:val="20"/>
          <w:szCs w:val="20"/>
          <w:color w:val="auto"/>
        </w:rPr>
      </w:pPr>
    </w:p>
    <w:p>
      <w:pPr>
        <w:ind w:left="660" w:right="100" w:hanging="328"/>
        <w:spacing w:after="0" w:line="267" w:lineRule="auto"/>
        <w:tabs>
          <w:tab w:leader="none" w:pos="65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Accrued Benefits</w:t>
      </w:r>
      <w:r>
        <w:rPr>
          <w:rFonts w:ascii="Times New Roman" w:cs="Times New Roman" w:eastAsia="Times New Roman" w:hAnsi="Times New Roman"/>
          <w:sz w:val="18"/>
          <w:szCs w:val="18"/>
          <w:color w:val="auto"/>
        </w:rPr>
        <w:t>: The sum of (i) the NEO’s annual base salary through the date of termination, (ii) any annual incentive payment earned for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period that was completed prior to the date of termination, and (iii) any accrued and unused vacation pay or other paid time off, and any business expenses incurred but unreimbursed as of the date of termination;</w:t>
      </w:r>
    </w:p>
    <w:p>
      <w:pPr>
        <w:spacing w:after="0" w:line="119" w:lineRule="exact"/>
        <w:rPr>
          <w:rFonts w:ascii="Times New Roman" w:cs="Times New Roman" w:eastAsia="Times New Roman" w:hAnsi="Times New Roman"/>
          <w:sz w:val="18"/>
          <w:szCs w:val="18"/>
          <w:color w:val="auto"/>
        </w:rPr>
      </w:pPr>
    </w:p>
    <w:p>
      <w:pPr>
        <w:ind w:left="660" w:right="240" w:hanging="328"/>
        <w:spacing w:after="0" w:line="284" w:lineRule="auto"/>
        <w:tabs>
          <w:tab w:leader="none" w:pos="65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Salary Severance</w:t>
      </w:r>
      <w:r>
        <w:rPr>
          <w:rFonts w:ascii="Times New Roman" w:cs="Times New Roman" w:eastAsia="Times New Roman" w:hAnsi="Times New Roman"/>
          <w:sz w:val="18"/>
          <w:szCs w:val="18"/>
          <w:color w:val="auto"/>
        </w:rPr>
        <w:t>: A cash amount equal to 50% of the NEO’s annual base salary immediately prior to the date of termination (disregarding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reduction giving rise to a claim for good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180"/>
          </w:cols>
          <w:pgMar w:left="320" w:top="124" w:right="399" w:bottom="1440" w:gutter="0" w:footer="0" w:header="0"/>
        </w:sectPr>
      </w:pPr>
    </w:p>
    <w:bookmarkStart w:id="212" w:name="page213"/>
    <w:bookmarkEnd w:id="212"/>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 w:right="440" w:hanging="328"/>
        <w:spacing w:after="0" w:line="284" w:lineRule="auto"/>
        <w:tabs>
          <w:tab w:leader="none" w:pos="65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COBRA Severance</w:t>
      </w:r>
      <w:r>
        <w:rPr>
          <w:rFonts w:ascii="Times New Roman" w:cs="Times New Roman" w:eastAsia="Times New Roman" w:hAnsi="Times New Roman"/>
          <w:sz w:val="18"/>
          <w:szCs w:val="18"/>
          <w:color w:val="auto"/>
        </w:rPr>
        <w:t>: A cash amount equal to the cost of 6 months’ of continued coverage under the Company’s healthcare benefit plans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COBRA; provided that the NEO is not obligated to use this payment for continuation coverage under COBRA.</w:t>
      </w:r>
    </w:p>
    <w:p>
      <w:pPr>
        <w:spacing w:after="0" w:line="106"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A qualifying termination shall not include a termination of employment due to a sale of assets (including the sale of an affiliated entity), if as of the consummation of such transaction, a NEO either (a) remains an employee of the affiliated entity being sold or disposed of immediately following such transaction, or (b) is employed by the acquirer of the assets being sold, in each case, on terms and conditions that are substantially comparable in the aggregate, including with respect to compensation, duties, and work location.</w:t>
      </w:r>
    </w:p>
    <w:p>
      <w:pPr>
        <w:spacing w:after="0" w:line="85" w:lineRule="exact"/>
        <w:rPr>
          <w:sz w:val="20"/>
          <w:szCs w:val="20"/>
          <w:color w:val="auto"/>
        </w:rPr>
      </w:pPr>
    </w:p>
    <w:p>
      <w:pPr>
        <w:ind w:right="20" w:firstLine="324"/>
        <w:spacing w:after="0" w:line="245" w:lineRule="exact"/>
        <w:rPr>
          <w:sz w:val="20"/>
          <w:szCs w:val="20"/>
          <w:color w:val="auto"/>
        </w:rPr>
      </w:pPr>
      <w:r>
        <w:rPr>
          <w:rFonts w:ascii="Times New Roman" w:cs="Times New Roman" w:eastAsia="Times New Roman" w:hAnsi="Times New Roman"/>
          <w:sz w:val="18"/>
          <w:szCs w:val="18"/>
          <w:color w:val="auto"/>
        </w:rPr>
        <w:t>Severance benefits under our Officer Severance Plan (but excluding accrued benefits) are subject to a NEO’s execution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revocation of a release of claims in favor of us and our affiliates within 45 days following the date of termination (or such longer period specified in the release).</w:t>
      </w:r>
    </w:p>
    <w:p>
      <w:pPr>
        <w:spacing w:after="0" w:line="145"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Severance benefits under our Officer Severance Plan will be subject to reduction to the extent duplicative of amounts paid under other any benefit plan, policy, agreement or arrangements (other than in the case of an Anticipatory Termination).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2024 Year-End</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information regarding outstanding equity awards held by our NEOs as of December 31, 2024:</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gridSpan w:val="2"/>
          </w:tcPr>
          <w:p>
            <w:pPr>
              <w:jc w:val="right"/>
              <w:ind w:right="153"/>
              <w:spacing w:after="0"/>
              <w:rPr>
                <w:sz w:val="20"/>
                <w:szCs w:val="20"/>
                <w:color w:val="auto"/>
              </w:rPr>
            </w:pPr>
            <w:r>
              <w:rPr>
                <w:rFonts w:ascii="Times New Roman" w:cs="Times New Roman" w:eastAsia="Times New Roman" w:hAnsi="Times New Roman"/>
                <w:sz w:val="11"/>
                <w:szCs w:val="11"/>
                <w:b w:val="1"/>
                <w:bCs w:val="1"/>
                <w:color w:val="auto"/>
              </w:rPr>
              <w:t>Option Awards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60" w:type="dxa"/>
            <w:vAlign w:val="bottom"/>
            <w:gridSpan w:val="4"/>
          </w:tcPr>
          <w:p>
            <w:pPr>
              <w:jc w:val="right"/>
              <w:ind w:right="891"/>
              <w:spacing w:after="0"/>
              <w:rPr>
                <w:sz w:val="20"/>
                <w:szCs w:val="20"/>
                <w:color w:val="auto"/>
              </w:rPr>
            </w:pPr>
            <w:r>
              <w:rPr>
                <w:rFonts w:ascii="Times New Roman" w:cs="Times New Roman" w:eastAsia="Times New Roman" w:hAnsi="Times New Roman"/>
                <w:sz w:val="11"/>
                <w:szCs w:val="11"/>
                <w:b w:val="1"/>
                <w:bCs w:val="1"/>
                <w:color w:val="auto"/>
              </w:rPr>
              <w:t>Stock Awards</w:t>
            </w:r>
          </w:p>
        </w:tc>
        <w:tc>
          <w:tcPr>
            <w:tcW w:w="0" w:type="dxa"/>
            <w:vAlign w:val="bottom"/>
          </w:tcPr>
          <w:p>
            <w:pPr>
              <w:spacing w:after="0"/>
              <w:rPr>
                <w:sz w:val="1"/>
                <w:szCs w:val="1"/>
                <w:color w:val="auto"/>
              </w:rPr>
            </w:pPr>
          </w:p>
        </w:tc>
      </w:tr>
      <w:tr>
        <w:trPr>
          <w:trHeight w:val="22"/>
        </w:trPr>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Equity Incentive</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6"/>
              </w:rPr>
              <w:t>Plan Awards:</w:t>
            </w: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color w:val="auto"/>
                <w:w w:val="97"/>
              </w:rPr>
              <w:t>Number of Securities</w:t>
            </w:r>
          </w:p>
        </w:tc>
        <w:tc>
          <w:tcPr>
            <w:tcW w:w="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rPr>
              <w:t>Securities</w:t>
            </w: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Market Value of</w:t>
            </w:r>
          </w:p>
        </w:tc>
        <w:tc>
          <w:tcPr>
            <w:tcW w:w="0" w:type="dxa"/>
            <w:vAlign w:val="bottom"/>
          </w:tcPr>
          <w:p>
            <w:pPr>
              <w:spacing w:after="0"/>
              <w:rPr>
                <w:sz w:val="1"/>
                <w:szCs w:val="1"/>
                <w:color w:val="auto"/>
              </w:rPr>
            </w:pPr>
          </w:p>
        </w:tc>
      </w:tr>
      <w:tr>
        <w:trPr>
          <w:trHeight w:val="108"/>
        </w:trPr>
        <w:tc>
          <w:tcPr>
            <w:tcW w:w="1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2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Number of Securities</w:t>
            </w:r>
          </w:p>
        </w:tc>
        <w:tc>
          <w:tcPr>
            <w:tcW w:w="100" w:type="dxa"/>
            <w:vAlign w:val="bottom"/>
          </w:tcPr>
          <w:p>
            <w:pPr>
              <w:spacing w:after="0"/>
              <w:rPr>
                <w:sz w:val="9"/>
                <w:szCs w:val="9"/>
                <w:color w:val="auto"/>
              </w:rPr>
            </w:pPr>
          </w:p>
        </w:tc>
        <w:tc>
          <w:tcPr>
            <w:tcW w:w="92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7"/>
              </w:rPr>
              <w:t>Underlying</w:t>
            </w: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Option</w:t>
            </w: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15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6"/>
              </w:rPr>
              <w:t>Number of Shares or Units of</w:t>
            </w: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color w:val="auto"/>
                <w:w w:val="99"/>
              </w:rPr>
              <w:t>Underlying</w:t>
            </w:r>
          </w:p>
        </w:tc>
        <w:tc>
          <w:tcPr>
            <w:tcW w:w="12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7"/>
              </w:rPr>
              <w:t>Unexercised</w:t>
            </w: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1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Option Expiration</w:t>
            </w:r>
          </w:p>
        </w:tc>
        <w:tc>
          <w:tcPr>
            <w:tcW w:w="1540" w:type="dxa"/>
            <w:vAlign w:val="bottom"/>
            <w:gridSpan w:val="3"/>
            <w:vMerge w:val="continue"/>
          </w:tcPr>
          <w:p>
            <w:pPr>
              <w:spacing w:after="0"/>
              <w:rPr>
                <w:sz w:val="9"/>
                <w:szCs w:val="9"/>
                <w:color w:val="auto"/>
              </w:rPr>
            </w:pPr>
          </w:p>
        </w:tc>
        <w:tc>
          <w:tcPr>
            <w:tcW w:w="102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6"/>
              </w:rPr>
              <w:t>Shares or Units of</w:t>
            </w:r>
          </w:p>
        </w:tc>
        <w:tc>
          <w:tcPr>
            <w:tcW w:w="0" w:type="dxa"/>
            <w:vAlign w:val="bottom"/>
          </w:tcPr>
          <w:p>
            <w:pPr>
              <w:spacing w:after="0"/>
              <w:rPr>
                <w:sz w:val="1"/>
                <w:szCs w:val="1"/>
                <w:color w:val="auto"/>
              </w:rPr>
            </w:pPr>
          </w:p>
        </w:tc>
      </w:tr>
      <w:tr>
        <w:trPr>
          <w:trHeight w:val="108"/>
        </w:trPr>
        <w:tc>
          <w:tcPr>
            <w:tcW w:w="164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Name</w:t>
            </w:r>
          </w:p>
        </w:tc>
        <w:tc>
          <w:tcPr>
            <w:tcW w:w="100" w:type="dxa"/>
            <w:vAlign w:val="bottom"/>
            <w:vMerge w:val="restart"/>
          </w:tcPr>
          <w:p>
            <w:pPr>
              <w:spacing w:after="0"/>
              <w:rPr>
                <w:sz w:val="9"/>
                <w:szCs w:val="9"/>
                <w:color w:val="auto"/>
              </w:rPr>
            </w:pPr>
          </w:p>
        </w:tc>
        <w:tc>
          <w:tcPr>
            <w:tcW w:w="1120" w:type="dxa"/>
            <w:vAlign w:val="bottom"/>
            <w:vMerge w:val="restart"/>
          </w:tcPr>
          <w:p>
            <w:pPr>
              <w:ind w:left="300"/>
              <w:spacing w:after="0"/>
              <w:rPr>
                <w:sz w:val="20"/>
                <w:szCs w:val="20"/>
                <w:color w:val="auto"/>
              </w:rPr>
            </w:pPr>
            <w:r>
              <w:rPr>
                <w:rFonts w:ascii="Times New Roman" w:cs="Times New Roman" w:eastAsia="Times New Roman" w:hAnsi="Times New Roman"/>
                <w:sz w:val="11"/>
                <w:szCs w:val="11"/>
                <w:b w:val="1"/>
                <w:bCs w:val="1"/>
                <w:color w:val="auto"/>
              </w:rPr>
              <w:t>Grant Date</w:t>
            </w:r>
          </w:p>
        </w:tc>
        <w:tc>
          <w:tcPr>
            <w:tcW w:w="100" w:type="dxa"/>
            <w:vAlign w:val="bottom"/>
            <w:vMerge w:val="restart"/>
          </w:tcPr>
          <w:p>
            <w:pPr>
              <w:spacing w:after="0"/>
              <w:rPr>
                <w:sz w:val="9"/>
                <w:szCs w:val="9"/>
                <w:color w:val="auto"/>
              </w:rPr>
            </w:pPr>
          </w:p>
        </w:tc>
        <w:tc>
          <w:tcPr>
            <w:tcW w:w="110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color w:val="auto"/>
                <w:w w:val="99"/>
              </w:rPr>
              <w:t>Unexercised Options</w:t>
            </w:r>
          </w:p>
        </w:tc>
        <w:tc>
          <w:tcPr>
            <w:tcW w:w="1280" w:type="dxa"/>
            <w:vAlign w:val="bottom"/>
            <w:gridSpan w:val="2"/>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8"/>
              </w:rPr>
              <w:t>Underlying Unexercised</w:t>
            </w:r>
          </w:p>
        </w:tc>
        <w:tc>
          <w:tcPr>
            <w:tcW w:w="100" w:type="dxa"/>
            <w:vAlign w:val="bottom"/>
          </w:tcPr>
          <w:p>
            <w:pPr>
              <w:spacing w:after="0"/>
              <w:rPr>
                <w:sz w:val="9"/>
                <w:szCs w:val="9"/>
                <w:color w:val="auto"/>
              </w:rPr>
            </w:pPr>
          </w:p>
        </w:tc>
        <w:tc>
          <w:tcPr>
            <w:tcW w:w="92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9"/>
              </w:rPr>
              <w:t>Unearned Options</w:t>
            </w: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rPr>
              <w:t>Exercise</w:t>
            </w:r>
          </w:p>
        </w:tc>
        <w:tc>
          <w:tcPr>
            <w:tcW w:w="1100" w:type="dxa"/>
            <w:vAlign w:val="bottom"/>
            <w:gridSpan w:val="2"/>
            <w:vMerge w:val="continue"/>
          </w:tcPr>
          <w:p>
            <w:pPr>
              <w:spacing w:after="0"/>
              <w:rPr>
                <w:sz w:val="9"/>
                <w:szCs w:val="9"/>
                <w:color w:val="auto"/>
              </w:rPr>
            </w:pPr>
          </w:p>
        </w:tc>
        <w:tc>
          <w:tcPr>
            <w:tcW w:w="1540" w:type="dxa"/>
            <w:vAlign w:val="bottom"/>
            <w:gridSpan w:val="3"/>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w w:val="97"/>
              </w:rPr>
              <w:t>Stock That Have Not Vested</w:t>
            </w:r>
          </w:p>
        </w:tc>
        <w:tc>
          <w:tcPr>
            <w:tcW w:w="102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9"/>
              </w:rPr>
              <w:t>Stock That Have Not</w:t>
            </w:r>
          </w:p>
        </w:tc>
        <w:tc>
          <w:tcPr>
            <w:tcW w:w="0" w:type="dxa"/>
            <w:vAlign w:val="bottom"/>
          </w:tcPr>
          <w:p>
            <w:pPr>
              <w:spacing w:after="0"/>
              <w:rPr>
                <w:sz w:val="1"/>
                <w:szCs w:val="1"/>
                <w:color w:val="auto"/>
              </w:rPr>
            </w:pPr>
          </w:p>
        </w:tc>
      </w:tr>
      <w:tr>
        <w:trPr>
          <w:trHeight w:val="162"/>
        </w:trPr>
        <w:tc>
          <w:tcPr>
            <w:tcW w:w="16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 Exercisable</w:t>
            </w:r>
          </w:p>
        </w:tc>
        <w:tc>
          <w:tcPr>
            <w:tcW w:w="100" w:type="dxa"/>
            <w:vAlign w:val="bottom"/>
          </w:tcPr>
          <w:p>
            <w:pPr>
              <w:spacing w:after="0"/>
              <w:rPr>
                <w:sz w:val="14"/>
                <w:szCs w:val="14"/>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Options (#) Unexercisable</w:t>
            </w:r>
          </w:p>
        </w:tc>
        <w:tc>
          <w:tcPr>
            <w:tcW w:w="10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Price ($)</w:t>
            </w:r>
          </w:p>
        </w:tc>
        <w:tc>
          <w:tcPr>
            <w:tcW w:w="10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80" w:type="dxa"/>
            <w:vAlign w:val="bottom"/>
          </w:tcPr>
          <w:p>
            <w:pPr>
              <w:spacing w:after="0"/>
              <w:rPr>
                <w:sz w:val="14"/>
                <w:szCs w:val="14"/>
                <w:color w:val="auto"/>
              </w:rPr>
            </w:pPr>
          </w:p>
        </w:tc>
        <w:tc>
          <w:tcPr>
            <w:tcW w:w="1080" w:type="dxa"/>
            <w:vAlign w:val="bottom"/>
            <w:tcBorders>
              <w:bottom w:val="single" w:sz="8" w:color="auto"/>
            </w:tcBorders>
          </w:tcPr>
          <w:p>
            <w:pPr>
              <w:jc w:val="center"/>
              <w:ind w:left="311"/>
              <w:spacing w:after="0"/>
              <w:rPr>
                <w:sz w:val="20"/>
                <w:szCs w:val="20"/>
                <w:color w:val="auto"/>
              </w:rPr>
            </w:pPr>
            <w:r>
              <w:rPr>
                <w:rFonts w:ascii="Times New Roman" w:cs="Times New Roman" w:eastAsia="Times New Roman" w:hAnsi="Times New Roman"/>
                <w:sz w:val="11"/>
                <w:szCs w:val="11"/>
                <w:b w:val="1"/>
                <w:bCs w:val="1"/>
                <w:color w:val="auto"/>
                <w:w w:val="82"/>
              </w:rPr>
              <w:t xml:space="preserve">(#) </w:t>
            </w:r>
            <w:r>
              <w:rPr>
                <w:rFonts w:ascii="Times New Roman" w:cs="Times New Roman" w:eastAsia="Times New Roman" w:hAnsi="Times New Roman"/>
                <w:sz w:val="14"/>
                <w:szCs w:val="14"/>
                <w:b w:val="1"/>
                <w:bCs w:val="1"/>
                <w:color w:val="auto"/>
                <w:w w:val="82"/>
                <w:vertAlign w:val="superscript"/>
              </w:rPr>
              <w:t>(1)</w:t>
            </w:r>
          </w:p>
        </w:tc>
        <w:tc>
          <w:tcPr>
            <w:tcW w:w="3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Vested ($)</w:t>
            </w:r>
          </w:p>
        </w:tc>
        <w:tc>
          <w:tcPr>
            <w:tcW w:w="0" w:type="dxa"/>
            <w:vAlign w:val="bottom"/>
          </w:tcPr>
          <w:p>
            <w:pPr>
              <w:spacing w:after="0"/>
              <w:rPr>
                <w:sz w:val="1"/>
                <w:szCs w:val="1"/>
                <w:color w:val="auto"/>
              </w:rPr>
            </w:pPr>
          </w:p>
        </w:tc>
      </w:tr>
      <w:tr>
        <w:trPr>
          <w:trHeight w:val="271"/>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Christopher Britt</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1/28/2020</w:t>
            </w:r>
          </w:p>
        </w:tc>
        <w:tc>
          <w:tcPr>
            <w:tcW w:w="1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2,628,665</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vMerge w:val="restart"/>
          </w:tcPr>
          <w:p>
            <w:pPr>
              <w:ind w:left="40"/>
              <w:spacing w:after="0"/>
              <w:rPr>
                <w:sz w:val="20"/>
                <w:szCs w:val="20"/>
                <w:color w:val="auto"/>
              </w:rPr>
            </w:pPr>
            <w:r>
              <w:rPr>
                <w:rFonts w:ascii="Times New Roman" w:cs="Times New Roman" w:eastAsia="Times New Roman" w:hAnsi="Times New Roman"/>
                <w:sz w:val="9"/>
                <w:szCs w:val="9"/>
                <w:color w:val="auto"/>
              </w:rPr>
              <w:t>(2)</w:t>
            </w: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1/27/2030</w:t>
            </w:r>
          </w:p>
        </w:tc>
        <w:tc>
          <w:tcPr>
            <w:tcW w:w="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3/29/2023</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393,750</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506,250</w:t>
            </w:r>
          </w:p>
        </w:tc>
        <w:tc>
          <w:tcPr>
            <w:tcW w:w="3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13.89</w:t>
            </w:r>
          </w:p>
        </w:tc>
        <w:tc>
          <w:tcPr>
            <w:tcW w:w="1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3/28/2033</w:t>
            </w: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3/30/2024</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145,833</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554,167</w:t>
            </w:r>
          </w:p>
        </w:tc>
        <w:tc>
          <w:tcPr>
            <w:tcW w:w="380" w:type="dxa"/>
            <w:vAlign w:val="bottom"/>
          </w:tcPr>
          <w:p>
            <w:pPr>
              <w:ind w:left="40"/>
              <w:spacing w:after="0"/>
              <w:rPr>
                <w:sz w:val="20"/>
                <w:szCs w:val="20"/>
                <w:color w:val="auto"/>
              </w:rPr>
            </w:pPr>
            <w:r>
              <w:rPr>
                <w:rFonts w:ascii="Times New Roman" w:cs="Times New Roman" w:eastAsia="Times New Roman" w:hAnsi="Times New Roman"/>
                <w:sz w:val="9"/>
                <w:szCs w:val="9"/>
                <w:color w:val="auto"/>
              </w:rPr>
              <w:t>(3)</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vMerge w:val="restart"/>
          </w:tcPr>
          <w:p>
            <w:pPr>
              <w:jc w:val="right"/>
              <w:ind w:right="153"/>
              <w:spacing w:after="0"/>
              <w:rPr>
                <w:sz w:val="20"/>
                <w:szCs w:val="20"/>
                <w:color w:val="auto"/>
              </w:rPr>
            </w:pPr>
            <w:r>
              <w:rPr>
                <w:rFonts w:ascii="Times New Roman" w:cs="Times New Roman" w:eastAsia="Times New Roman" w:hAnsi="Times New Roman"/>
                <w:sz w:val="9"/>
                <w:szCs w:val="9"/>
                <w:color w:val="auto"/>
              </w:rPr>
              <w:t>(4)</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17.35</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3/29/2034</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3/30/2024</w:t>
            </w:r>
          </w:p>
        </w:tc>
        <w:tc>
          <w:tcPr>
            <w:tcW w:w="10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600,000</w:t>
            </w:r>
          </w:p>
        </w:tc>
        <w:tc>
          <w:tcPr>
            <w:tcW w:w="3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17.35</w:t>
            </w:r>
          </w:p>
        </w:tc>
        <w:tc>
          <w:tcPr>
            <w:tcW w:w="1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3/29/2034</w:t>
            </w: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84"/>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Ryan King</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1/28/2020</w:t>
            </w: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2,367,925</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ind w:left="40"/>
              <w:spacing w:after="0"/>
              <w:rPr>
                <w:sz w:val="20"/>
                <w:szCs w:val="20"/>
                <w:color w:val="auto"/>
              </w:rPr>
            </w:pPr>
            <w:r>
              <w:rPr>
                <w:rFonts w:ascii="Times New Roman" w:cs="Times New Roman" w:eastAsia="Times New Roman" w:hAnsi="Times New Roman"/>
                <w:sz w:val="9"/>
                <w:szCs w:val="9"/>
                <w:color w:val="auto"/>
              </w:rPr>
              <w:t>(2)</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1/27/2030</w:t>
            </w:r>
          </w:p>
        </w:tc>
        <w:tc>
          <w:tcPr>
            <w:tcW w:w="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7"/>
        </w:trPr>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3/29/2023</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379,352</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506,250</w:t>
            </w:r>
          </w:p>
        </w:tc>
        <w:tc>
          <w:tcPr>
            <w:tcW w:w="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13.89</w:t>
            </w:r>
          </w:p>
        </w:tc>
        <w:tc>
          <w:tcPr>
            <w:tcW w:w="1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3/28/2033</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3/30/2024</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145,833</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554,167</w:t>
            </w:r>
          </w:p>
        </w:tc>
        <w:tc>
          <w:tcPr>
            <w:tcW w:w="380" w:type="dxa"/>
            <w:vAlign w:val="bottom"/>
          </w:tcPr>
          <w:p>
            <w:pPr>
              <w:ind w:left="40"/>
              <w:spacing w:after="0"/>
              <w:rPr>
                <w:sz w:val="20"/>
                <w:szCs w:val="20"/>
                <w:color w:val="auto"/>
              </w:rPr>
            </w:pPr>
            <w:r>
              <w:rPr>
                <w:rFonts w:ascii="Times New Roman" w:cs="Times New Roman" w:eastAsia="Times New Roman" w:hAnsi="Times New Roman"/>
                <w:sz w:val="9"/>
                <w:szCs w:val="9"/>
                <w:color w:val="auto"/>
              </w:rPr>
              <w:t>(3)</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vMerge w:val="restart"/>
          </w:tcPr>
          <w:p>
            <w:pPr>
              <w:jc w:val="right"/>
              <w:ind w:right="153"/>
              <w:spacing w:after="0"/>
              <w:rPr>
                <w:sz w:val="20"/>
                <w:szCs w:val="20"/>
                <w:color w:val="auto"/>
              </w:rPr>
            </w:pPr>
            <w:r>
              <w:rPr>
                <w:rFonts w:ascii="Times New Roman" w:cs="Times New Roman" w:eastAsia="Times New Roman" w:hAnsi="Times New Roman"/>
                <w:sz w:val="9"/>
                <w:szCs w:val="9"/>
                <w:color w:val="auto"/>
              </w:rPr>
              <w:t>(4)</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17.35</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3/29/2034</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3/30/2024</w:t>
            </w:r>
          </w:p>
        </w:tc>
        <w:tc>
          <w:tcPr>
            <w:tcW w:w="10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600,000</w:t>
            </w:r>
          </w:p>
        </w:tc>
        <w:tc>
          <w:tcPr>
            <w:tcW w:w="3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17.35</w:t>
            </w:r>
          </w:p>
        </w:tc>
        <w:tc>
          <w:tcPr>
            <w:tcW w:w="1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3/29/2034</w:t>
            </w: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Matthew Newcomb</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11/6/2018</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103,417</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0.68</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11/5/2028</w:t>
            </w: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0"/>
        </w:trPr>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7/23/2020</w:t>
            </w: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325,000</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ind w:left="40"/>
              <w:spacing w:after="0"/>
              <w:rPr>
                <w:sz w:val="20"/>
                <w:szCs w:val="20"/>
                <w:color w:val="auto"/>
              </w:rPr>
            </w:pPr>
            <w:r>
              <w:rPr>
                <w:rFonts w:ascii="Times New Roman" w:cs="Times New Roman" w:eastAsia="Times New Roman" w:hAnsi="Times New Roman"/>
                <w:sz w:val="9"/>
                <w:szCs w:val="9"/>
                <w:color w:val="auto"/>
              </w:rPr>
              <w:t>(5)</w:t>
            </w: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7/22/2030</w:t>
            </w:r>
          </w:p>
        </w:tc>
        <w:tc>
          <w:tcPr>
            <w:tcW w:w="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2/7/2023</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171,875</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203,125</w:t>
            </w:r>
          </w:p>
        </w:tc>
        <w:tc>
          <w:tcPr>
            <w:tcW w:w="3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13.89</w:t>
            </w:r>
          </w:p>
        </w:tc>
        <w:tc>
          <w:tcPr>
            <w:tcW w:w="1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2/6/2033</w:t>
            </w: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ind w:left="40"/>
              <w:spacing w:after="0"/>
              <w:rPr>
                <w:sz w:val="20"/>
                <w:szCs w:val="20"/>
                <w:color w:val="auto"/>
              </w:rPr>
            </w:pPr>
            <w:r>
              <w:rPr>
                <w:rFonts w:ascii="Times New Roman" w:cs="Times New Roman" w:eastAsia="Times New Roman" w:hAnsi="Times New Roman"/>
                <w:sz w:val="9"/>
                <w:szCs w:val="9"/>
                <w:color w:val="auto"/>
              </w:rPr>
              <w:t>(6)</w:t>
            </w: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2/7/2023</w:t>
            </w:r>
          </w:p>
        </w:tc>
        <w:tc>
          <w:tcPr>
            <w:tcW w:w="10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ind w:left="40"/>
              <w:spacing w:after="0"/>
              <w:rPr>
                <w:sz w:val="20"/>
                <w:szCs w:val="20"/>
                <w:color w:val="auto"/>
              </w:rPr>
            </w:pPr>
            <w:r>
              <w:rPr>
                <w:rFonts w:ascii="Times New Roman" w:cs="Times New Roman" w:eastAsia="Times New Roman" w:hAnsi="Times New Roman"/>
                <w:sz w:val="9"/>
                <w:szCs w:val="9"/>
                <w:color w:val="auto"/>
              </w:rPr>
              <w:t>(3)</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187,500</w:t>
            </w:r>
          </w:p>
        </w:tc>
        <w:tc>
          <w:tcPr>
            <w:tcW w:w="3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3,056,550</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12/25/2023</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55,555</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211,112</w:t>
            </w:r>
          </w:p>
        </w:tc>
        <w:tc>
          <w:tcPr>
            <w:tcW w:w="3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15.70</w:t>
            </w:r>
          </w:p>
        </w:tc>
        <w:tc>
          <w:tcPr>
            <w:tcW w:w="1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12/24/2033</w:t>
            </w: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0"/>
        </w:trPr>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12/25/2023</w:t>
            </w:r>
          </w:p>
        </w:tc>
        <w:tc>
          <w:tcPr>
            <w:tcW w:w="100" w:type="dxa"/>
            <w:vAlign w:val="bottom"/>
          </w:tcPr>
          <w:p>
            <w:pPr>
              <w:spacing w:after="0"/>
              <w:rPr>
                <w:sz w:val="22"/>
                <w:szCs w:val="22"/>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ind w:left="40"/>
              <w:spacing w:after="0"/>
              <w:rPr>
                <w:sz w:val="20"/>
                <w:szCs w:val="20"/>
                <w:color w:val="auto"/>
              </w:rPr>
            </w:pPr>
            <w:r>
              <w:rPr>
                <w:rFonts w:ascii="Times New Roman" w:cs="Times New Roman" w:eastAsia="Times New Roman" w:hAnsi="Times New Roman"/>
                <w:sz w:val="9"/>
                <w:szCs w:val="9"/>
                <w:color w:val="auto"/>
              </w:rPr>
              <w:t>(8)</w:t>
            </w: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133,333</w:t>
            </w:r>
          </w:p>
        </w:tc>
        <w:tc>
          <w:tcPr>
            <w:tcW w:w="380" w:type="dxa"/>
            <w:vAlign w:val="bottom"/>
          </w:tcPr>
          <w:p>
            <w:pPr>
              <w:ind w:left="40"/>
              <w:spacing w:after="0"/>
              <w:rPr>
                <w:sz w:val="20"/>
                <w:szCs w:val="20"/>
                <w:color w:val="auto"/>
              </w:rPr>
            </w:pPr>
            <w:r>
              <w:rPr>
                <w:rFonts w:ascii="Times New Roman" w:cs="Times New Roman" w:eastAsia="Times New Roman" w:hAnsi="Times New Roman"/>
                <w:sz w:val="9"/>
                <w:szCs w:val="9"/>
                <w:color w:val="auto"/>
              </w:rPr>
              <w:t>(7)</w:t>
            </w:r>
          </w:p>
        </w:tc>
        <w:tc>
          <w:tcPr>
            <w:tcW w:w="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2,384,901</w:t>
            </w:r>
          </w:p>
        </w:tc>
        <w:tc>
          <w:tcPr>
            <w:tcW w:w="0" w:type="dxa"/>
            <w:vAlign w:val="bottom"/>
          </w:tcPr>
          <w:p>
            <w:pPr>
              <w:spacing w:after="0"/>
              <w:rPr>
                <w:sz w:val="1"/>
                <w:szCs w:val="1"/>
                <w:color w:val="auto"/>
              </w:rPr>
            </w:pPr>
          </w:p>
        </w:tc>
      </w:tr>
      <w:tr>
        <w:trPr>
          <w:trHeight w:val="188"/>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Adam Frankel</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9/1/2023</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123,333</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246,667</w:t>
            </w:r>
          </w:p>
        </w:tc>
        <w:tc>
          <w:tcPr>
            <w:tcW w:w="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16.56</w:t>
            </w:r>
          </w:p>
        </w:tc>
        <w:tc>
          <w:tcPr>
            <w:tcW w:w="1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8/31/2033</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ind w:left="40"/>
              <w:spacing w:after="0"/>
              <w:rPr>
                <w:sz w:val="20"/>
                <w:szCs w:val="20"/>
                <w:color w:val="auto"/>
              </w:rPr>
            </w:pPr>
            <w:r>
              <w:rPr>
                <w:rFonts w:ascii="Times New Roman" w:cs="Times New Roman" w:eastAsia="Times New Roman" w:hAnsi="Times New Roman"/>
                <w:sz w:val="9"/>
                <w:szCs w:val="9"/>
                <w:color w:val="auto"/>
              </w:rPr>
              <w:t>(9)</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9/1/2023</w:t>
            </w: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ind w:left="40"/>
              <w:spacing w:after="0"/>
              <w:rPr>
                <w:sz w:val="20"/>
                <w:szCs w:val="20"/>
                <w:color w:val="auto"/>
              </w:rPr>
            </w:pPr>
            <w:r>
              <w:rPr>
                <w:rFonts w:ascii="Times New Roman" w:cs="Times New Roman" w:eastAsia="Times New Roman" w:hAnsi="Times New Roman"/>
                <w:sz w:val="9"/>
                <w:szCs w:val="9"/>
                <w:color w:val="auto"/>
              </w:rPr>
              <w:t>(10)</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185,000</w:t>
            </w:r>
          </w:p>
        </w:tc>
        <w:tc>
          <w:tcPr>
            <w:tcW w:w="3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3,060,622</w:t>
            </w:r>
          </w:p>
        </w:tc>
        <w:tc>
          <w:tcPr>
            <w:tcW w:w="0" w:type="dxa"/>
            <w:vAlign w:val="bottom"/>
          </w:tcPr>
          <w:p>
            <w:pPr>
              <w:spacing w:after="0"/>
              <w:rPr>
                <w:sz w:val="1"/>
                <w:szCs w:val="1"/>
                <w:color w:val="auto"/>
              </w:rPr>
            </w:pPr>
          </w:p>
        </w:tc>
      </w:tr>
      <w:tr>
        <w:trPr>
          <w:trHeight w:val="188"/>
        </w:trPr>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12/4/2024</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2,083</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97,917</w:t>
            </w:r>
          </w:p>
        </w:tc>
        <w:tc>
          <w:tcPr>
            <w:tcW w:w="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23.51</w:t>
            </w:r>
          </w:p>
        </w:tc>
        <w:tc>
          <w:tcPr>
            <w:tcW w:w="1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12/3/2034</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0"/>
        </w:trPr>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12/4/2024</w:t>
            </w:r>
          </w:p>
        </w:tc>
        <w:tc>
          <w:tcPr>
            <w:tcW w:w="100" w:type="dxa"/>
            <w:vAlign w:val="bottom"/>
          </w:tcPr>
          <w:p>
            <w:pPr>
              <w:spacing w:after="0"/>
              <w:rPr>
                <w:sz w:val="22"/>
                <w:szCs w:val="22"/>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380" w:type="dxa"/>
            <w:vAlign w:val="bottom"/>
          </w:tcPr>
          <w:p>
            <w:pPr>
              <w:ind w:left="40"/>
              <w:spacing w:after="0"/>
              <w:rPr>
                <w:sz w:val="20"/>
                <w:szCs w:val="20"/>
                <w:color w:val="auto"/>
              </w:rPr>
            </w:pPr>
            <w:r>
              <w:rPr>
                <w:rFonts w:ascii="Times New Roman" w:cs="Times New Roman" w:eastAsia="Times New Roman" w:hAnsi="Times New Roman"/>
                <w:sz w:val="9"/>
                <w:szCs w:val="9"/>
                <w:color w:val="auto"/>
              </w:rPr>
              <w:t>(11)</w:t>
            </w:r>
          </w:p>
        </w:tc>
        <w:tc>
          <w:tcPr>
            <w:tcW w:w="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1,251,265</w:t>
            </w:r>
          </w:p>
        </w:tc>
        <w:tc>
          <w:tcPr>
            <w:tcW w:w="0" w:type="dxa"/>
            <w:vAlign w:val="bottom"/>
          </w:tcPr>
          <w:p>
            <w:pPr>
              <w:spacing w:after="0"/>
              <w:rPr>
                <w:sz w:val="1"/>
                <w:szCs w:val="1"/>
                <w:color w:val="auto"/>
              </w:rPr>
            </w:pPr>
          </w:p>
        </w:tc>
      </w:tr>
      <w:tr>
        <w:trPr>
          <w:trHeight w:val="286"/>
        </w:trPr>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 Troughton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7/23/2020</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7/22/2030</w:t>
            </w:r>
          </w:p>
        </w:tc>
        <w:tc>
          <w:tcPr>
            <w:tcW w:w="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2/7/2023</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106,944</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126,389</w:t>
            </w:r>
          </w:p>
        </w:tc>
        <w:tc>
          <w:tcPr>
            <w:tcW w:w="380" w:type="dxa"/>
            <w:vAlign w:val="bottom"/>
          </w:tcPr>
          <w:p>
            <w:pPr>
              <w:ind w:left="40"/>
              <w:spacing w:after="0"/>
              <w:rPr>
                <w:sz w:val="20"/>
                <w:szCs w:val="20"/>
                <w:color w:val="auto"/>
              </w:rPr>
            </w:pPr>
            <w:r>
              <w:rPr>
                <w:rFonts w:ascii="Times New Roman" w:cs="Times New Roman" w:eastAsia="Times New Roman" w:hAnsi="Times New Roman"/>
                <w:sz w:val="9"/>
                <w:szCs w:val="9"/>
                <w:color w:val="auto"/>
              </w:rPr>
              <w:t>(5)</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13.89</w:t>
            </w:r>
          </w:p>
        </w:tc>
        <w:tc>
          <w:tcPr>
            <w:tcW w:w="1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2/6/2033</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ind w:left="40"/>
              <w:spacing w:after="0"/>
              <w:rPr>
                <w:sz w:val="20"/>
                <w:szCs w:val="20"/>
                <w:color w:val="auto"/>
              </w:rPr>
            </w:pPr>
            <w:r>
              <w:rPr>
                <w:rFonts w:ascii="Times New Roman" w:cs="Times New Roman" w:eastAsia="Times New Roman" w:hAnsi="Times New Roman"/>
                <w:sz w:val="9"/>
                <w:szCs w:val="9"/>
                <w:color w:val="auto"/>
              </w:rPr>
              <w:t>(6)</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4"/>
        </w:trPr>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2/7/2023</w:t>
            </w:r>
          </w:p>
        </w:tc>
        <w:tc>
          <w:tcPr>
            <w:tcW w:w="1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ind w:left="40"/>
              <w:spacing w:after="0"/>
              <w:rPr>
                <w:sz w:val="20"/>
                <w:szCs w:val="20"/>
                <w:color w:val="auto"/>
              </w:rPr>
            </w:pPr>
            <w:r>
              <w:rPr>
                <w:rFonts w:ascii="Times New Roman" w:cs="Times New Roman" w:eastAsia="Times New Roman" w:hAnsi="Times New Roman"/>
                <w:sz w:val="9"/>
                <w:szCs w:val="9"/>
                <w:color w:val="auto"/>
              </w:rPr>
              <w:t>(12)</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116,667</w:t>
            </w:r>
          </w:p>
        </w:tc>
        <w:tc>
          <w:tcPr>
            <w:tcW w:w="3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1,901,859</w:t>
            </w:r>
          </w:p>
        </w:tc>
        <w:tc>
          <w:tcPr>
            <w:tcW w:w="0" w:type="dxa"/>
            <w:vAlign w:val="bottom"/>
          </w:tcPr>
          <w:p>
            <w:pPr>
              <w:spacing w:after="0"/>
              <w:rPr>
                <w:sz w:val="1"/>
                <w:szCs w:val="1"/>
                <w:color w:val="auto"/>
              </w:rPr>
            </w:pPr>
          </w:p>
        </w:tc>
      </w:tr>
      <w:tr>
        <w:trPr>
          <w:trHeight w:val="188"/>
        </w:trPr>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11/29/2023</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187,500</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412,500</w:t>
            </w:r>
          </w:p>
        </w:tc>
        <w:tc>
          <w:tcPr>
            <w:tcW w:w="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15.70</w:t>
            </w:r>
          </w:p>
        </w:tc>
        <w:tc>
          <w:tcPr>
            <w:tcW w:w="1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11/28/2033</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11/29/2023</w:t>
            </w: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9"/>
                <w:szCs w:val="9"/>
                <w:color w:val="auto"/>
              </w:rPr>
              <w:t>(13)</w:t>
            </w: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5,217,690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-3317240</wp:posOffset>
            </wp:positionV>
            <wp:extent cx="7132320" cy="1885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-2999740</wp:posOffset>
            </wp:positionV>
            <wp:extent cx="7132320" cy="1282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-2742565</wp:posOffset>
            </wp:positionV>
            <wp:extent cx="7132320" cy="1803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-2433955</wp:posOffset>
            </wp:positionV>
            <wp:extent cx="7132320" cy="1289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-1816735</wp:posOffset>
            </wp:positionV>
            <wp:extent cx="7132320" cy="1289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-1559560</wp:posOffset>
            </wp:positionV>
            <wp:extent cx="7132320" cy="1289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-1276985</wp:posOffset>
            </wp:positionV>
            <wp:extent cx="7132320" cy="1289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-1010920</wp:posOffset>
            </wp:positionV>
            <wp:extent cx="7132320" cy="1289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371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20" w:hanging="332"/>
        <w:spacing w:after="0" w:line="270" w:lineRule="auto"/>
        <w:tabs>
          <w:tab w:leader="none" w:pos="332" w:val="left"/>
        </w:tabs>
        <w:numPr>
          <w:ilvl w:val="0"/>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described above, these RSUs are subject to a service-based vesting condition and a liquidity-based vesting condition, each of which must be satisfied for the RSUs to vest. The liquidity-based vesting condition is generally satisfied upon the occurrence of a change in control event or the effective date of the registration statement of which this prospectus forms a part, in each case prior to the seven-year anniversary of the date of grant.</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1240"/>
          </w:cols>
          <w:pgMar w:left="320" w:top="124" w:right="339" w:bottom="1440" w:gutter="0" w:footer="0" w:header="0"/>
          <w:type w:val="continuous"/>
        </w:sectPr>
      </w:pPr>
    </w:p>
    <w:bookmarkStart w:id="213" w:name="page214"/>
    <w:bookmarkEnd w:id="213"/>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20" w:hanging="312"/>
        <w:spacing w:after="0"/>
        <w:tabs>
          <w:tab w:leader="none" w:pos="320"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1/48th of the shares subject to this option vest monthly following March 29, 2023, subject to the NEO remaining a service provider to us through the applicable vesting date.</w:t>
      </w:r>
    </w:p>
    <w:p>
      <w:pPr>
        <w:spacing w:after="0" w:line="2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1/48th of the shares subject to this option vest monthly following February 15, 2024, subject to the NEO remaining a service provider to us through the applicable vesting date.</w:t>
      </w:r>
    </w:p>
    <w:p>
      <w:pPr>
        <w:spacing w:after="0" w:line="14" w:lineRule="exact"/>
        <w:rPr>
          <w:rFonts w:ascii="Times New Roman" w:cs="Times New Roman" w:eastAsia="Times New Roman" w:hAnsi="Times New Roman"/>
          <w:sz w:val="14"/>
          <w:szCs w:val="14"/>
          <w:color w:val="auto"/>
        </w:rPr>
      </w:pPr>
    </w:p>
    <w:p>
      <w:pPr>
        <w:ind w:left="340" w:right="40" w:hanging="332"/>
        <w:spacing w:after="0" w:line="255" w:lineRule="auto"/>
        <w:tabs>
          <w:tab w:leader="none" w:pos="332"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subject to this option vest upon satisfaction of both a service-based vesting condition and a performance-based vesting condition before the award’s expiration date. The service-based vesting condition is satisfied as follows: 1/48th of the shares subject to this option vest monthly following February 15, 2024, subject to the NEO remaining a service provider to us through the applicable vesting date. The performance-based vesting condition is satisfied, subject to the NEO’s continued role as a service provider to us through the certification date, as follows: (i) 1/3 of the shares subject to this option, upon the attainment of both 30% annual revenue growth for 2024 (over 2023) and 1200 basis points of improvement in 2024 EBITDA margin (over 2023); (ii) 1/3 of the shares subject to this option, subject to the attainment of both 35% annual revenue growth for 2024 (over 2023) and 1400 basis points of improvement in 2024 EBITDA margin (over 2023); and (iii) 1/3 of the shares subject to this option, subject to the attainment of both 40% annual revenue growth for 2024 (over 2023) and 1600 basis points of improvement in 2024 EBITDA margin (over 2023). Revenue growth and EBITDA margin improvement are measured consistent with our 2024 Bonus Plan.</w:t>
      </w:r>
    </w:p>
    <w:p>
      <w:pPr>
        <w:spacing w:after="0" w:line="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1/48th of the shares subject to this option vest monthly following February 7, 2023, subject to the NEO remaining a service provider to us through the applicable vesting date.</w:t>
      </w:r>
    </w:p>
    <w:p>
      <w:pPr>
        <w:spacing w:after="0" w:line="14" w:lineRule="exact"/>
        <w:rPr>
          <w:rFonts w:ascii="Times New Roman" w:cs="Times New Roman" w:eastAsia="Times New Roman" w:hAnsi="Times New Roman"/>
          <w:sz w:val="14"/>
          <w:szCs w:val="14"/>
          <w:color w:val="auto"/>
        </w:rPr>
      </w:pPr>
    </w:p>
    <w:p>
      <w:pPr>
        <w:ind w:left="340" w:right="460" w:hanging="332"/>
        <w:spacing w:after="0" w:line="261" w:lineRule="auto"/>
        <w:tabs>
          <w:tab w:leader="none" w:pos="332"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service-based vesting condition will be satisfied in 16 equal quarterly installments following February 7, 2023, subject to the NEO remaining a service provider to us through the applicable vesting date.</w:t>
      </w:r>
    </w:p>
    <w:p>
      <w:pPr>
        <w:ind w:left="340" w:right="380" w:hanging="332"/>
        <w:spacing w:after="0" w:line="251" w:lineRule="auto"/>
        <w:tabs>
          <w:tab w:leader="none" w:pos="332"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service-based vesting condition will be satisfied in 16 equal quarterly installments following February 15, 2024, subject to the NEO remaining a service provider to us through the applicable vesting date.</w:t>
      </w:r>
    </w:p>
    <w:p>
      <w:pPr>
        <w:ind w:left="340" w:right="60" w:hanging="332"/>
        <w:spacing w:after="0" w:line="261" w:lineRule="auto"/>
        <w:tabs>
          <w:tab w:leader="none" w:pos="332"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1/4th of the shares subject to this option vest on August 8, 2024, with 1/48th of the total shares vesting monthly thereafter, subject to the NEO remaining a service provider to us through the applicable vesting date.</w:t>
      </w:r>
    </w:p>
    <w:p>
      <w:pPr>
        <w:ind w:left="340" w:right="440" w:hanging="332"/>
        <w:spacing w:after="0" w:line="254" w:lineRule="auto"/>
        <w:tabs>
          <w:tab w:leader="none" w:pos="332"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service-based vesting condition will be satisfied as to 1/4th of the shares on August 8, 2024, with the remainder of the shares vesting in 12 equal quarterly installments thereafter, subject to the NEO remaining a service provider to us through the applicable vesting date.</w:t>
      </w:r>
    </w:p>
    <w:p>
      <w:pPr>
        <w:ind w:left="320" w:hanging="312"/>
        <w:spacing w:after="0"/>
        <w:tabs>
          <w:tab w:leader="none" w:pos="320"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1/48th of the shares subject to this option vest monthly following November 15, 2024, subject to the NEO remaining a service provider to us through the applicable vesting date.</w:t>
      </w:r>
    </w:p>
    <w:p>
      <w:pPr>
        <w:spacing w:after="0" w:line="11" w:lineRule="exact"/>
        <w:rPr>
          <w:rFonts w:ascii="Times New Roman" w:cs="Times New Roman" w:eastAsia="Times New Roman" w:hAnsi="Times New Roman"/>
          <w:sz w:val="14"/>
          <w:szCs w:val="14"/>
          <w:color w:val="auto"/>
        </w:rPr>
      </w:pPr>
    </w:p>
    <w:p>
      <w:pPr>
        <w:ind w:left="340" w:right="280" w:hanging="332"/>
        <w:spacing w:after="0" w:line="261" w:lineRule="auto"/>
        <w:tabs>
          <w:tab w:leader="none" w:pos="331"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service-based vesting condition will be satisfied in 16 equal quarterly installments following September 15, 2024, subject to the NEO remaining a service provider to us through the applicable vesting date.</w:t>
      </w:r>
    </w:p>
    <w:p>
      <w:pPr>
        <w:ind w:left="320" w:hanging="312"/>
        <w:spacing w:after="0"/>
        <w:tabs>
          <w:tab w:leader="none" w:pos="320"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1/48th of the shares subject to this option vest monthly following September 1, 2023, subject to the NEO remaining a service provider to us through the applicable vesting date.</w:t>
      </w:r>
    </w:p>
    <w:p>
      <w:pPr>
        <w:spacing w:after="0" w:line="14" w:lineRule="exact"/>
        <w:rPr>
          <w:rFonts w:ascii="Times New Roman" w:cs="Times New Roman" w:eastAsia="Times New Roman" w:hAnsi="Times New Roman"/>
          <w:sz w:val="14"/>
          <w:szCs w:val="14"/>
          <w:color w:val="auto"/>
        </w:rPr>
      </w:pPr>
    </w:p>
    <w:p>
      <w:pPr>
        <w:ind w:left="340" w:right="360" w:hanging="332"/>
        <w:spacing w:after="0" w:line="263" w:lineRule="auto"/>
        <w:tabs>
          <w:tab w:leader="none" w:pos="337"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service-based vesting condition will be satisfied in 16 equal quarterly installments following September 1, 2023, subject to the NEO remaining a service provider to us through the applicable vesting date.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Exercises and Stock Vested in 2024</w:t>
      </w:r>
    </w:p>
    <w:p>
      <w:pPr>
        <w:spacing w:after="0" w:line="175"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number of shares of common stock acquired during 2024 by our NEOs upon the exercise of stock options and the value realized upon such exercise: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gridSpan w:val="3"/>
          </w:tcPr>
          <w:p>
            <w:pPr>
              <w:jc w:val="right"/>
              <w:ind w:right="1055"/>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0" w:type="dxa"/>
            <w:vAlign w:val="bottom"/>
          </w:tcPr>
          <w:p>
            <w:pPr>
              <w:spacing w:after="0"/>
              <w:rPr>
                <w:sz w:val="1"/>
                <w:szCs w:val="1"/>
                <w:color w:val="auto"/>
              </w:rPr>
            </w:pPr>
          </w:p>
        </w:tc>
      </w:tr>
      <w:tr>
        <w:trPr>
          <w:trHeight w:val="23"/>
        </w:trPr>
        <w:tc>
          <w:tcPr>
            <w:tcW w:w="7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8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60" w:type="dxa"/>
            <w:vAlign w:val="bottom"/>
            <w:gridSpan w:val="2"/>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rPr>
              <w:t>Number of Securities</w:t>
            </w:r>
          </w:p>
        </w:tc>
        <w:tc>
          <w:tcPr>
            <w:tcW w:w="1560" w:type="dxa"/>
            <w:vAlign w:val="bottom"/>
          </w:tcPr>
          <w:p>
            <w:pPr>
              <w:jc w:val="right"/>
              <w:ind w:right="155"/>
              <w:spacing w:after="0" w:line="129" w:lineRule="exact"/>
              <w:rPr>
                <w:sz w:val="20"/>
                <w:szCs w:val="20"/>
                <w:color w:val="auto"/>
              </w:rPr>
            </w:pPr>
            <w:r>
              <w:rPr>
                <w:rFonts w:ascii="Times New Roman" w:cs="Times New Roman" w:eastAsia="Times New Roman" w:hAnsi="Times New Roman"/>
                <w:sz w:val="14"/>
                <w:szCs w:val="14"/>
                <w:b w:val="1"/>
                <w:bCs w:val="1"/>
                <w:color w:val="auto"/>
              </w:rPr>
              <w:t>Value Realized on</w:t>
            </w:r>
          </w:p>
        </w:tc>
        <w:tc>
          <w:tcPr>
            <w:tcW w:w="0" w:type="dxa"/>
            <w:vAlign w:val="bottom"/>
          </w:tcPr>
          <w:p>
            <w:pPr>
              <w:spacing w:after="0"/>
              <w:rPr>
                <w:sz w:val="1"/>
                <w:szCs w:val="1"/>
                <w:color w:val="auto"/>
              </w:rPr>
            </w:pPr>
          </w:p>
        </w:tc>
      </w:tr>
      <w:tr>
        <w:trPr>
          <w:trHeight w:val="202"/>
        </w:trPr>
        <w:tc>
          <w:tcPr>
            <w:tcW w:w="8020" w:type="dxa"/>
            <w:vAlign w:val="bottom"/>
            <w:gridSpan w:val="2"/>
            <w:vMerge w:val="continue"/>
          </w:tcPr>
          <w:p>
            <w:pPr>
              <w:spacing w:after="0"/>
              <w:rPr>
                <w:sz w:val="17"/>
                <w:szCs w:val="17"/>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Acquired on Exercise (#)</w:t>
            </w:r>
          </w:p>
        </w:tc>
        <w:tc>
          <w:tcPr>
            <w:tcW w:w="1560" w:type="dxa"/>
            <w:vAlign w:val="bottom"/>
          </w:tcPr>
          <w:p>
            <w:pPr>
              <w:jc w:val="right"/>
              <w:ind w:right="275"/>
              <w:spacing w:after="0" w:line="202" w:lineRule="exact"/>
              <w:rPr>
                <w:sz w:val="20"/>
                <w:szCs w:val="20"/>
                <w:color w:val="auto"/>
              </w:rPr>
            </w:pPr>
            <w:r>
              <w:rPr>
                <w:rFonts w:ascii="Times New Roman" w:cs="Times New Roman" w:eastAsia="Times New Roman" w:hAnsi="Times New Roman"/>
                <w:sz w:val="14"/>
                <w:szCs w:val="14"/>
                <w:b w:val="1"/>
                <w:bCs w:val="1"/>
                <w:color w:val="auto"/>
              </w:rPr>
              <w:t>Exercise ($)</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23"/>
        </w:trPr>
        <w:tc>
          <w:tcPr>
            <w:tcW w:w="7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Christopher Britt</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Ryan King</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70,550</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Matthew Newcomb</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46,101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768,319</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Adam Frankel</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 Troughton</w:t>
            </w: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40" w:right="100" w:hanging="332"/>
        <w:spacing w:after="0" w:line="263" w:lineRule="auto"/>
        <w:tabs>
          <w:tab w:leader="none" w:pos="332" w:val="left"/>
        </w:tabs>
        <w:numPr>
          <w:ilvl w:val="0"/>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the fair market value of our common stock on the date of exercise less the option exercise price paid for those shares, multiplied by the number of shares for which the option was exercised.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75"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Each of our NEOs is currently eligible to receive severance benefits under the terms of our Change in Control Severance Plan and Officer Severance Plan, as applicable.</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upon Termination Apart from a Change in Control</w:t>
      </w:r>
    </w:p>
    <w:p>
      <w:pPr>
        <w:spacing w:after="0" w:line="175"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quantitative estimates of the benefits that would have accrued to each of our NEOs if any of their employment had been terminated by the NEO for “good reason” or by us for a reason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240"/>
          </w:cols>
          <w:pgMar w:left="320" w:top="124" w:right="339" w:bottom="1440" w:gutter="0" w:footer="0" w:header="0"/>
        </w:sectPr>
      </w:pPr>
    </w:p>
    <w:bookmarkStart w:id="214" w:name="page215"/>
    <w:bookmarkEnd w:id="214"/>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 “cause,” death, or “disability” (as such terms are defined in our Officer Severance Plan) and such termination had occurred on December 31, 2024:</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400" w:type="dxa"/>
            <w:vAlign w:val="bottom"/>
          </w:tcPr>
          <w:p>
            <w:pPr>
              <w:spacing w:after="0"/>
              <w:rPr>
                <w:sz w:val="18"/>
                <w:szCs w:val="18"/>
                <w:color w:val="auto"/>
              </w:rPr>
            </w:pP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Cash Severance ($)</w:t>
            </w:r>
            <w:r>
              <w:rPr>
                <w:rFonts w:ascii="Times New Roman" w:cs="Times New Roman" w:eastAsia="Times New Roman" w:hAnsi="Times New Roman"/>
                <w:sz w:val="18"/>
                <w:szCs w:val="18"/>
                <w:b w:val="1"/>
                <w:bCs w:val="1"/>
                <w:color w:val="auto"/>
                <w:vertAlign w:val="superscript"/>
              </w:rPr>
              <w:t>(1)</w:t>
            </w: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COBRA Premiums ($)</w:t>
            </w:r>
            <w:r>
              <w:rPr>
                <w:rFonts w:ascii="Times New Roman" w:cs="Times New Roman" w:eastAsia="Times New Roman" w:hAnsi="Times New Roman"/>
                <w:sz w:val="18"/>
                <w:szCs w:val="18"/>
                <w:b w:val="1"/>
                <w:bCs w:val="1"/>
                <w:color w:val="auto"/>
                <w:vertAlign w:val="superscript"/>
              </w:rPr>
              <w:t>(2)</w:t>
            </w:r>
          </w:p>
        </w:tc>
        <w:tc>
          <w:tcPr>
            <w:tcW w:w="156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 ($)</w:t>
            </w:r>
          </w:p>
        </w:tc>
      </w:tr>
      <w:tr>
        <w:trPr>
          <w:trHeight w:val="223"/>
        </w:trPr>
        <w:tc>
          <w:tcPr>
            <w:tcW w:w="6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Christopher Britt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15,734</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265,734</w:t>
            </w:r>
          </w:p>
        </w:tc>
      </w:tr>
      <w:tr>
        <w:trPr>
          <w:trHeight w:val="223"/>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Ryan King</w:t>
            </w: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237,500</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15,734</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253,234</w:t>
            </w: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Matthew Newcomb</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15,734</w:t>
            </w:r>
          </w:p>
        </w:tc>
        <w:tc>
          <w:tcPr>
            <w:tcW w:w="8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240,734</w:t>
            </w:r>
          </w:p>
        </w:tc>
      </w:tr>
      <w:tr>
        <w:trPr>
          <w:trHeight w:val="223"/>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Adam Frankel</w:t>
            </w: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212,500</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15,770</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228,270</w:t>
            </w: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 Troughton</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15,734</w:t>
            </w:r>
          </w:p>
        </w:tc>
        <w:tc>
          <w:tcPr>
            <w:tcW w:w="8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240,734</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lump sum payment equal to six months of the NEO’s annual base salary.</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reimbursement, or taxable lump sum payment in lieu of reimbursement, equal to the premium cost of continued health coverage under COBRA for a period of six months.</w:t>
      </w:r>
    </w:p>
    <w:p>
      <w:pPr>
        <w:spacing w:after="0" w:line="1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upon Termination Following a Change in Control</w:t>
      </w:r>
    </w:p>
    <w:p>
      <w:pPr>
        <w:spacing w:after="0" w:line="175"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sets forth quantitative estimates of the benefits that would have accrued to each of our NEOs if any of their employment had been terminated by the NEO for “good reason” or by us for a reason other than “cause,” death, or “disability” in connection with a “change of control” (as such terms are defined in our Change in Control Severance Plan) and such termination occurred on December 31, 2024:</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16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Cash Severance ($)</w:t>
            </w:r>
            <w:r>
              <w:rPr>
                <w:rFonts w:ascii="Times New Roman" w:cs="Times New Roman" w:eastAsia="Times New Roman" w:hAnsi="Times New Roman"/>
                <w:sz w:val="18"/>
                <w:szCs w:val="18"/>
                <w:b w:val="1"/>
                <w:bCs w:val="1"/>
                <w:color w:val="auto"/>
                <w:vertAlign w:val="superscript"/>
              </w:rPr>
              <w:t>(1)</w:t>
            </w:r>
          </w:p>
        </w:tc>
        <w:tc>
          <w:tcPr>
            <w:tcW w:w="16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Value of Accelerated</w:t>
            </w:r>
          </w:p>
        </w:tc>
        <w:tc>
          <w:tcPr>
            <w:tcW w:w="1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COBRA Premiums ($)</w:t>
            </w:r>
            <w:r>
              <w:rPr>
                <w:rFonts w:ascii="Times New Roman" w:cs="Times New Roman" w:eastAsia="Times New Roman" w:hAnsi="Times New Roman"/>
                <w:sz w:val="18"/>
                <w:szCs w:val="18"/>
                <w:b w:val="1"/>
                <w:bCs w:val="1"/>
                <w:color w:val="auto"/>
                <w:vertAlign w:val="superscript"/>
              </w:rPr>
              <w:t>(3)</w:t>
            </w:r>
          </w:p>
        </w:tc>
        <w:tc>
          <w:tcPr>
            <w:tcW w:w="156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203"/>
        </w:trPr>
        <w:tc>
          <w:tcPr>
            <w:tcW w:w="4760" w:type="dxa"/>
            <w:vAlign w:val="bottom"/>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1640" w:type="dxa"/>
            <w:vAlign w:val="bottom"/>
            <w:gridSpan w:val="2"/>
          </w:tcPr>
          <w:p>
            <w:pPr>
              <w:ind w:left="160"/>
              <w:spacing w:after="0" w:line="202" w:lineRule="exact"/>
              <w:rPr>
                <w:sz w:val="20"/>
                <w:szCs w:val="20"/>
                <w:color w:val="auto"/>
              </w:rPr>
            </w:pPr>
            <w:r>
              <w:rPr>
                <w:rFonts w:ascii="Times New Roman" w:cs="Times New Roman" w:eastAsia="Times New Roman" w:hAnsi="Times New Roman"/>
                <w:sz w:val="14"/>
                <w:szCs w:val="14"/>
                <w:b w:val="1"/>
                <w:bCs w:val="1"/>
                <w:color w:val="auto"/>
              </w:rPr>
              <w:t>Equity Awards ($)</w:t>
            </w:r>
            <w:r>
              <w:rPr>
                <w:rFonts w:ascii="Times New Roman" w:cs="Times New Roman" w:eastAsia="Times New Roman" w:hAnsi="Times New Roman"/>
                <w:sz w:val="18"/>
                <w:szCs w:val="18"/>
                <w:b w:val="1"/>
                <w:bCs w:val="1"/>
                <w:color w:val="auto"/>
                <w:vertAlign w:val="superscript"/>
              </w:rPr>
              <w:t>(2)</w:t>
            </w:r>
          </w:p>
        </w:tc>
        <w:tc>
          <w:tcPr>
            <w:tcW w:w="1640" w:type="dxa"/>
            <w:vAlign w:val="bottom"/>
            <w:gridSpan w:val="2"/>
            <w:vMerge w:val="continue"/>
          </w:tcPr>
          <w:p>
            <w:pPr>
              <w:spacing w:after="0"/>
              <w:rPr>
                <w:sz w:val="17"/>
                <w:szCs w:val="17"/>
                <w:color w:val="auto"/>
              </w:rPr>
            </w:pPr>
          </w:p>
        </w:tc>
        <w:tc>
          <w:tcPr>
            <w:tcW w:w="1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Christopher Britt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11,979,794</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31,468</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12,511,262</w:t>
            </w:r>
          </w:p>
        </w:tc>
        <w:tc>
          <w:tcPr>
            <w:tcW w:w="0" w:type="dxa"/>
            <w:vAlign w:val="bottom"/>
          </w:tcPr>
          <w:p>
            <w:pPr>
              <w:spacing w:after="0"/>
              <w:rPr>
                <w:sz w:val="1"/>
                <w:szCs w:val="1"/>
                <w:color w:val="auto"/>
              </w:rPr>
            </w:pPr>
          </w:p>
        </w:tc>
      </w:tr>
      <w:tr>
        <w:trPr>
          <w:trHeight w:val="223"/>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Ryan King</w:t>
            </w: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475,000</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11,979,794</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31,468</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12,486,262</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Matthew Newcomb</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675,000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8,629,356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31,468</w:t>
            </w:r>
          </w:p>
        </w:tc>
        <w:tc>
          <w:tcPr>
            <w:tcW w:w="8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9,335,824</w:t>
            </w:r>
          </w:p>
        </w:tc>
        <w:tc>
          <w:tcPr>
            <w:tcW w:w="0" w:type="dxa"/>
            <w:vAlign w:val="bottom"/>
          </w:tcPr>
          <w:p>
            <w:pPr>
              <w:spacing w:after="0"/>
              <w:rPr>
                <w:sz w:val="1"/>
                <w:szCs w:val="1"/>
                <w:color w:val="auto"/>
              </w:rPr>
            </w:pPr>
          </w:p>
        </w:tc>
      </w:tr>
      <w:tr>
        <w:trPr>
          <w:trHeight w:val="223"/>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Adam Frankel</w:t>
            </w: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637,500</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5,880,026</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31,540</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6,549,066</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 Troughton</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675,000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10,829,192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31,468</w:t>
            </w:r>
          </w:p>
        </w:tc>
        <w:tc>
          <w:tcPr>
            <w:tcW w:w="8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11,535,660</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lump sum payment equal to 12 months of the NEO’s annual base salary plus the NEO’s target annual bonus opportunity.</w:t>
      </w:r>
    </w:p>
    <w:p>
      <w:pPr>
        <w:spacing w:after="0" w:line="4" w:lineRule="exact"/>
        <w:rPr>
          <w:rFonts w:ascii="Times New Roman" w:cs="Times New Roman" w:eastAsia="Times New Roman" w:hAnsi="Times New Roman"/>
          <w:sz w:val="14"/>
          <w:szCs w:val="14"/>
          <w:color w:val="auto"/>
        </w:rPr>
      </w:pPr>
    </w:p>
    <w:p>
      <w:pPr>
        <w:ind w:left="340" w:right="160" w:hanging="332"/>
        <w:spacing w:after="0" w:line="259" w:lineRule="auto"/>
        <w:tabs>
          <w:tab w:leader="none" w:pos="332"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all NEOs, based upon full acceleration of service-based vesting conditions. For the performance options held by Messrs. Britt and King, based upon deemed performance based on the higher of target and actual performance prior to the date of the change in control.</w:t>
      </w:r>
    </w:p>
    <w:p>
      <w:pPr>
        <w:ind w:left="320" w:hanging="312"/>
        <w:spacing w:after="0"/>
        <w:tabs>
          <w:tab w:leader="none" w:pos="320"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reimbursement, or taxable lump sum payment in lieu of reimbursement, equal to the premium cost of continued health coverage under COBRA for a period of 12 months.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Benefit and Stock Plans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2025 Equity Incentive Plan</w:t>
      </w:r>
    </w:p>
    <w:p>
      <w:pPr>
        <w:spacing w:after="0" w:line="175"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Prior to the completion of this offering, our board of directors is expected to adopt, and we expect our stockholders to approve, our 2025 Plan. We expect that our 2025 Plan will be effective on the business day immediately prior to the effective date of the registration statement of which this prospectus forms a part. Our 2025 Plan will provide for the grant of incentive stock options, within the meaning of Section 422 of the Code, to our employees and any parent and subsidiary corporations’ employees, and for the grant of nonstatutory stock options, restricted stock, restricted stock units (including performance-based restricted stock units), stock appreciation rights, performance units, and performance shares to our employees, directors, and consultants, and our parent and subsidiary corporations’ employees and consultants. We expect that our 2012 Plan will terminate immediately prior to effectiveness of the 2025 Plan with respect to the grant of future awards.</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Authorized Shares</w:t>
      </w:r>
    </w:p>
    <w:p>
      <w:pPr>
        <w:spacing w:after="0" w:line="173"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A total of shares of our common stock will be reserved for issuance pursuant to our 2025 Plan. In addition, the shares reserved for issuance under our 2025 Plan also will include (i) those shares reserved but unissued under our 2012 Plan as of immediately prior to the termination of the 2012 Plan and (ii) any shares subject to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240"/>
          </w:cols>
          <w:pgMar w:left="320" w:top="124" w:right="339" w:bottom="1440" w:gutter="0" w:footer="0" w:header="0"/>
        </w:sectPr>
      </w:pPr>
    </w:p>
    <w:bookmarkStart w:id="215" w:name="page216"/>
    <w:bookmarkEnd w:id="215"/>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options, restricted stock units or similar awards granted under our 2012 Plan that, after the date our board of directors approved our 2025 Plan, expire or otherwise terminate without having been exercised in full, are tendered to or withheld by us for payment of an exercise price or for satisfying tax withholding obligations, or are forfeited to or repurchased by us due to failure to vest (provided that the maximum number of shares that may be added to our 2025 Plan pursuant to (i) and (ii) is shares). The number of shares available for issuance under our 2025 Plan will also include an annual increase on the first day of each fiscal year beginning on January 1, 2026, equal to the least of:</w:t>
      </w:r>
    </w:p>
    <w:p>
      <w:pPr>
        <w:spacing w:after="0" w:line="129" w:lineRule="exact"/>
        <w:rPr>
          <w:sz w:val="20"/>
          <w:szCs w:val="20"/>
          <w:color w:val="auto"/>
        </w:rPr>
      </w:pPr>
    </w:p>
    <w:p>
      <w:pPr>
        <w:ind w:left="920" w:hanging="588"/>
        <w:spacing w:after="0"/>
        <w:tabs>
          <w:tab w:leader="none" w:pos="92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w:t>
      </w:r>
    </w:p>
    <w:p>
      <w:pPr>
        <w:spacing w:after="0" w:line="171" w:lineRule="exact"/>
        <w:rPr>
          <w:rFonts w:ascii="Times New Roman" w:cs="Times New Roman" w:eastAsia="Times New Roman" w:hAnsi="Times New Roman"/>
          <w:sz w:val="18"/>
          <w:szCs w:val="18"/>
          <w:color w:val="auto"/>
        </w:rPr>
      </w:pPr>
    </w:p>
    <w:p>
      <w:pPr>
        <w:ind w:left="920" w:hanging="588"/>
        <w:spacing w:after="0"/>
        <w:tabs>
          <w:tab w:leader="none" w:pos="92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   %) of the outstanding shares of our common stock as of the last day of the immediately preceding fiscal year;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amount as our board of directors may determine.</w:t>
      </w:r>
    </w:p>
    <w:p>
      <w:pPr>
        <w:spacing w:after="0" w:line="17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If an award granted under the 2025 Plan expires or becomes unexercisable without having been exercised in full, is surrendered pursuant to an exchange program or, with respect to restricted stock, restricted stock units (including performance-based restricted stock units), performance units, or performance shares, is forfeited or repurchased due to failure to vest, then the unpurchased shares (or for awards other than stock options or stock appreciation rights, the forfeited or repurchased shares) will become available for future grant or sale under the 2025 Plan. With respect to stock appreciation rights, only the net shares actually issued will cease to be available under the 2025 Plan and all remaining shares under stock appreciation rights will remain available for future grant or sale under the 2025 Plan. Shares that have actually been issued under the 2025 Plan under any award will not be returned to the 2025 Plan; provided, however, that if shares issued pursuant to awards of restricted stock, restricted stock units, performance shares, or performance units are repurchased or forfeited, such shares will become available for future grant under the 2025 Plan. Shares used to pay the exercise price of an award or to satisfy the tax withholding obligations related to an award will become available for future grant or sale under the 2025 Plan. To the extent an award is paid out in cash rather than shares, such cash payment will not result in a reduction in the number of shares available for issuance under the 2025 Plan.</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Plan Administration</w:t>
      </w:r>
    </w:p>
    <w:p>
      <w:pPr>
        <w:spacing w:after="0" w:line="173"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Our board of directors or one or more committees appointed by our board of directors will administer our 2025 Plan. The Compensation Committee is expected to administer our 2025 Plan. In addition, if we determine it is desirable to qualify transactions under our 2025 Plan as exempt under Rule 16b-3 of the Exchange Act, such transactions will be structured with the intent that they satisfy the requirements for exemption under Rule 16b-3. Subject to the provisions of our 2025 Plan, the administrator has the power to administer our 2025 Plan and make all determinations deemed necessary or advisable for administering the 2025 Plan, including, but not limited to, the power to determine the fair market value of our common stock, select the service providers to whom awards may be granted, determine the number of shares covered by each award, approve forms of award agreements for use under the 2025 Plan, determine the terms and conditions of awards (including, but not limited to, the exercise price, the time or times at which the awards may be exercised, any vesting acceleration or waiver or forfeiture restrictions, and any restriction or limitation regarding any award or the shares relating thereto), construe and interpret the terms of our 2025 Plan and awards granted under it, prescribe, amend, and rescind rules relating to our 2025 Plan, including creating sub-plans, and modify or amend each award, including, but not limited to, the discretionary authority to extend the post-termination exercisability period of awards (provided that no option or stock appreciation right will be extended past its original maximum term), and to allow a participant to defer the receipt of payment of cash or the delivery of shares that would otherwise be due to such participant under an award. The administrator also has the authority to allow participants the opportunity to transfer outstanding awards to a financial institution or other person or entity selected by the administrator and to institute an exchange program by which outstanding awards may be surrendered or cancelled in exchange for awards of the same type which may have a higher or lower exercise price and/or different terms, awards of a different type, and/or cash, or by which the exercise price of an outstanding award is increased or reduced. The administrator’s decisions, interpretations, and other actions are final and binding on all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240"/>
          </w:cols>
          <w:pgMar w:left="320" w:top="124" w:right="339" w:bottom="1440" w:gutter="0" w:footer="0" w:header="0"/>
        </w:sectPr>
      </w:pPr>
    </w:p>
    <w:bookmarkStart w:id="216" w:name="page217"/>
    <w:bookmarkEnd w:id="216"/>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73"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Stock options may be granted under our 2025 Plan. The exercise price of options granted under our 2025 Plan must at least be equal to the fair market value of our common stock on the date of grant. The term of an option may not exceed ten years. With respect to any participant who owns more than 10% of the voting power of all classes of our outstanding stock, the term of an incentive stock option granted to such participant must not exceed five years and the exercise price must equal at least 110% of the fair market value on the grant date. The administrator will determine the methods of payment of the exercise price of an option, which may include cash, shares, or other property acceptable to the administrator, as well as other types of consideration permitted by applicable law. After the termination of service of an employee, director, or consultant, he or she may exercise his or her option for the period of time stated in his or her option agreement. In the absence of a specified time in an award agreement, if termination is due to death or disability, the option will remain exercisable for twelve months. In all other cases, in the absence of a specified time in an award agreement, the option will remain exercisable for three months following the termination of service. An option may not be exercised later than the expiration of its term. Subject to the provisions of our 2025 Plan, the administrator determines the other terms of options.</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Stock Appreciation Rights</w:t>
      </w:r>
    </w:p>
    <w:p>
      <w:pPr>
        <w:spacing w:after="0" w:line="17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Stock appreciation rights may be granted under our 2025 Plan. Stock appreciation rights allow the recipient to receive the appreciation in the fair market value of our common stock between the exercise date and the date of grant. Stock appreciation rights may not have a term exceeding ten years. After the termination of service of an employee, director, or consultant, he or she may exercise his or her stock appreciation right for the period of time stated in his or her stock appreciation rights agreement. In the absence of a specified time in an award agreement, if termination is due to death or disability, the stock appreciation rights will remain exercisable for twelve months. In all other cases, in the absence of a specified time in an award agreement, the stock appreciation rights will remain exercisable for three months following the termination of service. However, in no event may a stock appreciation right be exercised later than the expiration of its term. Subject to the provisions of our 2025 Plan, the administrator determines the other terms of stock appreciation rights, including when such rights become exercisable and whether to pay any increased appreciation in cash or with shares of our common stock, or a combination thereof, except that the per share exercise price for the shares to be issued pursuant to the exercise of a stock appreciation right will be no less than 100% of the fair market value per share on the date of grant.</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173" w:lineRule="exact"/>
        <w:rPr>
          <w:sz w:val="20"/>
          <w:szCs w:val="20"/>
          <w:color w:val="auto"/>
        </w:rPr>
      </w:pPr>
    </w:p>
    <w:p>
      <w:pPr>
        <w:ind w:right="180" w:firstLine="324"/>
        <w:spacing w:after="0" w:line="254" w:lineRule="auto"/>
        <w:rPr>
          <w:sz w:val="20"/>
          <w:szCs w:val="20"/>
          <w:color w:val="auto"/>
        </w:rPr>
      </w:pPr>
      <w:r>
        <w:rPr>
          <w:rFonts w:ascii="Times New Roman" w:cs="Times New Roman" w:eastAsia="Times New Roman" w:hAnsi="Times New Roman"/>
          <w:sz w:val="18"/>
          <w:szCs w:val="18"/>
          <w:color w:val="auto"/>
        </w:rPr>
        <w:t>Restricted stock may be granted under our 2025 Plan. Restricted stock awards are grants of shares of our common stock that vest in accordance with terms and conditions established by the administrator. The administrator will determine the number of shares of restricted stock granted to any employee, director, or consultant and, subject to the provisions of our 2025 Plan, will determine the terms and conditions of such awards. The administrator may impose whatever conditions to vesting it determines to be appropriate (for example, the administrator may set restrictions based on the achievement of specific performance goals or continued service to us); provided, however, that the administrator, in its sole discretion, may accelerate the time at which any restrictions will lapse or be removed. Recipients of restricted stock awards generally will have voting and dividend rights with respect to such shares upon grant without regard to vesting, unless the administrator provides otherwise. Shares of restricted stock that do not vest are subject to our right of repurchase or forfeiture.</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73"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Restricted stock units may be granted under our 2025 Plan. Restricted stock units are bookkeeping entries representing an amount equal to the fair market value of one share of our common stock. Subject to the provisions of our 2025 Plan, the administrator determines the terms and conditions of restricted stock units, including the vesting criteria and the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restricted stock units in the form of cash,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220"/>
          </w:cols>
          <w:pgMar w:left="320" w:top="124" w:right="359" w:bottom="1440" w:gutter="0" w:footer="0" w:header="0"/>
        </w:sectPr>
      </w:pPr>
    </w:p>
    <w:bookmarkStart w:id="217" w:name="page218"/>
    <w:bookmarkEnd w:id="217"/>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shares or in some combination thereof. Notwithstanding the foregoing, the administrator, in its sole discretion, may accelerate the time at which any vesting requirements will be deemed satisfied.</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Performance Units and Performance Shares</w:t>
      </w:r>
    </w:p>
    <w:p>
      <w:pPr>
        <w:spacing w:after="0" w:line="173"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Performance units and performance shares may be granted under our 2025 Plan. Performance units and performance shares are awards that will result in a payment to a participant only if performance goals established by the administrator are achieved or the awards otherwise vest. The administrator will establish performance objectives or other vesting criteria in its discretion, which, depending on the extent to which they are met, will determine the number and/or the value of performance units and performance shares to be paid out to participants. The administrator may set performance objectives based on the achievement of company-wide, divisional, business unit, or individual goals (including, but not limited to, continued employment or service), applicable federal or state securities laws, or any other basis determined by the administrator in its discretion. After the grant of a performance unit or performance share, the administrator, in its sole discretion, may reduce or waive any performance criteria or other vesting provisions for such performance units or performance shares. Performance units shall have an initial dollar value established by the administrator on or prior to the grant date. Performance shares shall have an initial value equal to the fair market value of our common stock on the grant date. The administrator, in its sole discretion, may pay earned performance units or performance shares in the form of cash, in shares or in some combination thereof.</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Non-Employee Directors</w:t>
      </w:r>
    </w:p>
    <w:p>
      <w:pPr>
        <w:spacing w:after="0" w:line="173"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2025 Plan provides that all non-employee directors will be eligible to receive all types of awards (except for incentive stock options) under our 2025 Plan. Prior to the completion of this offering, we intend to implement a formal policy pursuant to which our non-employee directors will be eligible to receive equity awards under our 2025 Plan. In order to provide a maximum limit on the awards that can be made to our non-employee directors, our 2025 Plan provides that in any given fiscal year, a non-employee director will not be paid cash retainers or granted awards having a grant-date fair value greater than $ , but this limit is increased to $ in connection with his or her initially joining the board of directors (in each case, excluding awards granted to him or her as a consultant or employee). The grant-date fair values will be determined according to GAAP. The maximum limits do not reflect the intended size of any potential grants or a commitment to make grants to our non-employee directors under our 2025 Plan in the future.</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Non-Transferability of Awards</w:t>
      </w:r>
    </w:p>
    <w:p>
      <w:pPr>
        <w:spacing w:after="0" w:line="173"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Unless the administrator provides otherwise, our 2025 Plan generally does not allow for the transfer of awards and only the recipient of an award may exercise an award during his or her lifetime. If the administrator makes an award transferrable, such award will contain such additional terms and conditions as the administrator deems appropriate.</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Certain Adjustments</w:t>
      </w:r>
    </w:p>
    <w:p>
      <w:pPr>
        <w:spacing w:after="0" w:line="173"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In the event of certain changes in our capitalization, to prevent diminution or enlargement of the benefits or potential benefits available under our 2025 Plan, the administrator will adjust the number and class of shares that may be delivered under our 2025 Plan and/or the number, class, and price of shares covered by each outstanding award, and the numerical share limits set forth in our 2025 Plan.</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Dissolution or Liquidation</w:t>
      </w:r>
    </w:p>
    <w:p>
      <w:pPr>
        <w:spacing w:after="0" w:line="173"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In the event of our proposed liquidation or dissolution, the administrator will notify participants as soon as practicable and all awards will terminate immediately prior to the consummation of such proposed transaction.</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Merger or Change in Control</w:t>
      </w:r>
    </w:p>
    <w:p>
      <w:pPr>
        <w:spacing w:after="0" w:line="173"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Our 2025 Plan provides that in the event of our merger with or into another corporation or entity or a change in control (as defined in our 2025 Plan), each outstanding award will be treated as the administrator determines, including, without limitation, that (i) awards will be assumed, or substantially equivalent awards will be substituted,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220"/>
          </w:cols>
          <w:pgMar w:left="320" w:top="124" w:right="359" w:bottom="1440" w:gutter="0" w:footer="0" w:header="0"/>
        </w:sectPr>
      </w:pPr>
    </w:p>
    <w:bookmarkStart w:id="218" w:name="page219"/>
    <w:bookmarkEnd w:id="218"/>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by the acquiring or succeeding corporation (or an affiliate thereof) with appropriate adjustments as to the number and kind of shares and prices; (ii) upon written notice to a participant, that the participant’s awards will terminate upon or immediately prior to the consummation of such merger or change in control; (iii) 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(iv) (A) the termination of an award in exchange for an amount of cash and/or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us without payment), or (B) the replacement of such award with other rights or property selected by the administrator in its sole discretion; (v) with respect only to an award (or portion thereof) that is unvested as of immediately prior to the effective time of the merger or change in control, the termination of the award immediately prior to the effective time of the merger or change in control with such payment to the participant (including no payment) as the administrator determines in its discretion; or (vi) any combination of the foregoing. The administrator will not be obligated to treat all awards, all awards a participant holds, or all awards of the same type, similarly.</w:t>
      </w:r>
    </w:p>
    <w:p>
      <w:pPr>
        <w:spacing w:after="0" w:line="133"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In the event an option or stock appreciation right is not assumed or substituted in the event of a merger or change in control, the administrator will notify each participant in writing or electronically that the option or stock appreciation right, as applicable, will be exercisable for a period of time determined by the administrator in its sole discretion, and the option or stock appreciation right, as applicable, will terminate upon the expiration of such period.</w:t>
      </w:r>
    </w:p>
    <w:p>
      <w:pPr>
        <w:spacing w:after="0" w:line="126"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Awards granted to our outside directors will vest fully and become immediately exercisable, all restrictions on his or her restricted stock and restricted stock units will lapse and all performance goals or other vesting requirements for his or her performance shares and units will be deemed achieved at 100% of target levels and all other terms and conditions met.</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Clawback</w:t>
      </w:r>
    </w:p>
    <w:p>
      <w:pPr>
        <w:spacing w:after="0" w:line="17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Awards will be subject to any clawback policy that we are required to adopt pursuant to the listing standards of any national securities exchange or association on which our stock is listed or as otherwise required by applicable laws, and the administrator also may specify in an award agreement that the participant’s rights, payments, and/or benefits with respect to an award will be subject to reduction, cancellation, forfeiture, and/or recoupment upon the occurrence of certain specified events. Our board of directors may require a participant to forfeit, return, or reimburse us all or a portion of the award and/or shares issued under the award, any amounts paid under the award, and any payments or proceeds paid or provided upon disposition of the shares issued under the award in order to comply with such clawback policy or applicable laws.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Amendment and Termination</w:t>
      </w:r>
    </w:p>
    <w:p>
      <w:pPr>
        <w:spacing w:after="0" w:line="173"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The administrator has the authority to amend, suspend or terminate our 2025 Plan provided such action does not impair the existing rights of any participant. Our 2025 Plan automatically will terminate in 2035, unless we terminate it sooner.</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2012 Stock Option and Grant Plan</w:t>
      </w:r>
    </w:p>
    <w:p>
      <w:pPr>
        <w:spacing w:after="0" w:line="175"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Our board of directors adopted, and our stockholders approved, our 2012 Plan, in 2012. Our 2012 Plan was most recently amended in January 2024. The 2012 Plan provides for the grant of incentive stock options, within the meaning of Section 422 of the Code, nonstatutory stock options, restricted stock awards, unrestricted stock awards and restricted stock units (including performance-based restricted stock units) to eligible officers, employees, directors, and consultants of ours and of our subsidiaries. It is expected that the 2012 Plan will be terminated in connection with the initial public offering of our common stock, and accordingly, no additional awards will be granted under the 2012 Plan thereafter. However, the 2012 Plan will continue to govern the terms and conditions of the outstanding awards previously granted under the 2012 Plan. As of December 31, 2024, stock options covering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1240"/>
          </w:cols>
          <w:pgMar w:left="320" w:top="124" w:right="339" w:bottom="1440" w:gutter="0" w:footer="0" w:header="0"/>
        </w:sectPr>
      </w:pPr>
    </w:p>
    <w:bookmarkStart w:id="219" w:name="page220"/>
    <w:bookmarkEnd w:id="219"/>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32,663,015 shares of our common stock, RSUs (subject to service-based and liquidity-based vesting conditions) covering 39,328,435 shares of our common stock, and PSUs (subject to service-based, liquidity-based, and performance-based vesting conditions) covering 1,929,943 shares of our common stock were outstanding under the 2012 Plan.</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Plan Administration</w:t>
      </w:r>
    </w:p>
    <w:p>
      <w:pPr>
        <w:spacing w:after="0" w:line="173"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2012 Plan is administered by our board of directors or a committee of our board of directors consisting of at least two directors, or a committee of one or more officers (subject to constraints imposed by our board of directors). The administrator has the power and the authority to make all determinations it deems advisable for its administration, subject to the terms of the 2012 Plan. All decisions and interpretations of the administrator are binding on us and all persons holding awards granted under the 2012 Plan.</w:t>
      </w:r>
    </w:p>
    <w:p>
      <w:pPr>
        <w:spacing w:after="0" w:line="126"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2012 Plan provides that the administrator has the power to reduce the exercise price of stock option, provide for the exchange of any option for another award having no or a lower exercise price or provide for the exchange of any stock option or other award for a cash payment, in each case, without obtaining additional stockholder approval.</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7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Stock options have been granted under the 2012 Plan. Subject to the provisions of the 2012 Plan, the administrator determines the terms of options. The per share exercise price of options granted under the 2012 Plan generally must be equal to at least 100% of the fair market value of a share of our common stock on the date of grant. The term of an option may not exceed ten years. With respect to any participant who owns more than 10% of the combined voting power of all classes of our (or any of our parent’s or subsidiary’s) stock, the term of an incentive stock option granted to such participant must not exceed five years and the per share exercise price must equal at least 110% of the fair market value of a share of our common stock on the grant date. The administrator determines the methods of payment of the exercise price of an option, which may include cash, check, or wire transfer; by promissory note; after the occurrence of an underwritten initial public offering or the shares of our common stock otherwise becomes publicly traded, with certain shares of our common stock or pursuant to delivery of irrevocable instructions to a broker to promptly deliver to us cash or check for payment of the exercise price; and net exercise for options other than incentive stock options within the meaning of Section 422 of the Code. After the termination of a participant’s service relationship, he or she may exercise the vested portion of his or her option for 3 months, or 12 months if such termination is due to death or disability following the termination of service, or such longer period specified in the award agreement. An option, however, may not be exercised later than the expiration of its term. In addition, if a participant’s service relationship is terminated for “cause” (as defined in the 2012 Plan), the award agreement may provide that the option will terminate immediately and will not be exercisable.</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17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Awards of restricted stock are permitted to be granted under the 2012 Plan. Restricted stock awards are grants (or sale) of shares which vest in accordance with terms and conditions established by the administrator. The administrator determines the restrictions and conditions applicable to each restricted stock award at the time of grant. Conditions may be based on such criteria as the administrator determines, including but not limited to continuing service or the achievement of pre-established performance goals. Recipients of restricted stock awards generally have voting rights (to the extent the restricted stock is entitled to voting rights) and rights to dividends and other distributions with respect to such shares upon grant, provided that such dividends or distributions will not be paid or made until the underlying shares have vested. Unless provided otherwise in the award agreement or other applicable writing, shares of restricted stock as to which the restrictions have not lapsed when the participant’s service relationship terminates will be subject to our right to repurchase such unvested shares.</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73"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Restricted stock units (including performance-based restricted stock units) have been granted under the 2012 Plan. Restricted stock units entitle recipients to shares of stock in the future, subject to meeting conditions and restrictions imposed by our board of directors and as set forth in the applicable award agreement. The conditions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1240"/>
          </w:cols>
          <w:pgMar w:left="320" w:top="124" w:right="339" w:bottom="1440" w:gutter="0" w:footer="0" w:header="0"/>
        </w:sectPr>
      </w:pPr>
    </w:p>
    <w:bookmarkStart w:id="220" w:name="page221"/>
    <w:bookmarkEnd w:id="220"/>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restrictions applicable to a restricted stock unit award may be based upon continued employment (or other business relationship) with us and/or the achievement of certain pre-established performance goals and objectives. Once the conditions and restrictions are satisfied and the award is vested, the restricted stock units generally will be settled by the issuance of shares of common stock. Unvested restricted stock units are forfeited upon the termination of a recipient’s service.</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Non-Transferability of Awards</w:t>
      </w:r>
    </w:p>
    <w:p>
      <w:pPr>
        <w:spacing w:after="0" w:line="173"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2012 Plan generally does not allow for the transfer of option awards other than by will or the laws of descent and distribution, and only the participant holding the option award may exercise the award during his or her lifetime, provided that the administrator may specify in an award agreement certain limited transfers of nonstatutory stock options such as by gift to a family member. Awards of restricted stock generally may not be transferred, except as provided in an individual award agreement or to certain permitted transferees set forth in the 2012 Plan, including, but not limited to, us, certain family members and certain trusts and foundations controlled by a participant.</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Certain Adjustments</w:t>
      </w:r>
    </w:p>
    <w:p>
      <w:pPr>
        <w:spacing w:after="0" w:line="173" w:lineRule="exact"/>
        <w:rPr>
          <w:sz w:val="20"/>
          <w:szCs w:val="20"/>
          <w:color w:val="auto"/>
        </w:rPr>
      </w:pPr>
    </w:p>
    <w:p>
      <w:pPr>
        <w:ind w:right="120" w:firstLine="324"/>
        <w:spacing w:after="0" w:line="270" w:lineRule="auto"/>
        <w:rPr>
          <w:sz w:val="20"/>
          <w:szCs w:val="20"/>
          <w:color w:val="auto"/>
        </w:rPr>
      </w:pPr>
      <w:r>
        <w:rPr>
          <w:rFonts w:ascii="Times New Roman" w:cs="Times New Roman" w:eastAsia="Times New Roman" w:hAnsi="Times New Roman"/>
          <w:sz w:val="17"/>
          <w:szCs w:val="17"/>
          <w:color w:val="auto"/>
        </w:rPr>
        <w:t>If, as a result of any reorganization, recapitalization, reclassification, stock dividend, stock split, reverse stock split or other similar change in our capital stock, the outstanding shares under the 2012 Plan are increased or decreased or are exchanged for a different number or kind of our shares or other securities, or additional shares of our common stock or new or different shares or other securities of ours or other non-cash assets are distributed with respect to such shares of our common stock or other securities of ours without the receipt of consideration by us, or, if, as a result of any merger or consolidation, or sale of all or substantially all of our assets, the outstanding shares of our common stock are converted into or exchanged for other securities of ours or any successor entity (or our parent or subsidiary), the administrator will make an appropriate and proportionate adjustment in (i) the number of shares reserved for issuance under the 2012 Plan; (ii) the number and kind of shares or other securities subject to outstanding awards; (iii) the per share repurchase price of outstanding awards; and (iv) the exercise price for each share subject to outstanding options (without changing the aggregate exercise price of such options). In the case of awards issued to California residents, the administrator will make such adjustments to an award required by Section 25102(o) of the California Corporations Code to the extent we are relying upon the exemption afforded thereby with respect to the award.</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Merger or Change in Control</w:t>
      </w:r>
    </w:p>
    <w:p>
      <w:pPr>
        <w:spacing w:after="0" w:line="17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2012 Plan provides that in the event of our sale event, as defined in the 2012 Plan, each outstanding award of options, restricted stock, and restricted stock units will terminate or be forfeited to us (as applicable), unless assumed or substituted for awards of the successor entity (or its parent). If the 2012 Plan and outstanding options under the 2012 Plan are terminated, participants holding awards of options will be permitted to exercise all options within a period of time specified by the administrator. With respect to awards of restricted stock, forfeited awards will be repurchased at a price equal to the lower of the original purchase price paid by participants with respect to such awards or the fair market value of the shares immediately prior to the effective time of the sale event. Notwithstanding the foregoing, we have the right, but not the obligation, and without the consent of any participant, to cancel an award in exchange for a cash payment equal to, for each share of our common stock subject to the award, the value of the consideration payable per share of our common stock in the sale event (net of any applicable exercise price).</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Amendment and Terminations</w:t>
      </w:r>
    </w:p>
    <w:p>
      <w:pPr>
        <w:spacing w:after="0" w:line="173"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Our board of directors may, at any time, amend or discontinue the 2012 Plan and the administrator may, at any time, amend, or cancel any outstanding award to satisfy changes in law or other lawful purpose, but no such action may adversely affect the rights of participants without their consent. To the extent necessary and desirable to comply with applicable laws, we will obtain stockholder approval of any amendment to the 2012 Plan. As noted above it is expected that the 2012 Plan will be terminated in connection with the initial public offering of our shares, and we will not grant any additional awards under the 2012 Plan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220"/>
          </w:cols>
          <w:pgMar w:left="320" w:top="124" w:right="359" w:bottom="1440" w:gutter="0" w:footer="0" w:header="0"/>
        </w:sectPr>
      </w:pPr>
    </w:p>
    <w:bookmarkStart w:id="221" w:name="page222"/>
    <w:bookmarkEnd w:id="221"/>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Prior to the completion of this offering, our board of directors is expected to adopt, and our stockholders are expected to approve, our ESPP. Our ESPP will be effective on the business day immediately prior to the effective date of the registration statement of which this prospectus forms a part. However, no offering period or purchase period will begin unless and until otherwise determined by our board of directors.</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Authorized Shares</w:t>
      </w:r>
    </w:p>
    <w:p>
      <w:pPr>
        <w:spacing w:after="0" w:line="173"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A total of shares of our common stock will be available for sale under our ESPP. The number of shares of our common stock that will be available for sale under our ESPP also includes an annual increase on the first day of each fiscal year beginning on January 1, , equal to the least of:</w:t>
      </w:r>
    </w:p>
    <w:p>
      <w:pPr>
        <w:spacing w:after="0" w:line="108" w:lineRule="exact"/>
        <w:rPr>
          <w:sz w:val="20"/>
          <w:szCs w:val="20"/>
          <w:color w:val="auto"/>
        </w:rPr>
      </w:pPr>
    </w:p>
    <w:p>
      <w:pPr>
        <w:ind w:left="920" w:hanging="588"/>
        <w:spacing w:after="0"/>
        <w:tabs>
          <w:tab w:leader="none" w:pos="92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w:t>
      </w:r>
    </w:p>
    <w:p>
      <w:pPr>
        <w:spacing w:after="0" w:line="171" w:lineRule="exact"/>
        <w:rPr>
          <w:rFonts w:ascii="Times New Roman" w:cs="Times New Roman" w:eastAsia="Times New Roman" w:hAnsi="Times New Roman"/>
          <w:sz w:val="18"/>
          <w:szCs w:val="18"/>
          <w:color w:val="auto"/>
        </w:rPr>
      </w:pPr>
    </w:p>
    <w:p>
      <w:pPr>
        <w:ind w:left="920" w:hanging="588"/>
        <w:spacing w:after="0"/>
        <w:tabs>
          <w:tab w:leader="none" w:pos="92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   %) of the outstanding shares of our common stock as of the last day of the immediately preceding fiscal year;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amount as our board of directors may determine.</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Plan Administration</w:t>
      </w:r>
    </w:p>
    <w:p>
      <w:pPr>
        <w:spacing w:after="0" w:line="173"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Our board of directors, or a committee appointed by our board of directors, will administer our ESPP, and have full but non-exclusive authority to interpret the terms of our ESPP and determine eligibility to participate, subject to the conditions of our ESPP, as described below. We expect our Compensation Committee to administer our ESPP. The administrator will have full and exclusive discretionary authority to construe, interpret, and apply the terms of the ESPP, to delegate ministerial duties to any of our employees, to designate separate offerings under the ESPP, to designate our subsidiaries and affiliates as participating in the ESPP, to determine eligibility, to adjudicate all disputed claims filed under the ESPP and to establish procedures that it deems necessary or advisable for the administration of the ESPP, including, but not limited to, adopting such procedures, sub-plans, and appendices to the ESPP enrollment agreement as are necessary or appropriate to permit participation in the ESPP by employees who are foreign nationals or employed outside the United States. The administrator’s findings, decisions and determinations are final and binding on all participants to the full extent permitted by law.</w:t>
      </w:r>
    </w:p>
    <w:p>
      <w:pPr>
        <w:spacing w:after="0" w:line="1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Eligibility</w:t>
      </w:r>
    </w:p>
    <w:p>
      <w:pPr>
        <w:spacing w:after="0" w:line="173"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Generally, all of our employees will be eligible to participate if they are customarily employed by us, or any participating subsidiary, for at least 20 hours per week and more than five months in any calendar year. The administrator, in its discretion, may, prior to an enrollment date for all options granted on such enrollment date in an offering, determine that an employee who (i) has not completed at least two years of service (or a lesser period of time determined by the administrator) since his or her last hire date, (ii) customarily works not more than 20 hours per week (or a lesser period of time determined by the administrator), (iii) customarily works not more than five months per calendar year (or a lesser period of time determined by the administrator), (iv) is a highly compensated employee within the meaning of Section 414(q) of the Code, or (v) is a highly compensated employee within the meaning of Section 414(q) of the Code with compensation above a certain level or is an officer or subject to disclosure requirements under Section 16(a) of the Exchange Act, is or is not eligible to participate in such offering period.</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However, an employee may not be granted rights to purchase shares of our common stock under our ESPP if such employee:</w:t>
      </w:r>
    </w:p>
    <w:p>
      <w:pPr>
        <w:spacing w:after="0" w:line="171" w:lineRule="exact"/>
        <w:rPr>
          <w:sz w:val="20"/>
          <w:szCs w:val="20"/>
          <w:color w:val="auto"/>
        </w:rPr>
      </w:pPr>
    </w:p>
    <w:p>
      <w:pPr>
        <w:ind w:left="660" w:right="460" w:hanging="328"/>
        <w:spacing w:after="0" w:line="282" w:lineRule="auto"/>
        <w:tabs>
          <w:tab w:leader="none" w:pos="65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the grant would own capital stock possessing 5% or more of the total combined voting power or value of all classes of our capital stock; or</w:t>
      </w:r>
    </w:p>
    <w:p>
      <w:pPr>
        <w:spacing w:after="0" w:line="107"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rights to purchase shares of our common stock under all of our employee stock purchase plans that accrue at a rate that exceeds $25,000 worth of shares of our common stock for each calendar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1220"/>
          </w:cols>
          <w:pgMar w:left="320" w:top="124" w:right="359" w:bottom="1440" w:gutter="0" w:footer="0" w:header="0"/>
        </w:sectPr>
      </w:pPr>
    </w:p>
    <w:bookmarkStart w:id="222" w:name="page223"/>
    <w:bookmarkEnd w:id="222"/>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Offering Periods</w:t>
      </w:r>
    </w:p>
    <w:p>
      <w:pPr>
        <w:spacing w:after="0" w:line="17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ESPP will include a component that allows us to make offerings intended to qualify under Section 423 of the Code and a component that allows us to make offerings not intended to qualify under Section 423 of the Code to designated companies, as described in our ESPP. Our ESPP will provide for</w:t>
      </w:r>
    </w:p>
    <w:tbl>
      <w:tblPr>
        <w:tblLayout w:type="fixed"/>
        <w:tblInd w:w="0" w:type="dxa"/>
        <w:tblCellMar>
          <w:top w:w="0" w:type="dxa"/>
          <w:left w:w="0" w:type="dxa"/>
          <w:bottom w:w="0" w:type="dxa"/>
          <w:right w:w="0" w:type="dxa"/>
        </w:tblCellMar>
      </w:tblPr>
      <w:tr>
        <w:trPr>
          <w:trHeight w:val="198"/>
        </w:trPr>
        <w:tc>
          <w:tcPr>
            <w:tcW w:w="196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consecutive, overlapping</w:t>
            </w:r>
          </w:p>
        </w:tc>
        <w:tc>
          <w:tcPr>
            <w:tcW w:w="7920" w:type="dxa"/>
            <w:vAlign w:val="bottom"/>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-month offering periods. The offering periods will be scheduled to start on the first trading day on or after</w:t>
            </w:r>
          </w:p>
        </w:tc>
        <w:tc>
          <w:tcPr>
            <w:tcW w:w="70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and</w:t>
            </w:r>
          </w:p>
        </w:tc>
        <w:tc>
          <w:tcPr>
            <w:tcW w:w="64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of each</w:t>
            </w:r>
          </w:p>
        </w:tc>
      </w:tr>
      <w:tr>
        <w:trPr>
          <w:trHeight w:val="216"/>
        </w:trPr>
        <w:tc>
          <w:tcPr>
            <w:tcW w:w="105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year, except the first offering period will commence on the first trading day on or after the effective date of the registration statement of which this</w:t>
            </w:r>
          </w:p>
        </w:tc>
        <w:tc>
          <w:tcPr>
            <w:tcW w:w="640" w:type="dxa"/>
            <w:vAlign w:val="bottom"/>
          </w:tcPr>
          <w:p>
            <w:pPr>
              <w:spacing w:after="0"/>
              <w:rPr>
                <w:sz w:val="18"/>
                <w:szCs w:val="18"/>
                <w:color w:val="auto"/>
              </w:rPr>
            </w:pPr>
          </w:p>
        </w:tc>
      </w:tr>
      <w:tr>
        <w:trPr>
          <w:trHeight w:val="216"/>
        </w:trPr>
        <w:tc>
          <w:tcPr>
            <w:tcW w:w="5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prospectus forms a part and will end on the first trading day on or before</w:t>
            </w:r>
          </w:p>
        </w:tc>
        <w:tc>
          <w:tcPr>
            <w:tcW w:w="57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and the second offering period will commence on the first trading day on or</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after</w:t>
            </w:r>
          </w:p>
        </w:tc>
        <w:tc>
          <w:tcPr>
            <w:tcW w:w="10720" w:type="dxa"/>
            <w:vAlign w:val="bottom"/>
            <w:gridSpan w:val="8"/>
          </w:tcPr>
          <w:p>
            <w:pPr>
              <w:jc w:val="center"/>
              <w:ind w:left="70"/>
              <w:spacing w:after="0"/>
              <w:rPr>
                <w:sz w:val="20"/>
                <w:szCs w:val="20"/>
                <w:color w:val="auto"/>
              </w:rPr>
            </w:pPr>
            <w:r>
              <w:rPr>
                <w:rFonts w:ascii="Times New Roman" w:cs="Times New Roman" w:eastAsia="Times New Roman" w:hAnsi="Times New Roman"/>
                <w:sz w:val="18"/>
                <w:szCs w:val="18"/>
                <w:color w:val="auto"/>
                <w:w w:val="99"/>
              </w:rPr>
              <w:t>. Each offering period will include purchase periods, which, unless the administrator provides otherwise, will (i) commence on the first trading day</w:t>
            </w:r>
          </w:p>
        </w:tc>
      </w:tr>
      <w:tr>
        <w:trPr>
          <w:trHeight w:val="216"/>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 or after</w:t>
            </w:r>
          </w:p>
        </w:tc>
        <w:tc>
          <w:tcPr>
            <w:tcW w:w="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w:t>
            </w:r>
          </w:p>
        </w:tc>
        <w:tc>
          <w:tcPr>
            <w:tcW w:w="4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and (ii) terminate on the last trading day on or before</w:t>
            </w:r>
          </w:p>
        </w:tc>
        <w:tc>
          <w:tcPr>
            <w:tcW w:w="1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of the same year and</w:t>
            </w:r>
          </w:p>
        </w:tc>
        <w:tc>
          <w:tcPr>
            <w:tcW w:w="3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of the following year, respectively, except that the</w:t>
            </w:r>
          </w:p>
        </w:tc>
      </w:tr>
      <w:tr>
        <w:trPr>
          <w:trHeight w:val="216"/>
        </w:trPr>
        <w:tc>
          <w:tcPr>
            <w:tcW w:w="112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first purchase period under our ESPP will commence on the first trading day on or after the effective date of the registration statement of which this</w:t>
            </w:r>
          </w:p>
        </w:tc>
      </w:tr>
      <w:tr>
        <w:trPr>
          <w:trHeight w:val="234"/>
        </w:trPr>
        <w:tc>
          <w:tcPr>
            <w:tcW w:w="5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prospectus forms a part and will end on the last trading day on or before</w:t>
            </w:r>
          </w:p>
        </w:tc>
        <w:tc>
          <w:tcPr>
            <w:tcW w:w="1940" w:type="dxa"/>
            <w:vAlign w:val="bottom"/>
          </w:tcPr>
          <w:p>
            <w:pPr>
              <w:jc w:val="right"/>
              <w:ind w:right="177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r>
    </w:tbl>
    <w:p>
      <w:pPr>
        <w:spacing w:after="0" w:line="14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Contributions</w:t>
      </w:r>
    </w:p>
    <w:p>
      <w:pPr>
        <w:spacing w:after="0" w:line="173"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Our ESPP will permit participants to purchase shares of our common stock through contributions (in the form of payroll deductions or otherwise to the extent permitted by the administrator) of up to % of their eligible compensation. A participant may purchase a maximum of shares of our common stock during a purchase period.</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Exercise of Purchase Right</w:t>
      </w:r>
    </w:p>
    <w:p>
      <w:pPr>
        <w:spacing w:after="0" w:line="173"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Amounts contributed and accumulated by the participant will be used to purchase shares of our common stock at the end of each six-month purchase period. The purchase price of the shares will be % of the lower of the fair market value of our common stock on the first trading day of the offering period or on the exercise date. If the fair market value of our common stock on the exercise date is less than the fair market value on the first trading day of the offering period, participants will be automatically withdrawn from such offering period immediately following their purchase of shares of our common stock on the exercise date and will be automatically re-enrolled in the next offering period. Participants may end their participation at any time during an offering period and will be paid their accrued contributions that have not yet been used to purchase shares of our common stock. Participation ends automatically upon termination of employment with us.</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Non-Transferability</w:t>
      </w:r>
    </w:p>
    <w:p>
      <w:pPr>
        <w:spacing w:after="0" w:line="173"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A participant may not transfer rights granted under our ESPP (other than by will, the laws of descent and distribution or as otherwise provided under our ESPP).</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Merger or Change in Control</w:t>
      </w:r>
    </w:p>
    <w:p>
      <w:pPr>
        <w:spacing w:after="0" w:line="173"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Our ESPP provides that in the event of a merger or change in control, as defined under our ESPP, a successor corporation may assume or substitute each outstanding purchase right. If the successor corporation refuses to assume or substitute for the outstanding purchase right, the offering period then in progress will be shortened, and a new exercise date will be set that will be before the date of the proposed merger or change in control. The administrator will notify each participant that the exercise date has been changed and that the participant’s option will be exercised automatically on the new exercise date unless prior to such date the participant has withdrawn from the offering period.</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Amendment; Termination</w:t>
      </w:r>
    </w:p>
    <w:p>
      <w:pPr>
        <w:spacing w:after="0" w:line="173"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The administrator will have the authority to amend, suspend, or terminate our ESPP, except that, subject to certain exceptions described in our ESPP, no such action may adversely affect any outstanding rights to purchase shares of our common stock under our ESPP. Our ESPP automatically will terminate in 2045, unless we terminate it sooner.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210</w:t>
      </w:r>
    </w:p>
    <w:p>
      <w:pPr>
        <w:sectPr>
          <w:pgSz w:w="11900" w:h="16838" w:orient="portrait"/>
          <w:cols w:equalWidth="0" w:num="1">
            <w:col w:w="11240"/>
          </w:cols>
          <w:pgMar w:left="320" w:top="124" w:right="339" w:bottom="1440" w:gutter="0" w:footer="0" w:header="0"/>
        </w:sectPr>
      </w:pPr>
    </w:p>
    <w:bookmarkStart w:id="223" w:name="page224"/>
    <w:bookmarkEnd w:id="223"/>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Executive Incentive Compensation Plan</w:t>
      </w:r>
    </w:p>
    <w:p>
      <w:pPr>
        <w:spacing w:after="0" w:line="1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Prior to the completion of this offering, we expect that our board of directors will adopt our Executive Incentive Compensation Plan (the “Incentive Compensation Plan”). Our Incentive Compensation Plan will allow us to provide cash incentive awards to employees selected by our board of directors or the Compensation Committee (the “administrator”), including our NEOs, based upon performance goals established by the administrator. Pursuant to the Incentive Compensation Plan, the administrator, in its sole discretion, will establish a target award for each participant and a bonus pool, with actual awards payable from such bonus pool, with respect to the applicable performance period.</w:t>
      </w:r>
    </w:p>
    <w:p>
      <w:pPr>
        <w:spacing w:after="0" w:line="129"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Under our Incentive Compensation Plan, the administrator will determine the performance goals applicable to any award, which goals may include, without limitation, , and individual objectives such as peer reviews or other subjective or objective criteria. The performance goals may differ from participant to participant and from award to award.</w:t>
      </w:r>
    </w:p>
    <w:p>
      <w:pPr>
        <w:spacing w:after="0" w:line="12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administrator of our Incentive Compensation Plan may, in its sole discretion and at any time, increase, reduce, or eliminate a participant’s actual award, and/or increase, reduce, or eliminate the amount allocated to the bonus pool for a particular performance period. The actual award may be below, at, or above a participant’s target award, in the discretion of the administrator. The administrator may determine the amount of any increase, reduction, or elimination on the basis of such factors as it deems relevant, and it is not required to establish any allocation or weighting with respect to the factors it considers.</w:t>
      </w:r>
    </w:p>
    <w:p>
      <w:pPr>
        <w:spacing w:after="0" w:line="1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Actual awards will be paid in cash (or its equivalent) in a single lump sum only after they are earned, which usually requires continued employment through the date the actual award is paid. The administrator reserves the right to settle an actual award with a grant of an equity award under our then-current equity compensation plan, which equity award may have such terms and conditions, as the administrator determines. Payment of awards occurs as soon as administratively practicable after they are earned, but no later than the dates set forth in our Incentive Compensation Plan.</w:t>
      </w:r>
    </w:p>
    <w:p>
      <w:pPr>
        <w:spacing w:after="0" w:line="126"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Our board of directors and our Compensation Committee will have the authority to amend, alter, suspend, or terminate our Incentive Compensation Plan, provided such action does not impair the existing rights of any participant with respect to any earned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211</w:t>
      </w:r>
    </w:p>
    <w:p>
      <w:pPr>
        <w:sectPr>
          <w:pgSz w:w="11900" w:h="16838" w:orient="portrait"/>
          <w:cols w:equalWidth="0" w:num="1">
            <w:col w:w="11220"/>
          </w:cols>
          <w:pgMar w:left="320" w:top="124" w:right="359" w:bottom="1440" w:gutter="0" w:footer="0" w:header="0"/>
        </w:sectPr>
      </w:pPr>
    </w:p>
    <w:bookmarkStart w:id="224" w:name="page225"/>
    <w:bookmarkEnd w:id="224"/>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175"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In addition to the compensation arrangements, including employment, termination of employment, and change in control arrangements, discussed in the sections titled “Management” and “Executive Compensation,” the following is a description of each transaction since January 1, 2022 and each currently proposed transaction in which:</w:t>
      </w:r>
    </w:p>
    <w:p>
      <w:pPr>
        <w:spacing w:after="0" w:line="122" w:lineRule="exact"/>
        <w:rPr>
          <w:sz w:val="20"/>
          <w:szCs w:val="20"/>
          <w:color w:val="auto"/>
        </w:rPr>
      </w:pPr>
    </w:p>
    <w:p>
      <w:pPr>
        <w:ind w:left="660" w:hanging="328"/>
        <w:spacing w:after="0"/>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or are to be a participant;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exceeded or exceeds $120,000; and</w:t>
      </w:r>
    </w:p>
    <w:p>
      <w:pPr>
        <w:spacing w:after="0" w:line="171" w:lineRule="exact"/>
        <w:rPr>
          <w:rFonts w:ascii="Times New Roman" w:cs="Times New Roman" w:eastAsia="Times New Roman" w:hAnsi="Times New Roman"/>
          <w:sz w:val="18"/>
          <w:szCs w:val="18"/>
          <w:color w:val="auto"/>
        </w:rPr>
      </w:pPr>
    </w:p>
    <w:p>
      <w:pPr>
        <w:ind w:left="660" w:right="340" w:hanging="328"/>
        <w:spacing w:after="0" w:line="312" w:lineRule="auto"/>
        <w:tabs>
          <w:tab w:leader="none" w:pos="655"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of our directors, executive officers, or holders of more than 5% of any class of our outstanding voting securities, or any immediate family member of, or person sharing the household with, any of these individuals or entities, had or will have a direct or indirect material interest.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 Rights Agreement</w:t>
      </w:r>
    </w:p>
    <w:p>
      <w:pPr>
        <w:spacing w:after="0" w:line="17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are party to an amended and restated investors’ rights agreement, dated as of August 9, 2021, which provides, among other things, that certain holders of our capital stock, including entities affiliated with Crosslink Capital and Menlo Ventures have the right to demand that we file a registration statement or request that their shares of our capital stock be covered by a registration statement that we are otherwise filing. James M. P. Feuille and Shawn Carolan, members of our board of directors, are affiliated with Crosslink Capital and Menlo Ventures, respectively. Ryan King, our Co-Founder and a member of our board of directors, and affiliated entities, as well as entities affiliated with Christopher Britt, our Chief Executive Officer and Chairman of our board of directors, are party to the investors’ rights agreement. See the section titled “Description of Capital Stock—Registration Rights” for additional information regarding these registration rights.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 of First Refusal</w:t>
      </w:r>
    </w:p>
    <w:p>
      <w:pPr>
        <w:spacing w:after="0" w:line="175" w:lineRule="exact"/>
        <w:rPr>
          <w:sz w:val="20"/>
          <w:szCs w:val="20"/>
          <w:color w:val="auto"/>
        </w:rPr>
      </w:pPr>
    </w:p>
    <w:p>
      <w:pPr>
        <w:jc w:val="both"/>
        <w:ind w:right="40" w:firstLine="324"/>
        <w:spacing w:after="0" w:line="256" w:lineRule="auto"/>
        <w:rPr>
          <w:sz w:val="20"/>
          <w:szCs w:val="20"/>
          <w:color w:val="auto"/>
        </w:rPr>
      </w:pPr>
      <w:r>
        <w:rPr>
          <w:rFonts w:ascii="Times New Roman" w:cs="Times New Roman" w:eastAsia="Times New Roman" w:hAnsi="Times New Roman"/>
          <w:sz w:val="18"/>
          <w:szCs w:val="18"/>
          <w:color w:val="auto"/>
        </w:rPr>
        <w:t>Pursuant to certain of our equity compensation plans and our amended and restated right of first refusal and co-sale agreement, dated as of August 9, 2021, we or our assignees have a right to purchase shares of our capital stock which stockholders propose to sell to other parties. This right will terminate upon completion of this offering. Entities affiliated with Crosslink Capital and Menlo Ventures are party to the right of first refusal and co-sale agreement. James M. P. Feuille and Shawn Carolan, members of our board of directors, are affiliated with Crosslink and Menlo Ventures, respectively. Ryan King, our Co-Founder and a member of our board of directors, and affiliated entities, as well as entities affiliated with Christopher Britt, our Chief Executive Officer and member of our board of directors, are party to the right of first refusal and co-sale agreement.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Agreement</w:t>
      </w:r>
    </w:p>
    <w:p>
      <w:pPr>
        <w:spacing w:after="0" w:line="175" w:lineRule="exact"/>
        <w:rPr>
          <w:sz w:val="20"/>
          <w:szCs w:val="20"/>
          <w:color w:val="auto"/>
        </w:rPr>
      </w:pPr>
    </w:p>
    <w:p>
      <w:pPr>
        <w:ind w:firstLine="324"/>
        <w:spacing w:after="0" w:line="274" w:lineRule="auto"/>
        <w:rPr>
          <w:sz w:val="20"/>
          <w:szCs w:val="20"/>
          <w:color w:val="auto"/>
        </w:rPr>
      </w:pPr>
      <w:r>
        <w:rPr>
          <w:rFonts w:ascii="Times New Roman" w:cs="Times New Roman" w:eastAsia="Times New Roman" w:hAnsi="Times New Roman"/>
          <w:sz w:val="17"/>
          <w:szCs w:val="17"/>
          <w:color w:val="auto"/>
        </w:rPr>
        <w:t>We are party to an amended and restated voting agreement, dated as of August 9, 2021, under which certain holders of our capital stock, including entities affiliated with Crosslink Capital and Menlo Ventures, have agreed to vote their shares of our capital stock on certain matters, including with respect to the election of directors. Upon completion of this offering, the voting agreement will terminate and none of our stockholders will have any special rights regarding the election or designation of members of our board of directors. James M. P. Feuille and Shawn Carolan, members of our board of directors, are affiliated with Crosslink and Menlo Ventures, respectively. Ryan King, our Co-Founder and a member of our board of directors, and affiliated entities, as well as entities affiliated with Christopher Britt, our Chief Executive Officer and Chairman of our board of directors, are party to the voting agreement.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Dallas Mavericks Sponsorship</w:t>
      </w:r>
    </w:p>
    <w:p>
      <w:pPr>
        <w:spacing w:after="0" w:line="175"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We are party to a sponsorship agreement with Dallas Basketball Limited, (d/b/a Dallas Mavericks) and eMavs, LLC, pursuant to which our logo appears on player jerseys worn by the Dallas Mavericks and we receive certain other sponsorship and promotional rights. Cynthia Marshall, a member of our board of directors, was formerly the Chief Executive Officer of the Dallas Mavericks. During 2022, 2023, and 2024, we paid the Dallas Mavericks $10.5 million, $11.5 million and $11.2 million pursuant to the sponsorship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212</w:t>
      </w:r>
    </w:p>
    <w:p>
      <w:pPr>
        <w:sectPr>
          <w:pgSz w:w="11900" w:h="16838" w:orient="portrait"/>
          <w:cols w:equalWidth="0" w:num="1">
            <w:col w:w="11200"/>
          </w:cols>
          <w:pgMar w:left="320" w:top="124" w:right="379" w:bottom="1440" w:gutter="0" w:footer="0" w:header="0"/>
        </w:sectPr>
      </w:pPr>
    </w:p>
    <w:bookmarkStart w:id="225" w:name="page226"/>
    <w:bookmarkEnd w:id="225"/>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Transactions</w:t>
      </w:r>
    </w:p>
    <w:p>
      <w:pPr>
        <w:spacing w:after="0" w:line="175"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We have granted stock options and RSUs to our executive officers and certain of our directors. See the section titled “Executive Compensation— Outstanding Equity Awards at 2024 Year-End” for a description of these stock options and RSUs.</w:t>
      </w:r>
    </w:p>
    <w:p>
      <w:pPr>
        <w:spacing w:after="0" w:line="108" w:lineRule="exact"/>
        <w:rPr>
          <w:sz w:val="20"/>
          <w:szCs w:val="20"/>
          <w:color w:val="auto"/>
        </w:rPr>
      </w:pPr>
    </w:p>
    <w:p>
      <w:pPr>
        <w:jc w:val="both"/>
        <w:ind w:right="340" w:firstLine="324"/>
        <w:spacing w:after="0" w:line="261" w:lineRule="auto"/>
        <w:rPr>
          <w:sz w:val="20"/>
          <w:szCs w:val="20"/>
          <w:color w:val="auto"/>
        </w:rPr>
      </w:pPr>
      <w:r>
        <w:rPr>
          <w:rFonts w:ascii="Times New Roman" w:cs="Times New Roman" w:eastAsia="Times New Roman" w:hAnsi="Times New Roman"/>
          <w:sz w:val="18"/>
          <w:szCs w:val="18"/>
          <w:color w:val="auto"/>
        </w:rPr>
        <w:t>Other than as described above under this section titled “Certain Relationships and Related Party Transactions,” since January 1, 2022, we have not entered into any transactions, nor are there any currently proposed transactions, between us and a related party where the amount involved exceeds, or would exceed, $120,000, and in which any related person had or will have a direct or indirect material interest. We believe the terms of the transactions described above were comparable to terms we could have obtained in arm’s-length dealings with unrelated third parties.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 of Officers and Directors</w:t>
      </w:r>
    </w:p>
    <w:p>
      <w:pPr>
        <w:spacing w:after="0" w:line="175"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We expect to adopt an amended and restated certificate of incorporation, which will become effective immediately prior to the completion of this offering, and which will contain provisions that limit the liability of our directors and officers for monetary damages to the fullest extent permitted by the Delaware General Corporation Law. Consequently, our directors and officers will not be personally liable to us or our stockholders for monetary damages for any breach of fiduciary duties as directors and officers, except liability for the following:</w:t>
      </w:r>
    </w:p>
    <w:p>
      <w:pPr>
        <w:spacing w:after="0" w:line="126" w:lineRule="exact"/>
        <w:rPr>
          <w:sz w:val="20"/>
          <w:szCs w:val="20"/>
          <w:color w:val="auto"/>
        </w:rPr>
      </w:pPr>
    </w:p>
    <w:p>
      <w:pPr>
        <w:ind w:left="660" w:hanging="328"/>
        <w:spacing w:after="0"/>
        <w:tabs>
          <w:tab w:leader="none" w:pos="6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their duty of loyalty to our company or our stockholders;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71"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our directors, unlawful payments of dividends or unlawful stock repurchases or redemptions as provided in Section 174 of the Delaware General Corporation Law;</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they derived an improper personal benefit;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our officers, any action by or in the right of the corporation.</w:t>
      </w:r>
    </w:p>
    <w:p>
      <w:pPr>
        <w:spacing w:after="0" w:line="171"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and officers of corporations, then the personal liability of our directors and officers will be further limited to the greatest extent permitted by the Delaware General Corporation Law.</w:t>
      </w:r>
    </w:p>
    <w:p>
      <w:pPr>
        <w:spacing w:after="0" w:line="12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addition, we expect to adopt amended and restated bylaws, which will become effective immediately prior to the completion of this offering, and which will provide that we will indemnify, to the fullest extent permitted by law, any person who is or was a party or is threatened to be made a party to any action, suit, or proceeding by reason of the fact that they are or were one of our directors or officers or is or was serving at our request as a director or officer of another corporation, partnership, joint venture, trust or other enterprise. Our amended and restated bylaws are expected to provide that we may indemnify to the fullest extent permitted by law any person who is or was a party or is threatened to be made a party to any action, suit, or proceeding by reason of the fact that they are or were one of our employees or agents or is or was serving at our request as an employee or agent of another corporation, partnership, joint venture, trust, or other enterprise. Our amended and restated bylaws will also provide that we must advance expenses incurred by or on behalf of a director or officer in advance of the final disposition of any action or proceeding, subject to limited exceptions.</w:t>
      </w:r>
    </w:p>
    <w:p>
      <w:pPr>
        <w:spacing w:after="0" w:line="138"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Further, we have entered into or will enter into indemnification agreements with each of our directors and executive officers that may be broader than the specific indemnification provisions contained in the Delaware General Corporation Law. These indemnification agreements require us, among other things, to indemnify our directors and executive officers against liabilities that may arise by reason of their status or service. These indemnification agreements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213</w:t>
      </w:r>
    </w:p>
    <w:p>
      <w:pPr>
        <w:sectPr>
          <w:pgSz w:w="11900" w:h="16838" w:orient="portrait"/>
          <w:cols w:equalWidth="0" w:num="1">
            <w:col w:w="11240"/>
          </w:cols>
          <w:pgMar w:left="320" w:top="124" w:right="339" w:bottom="1440" w:gutter="0" w:footer="0" w:header="0"/>
        </w:sectPr>
      </w:pPr>
    </w:p>
    <w:bookmarkStart w:id="226" w:name="page227"/>
    <w:bookmarkEnd w:id="226"/>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that are expected to be included in our amended and restated certificate of incorporation, amended and restated bylaws, and in indemnification agreements that we have entered into or will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adversely affected to the extent that we pay the costs of settlement and damage awards against directors and executive officers as required by these indemnification provisions. At present, we are not aware of any pending litigation or proceeding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134"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126"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Certain of our non-employee directors may, through their relationships with their employers, be insured or indemnified against certain liabilities incurred in their capacity as members of our board of directors.</w:t>
      </w:r>
    </w:p>
    <w:p>
      <w:pPr>
        <w:spacing w:after="0" w:line="108"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Party Transactions</w:t>
      </w:r>
    </w:p>
    <w:p>
      <w:pPr>
        <w:spacing w:after="0" w:line="175"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Following the completion of this offering, our audit and risk committee will have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Upon completion of this offering, our policy regarding transactions between us and related persons will provide that a related person is defined as a director, executive officer, nominee for director, or greater than 5% beneficial owner of any class of our outstanding voting securities, in each case since the beginning of the most recently completed year, and any of their immediate family members. Our audit and risk committee charter that will be in effect upon completion of this offering will provide that our audit and risk committee shall review and approve or disapprove any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214</w:t>
      </w:r>
    </w:p>
    <w:p>
      <w:pPr>
        <w:sectPr>
          <w:pgSz w:w="11900" w:h="16838" w:orient="portrait"/>
          <w:cols w:equalWidth="0" w:num="1">
            <w:col w:w="11180"/>
          </w:cols>
          <w:pgMar w:left="320" w:top="124" w:right="399" w:bottom="1440" w:gutter="0" w:footer="0" w:header="0"/>
        </w:sectPr>
      </w:pPr>
    </w:p>
    <w:bookmarkStart w:id="227" w:name="page228"/>
    <w:bookmarkEnd w:id="227"/>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175"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capital stock as of , and as adjusted to reflect the sale of our common stock in this offering assuming no exercise of the underwriters’ option to purchase additional shares of our common stock, for:</w:t>
      </w:r>
    </w:p>
    <w:p>
      <w:pPr>
        <w:spacing w:after="0" w:line="108" w:lineRule="exact"/>
        <w:rPr>
          <w:sz w:val="20"/>
          <w:szCs w:val="20"/>
          <w:color w:val="auto"/>
        </w:rPr>
      </w:pPr>
    </w:p>
    <w:p>
      <w:pPr>
        <w:ind w:left="660" w:hanging="328"/>
        <w:spacing w:after="0"/>
        <w:tabs>
          <w:tab w:leader="none" w:pos="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directors and executive officers as a group;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persons, known by us to be the beneficial owner of more than 5% of the outstanding shares of our common stock.</w:t>
      </w:r>
    </w:p>
    <w:p>
      <w:pPr>
        <w:spacing w:after="0" w:line="171"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The information does not necessarily indicate beneficial ownership for any other purpose, including for purposes of Sections 13(d) and 13(g) of the Exchange Act.</w:t>
      </w:r>
    </w:p>
    <w:p>
      <w:pPr>
        <w:spacing w:after="0" w:line="126"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We have based our calculation of the percentage of beneficial ownership prior to this offering on shares of our common stock outstanding as of (after giving effect to the Preferred Stock Conversion and RSU Settlement). We have based our calculation of the percentage of beneficial ownership after</w:t>
      </w:r>
    </w:p>
    <w:p>
      <w:pPr>
        <w:spacing w:after="0" w:line="250" w:lineRule="auto"/>
        <w:rPr>
          <w:sz w:val="20"/>
          <w:szCs w:val="20"/>
          <w:color w:val="auto"/>
        </w:rPr>
      </w:pPr>
      <w:r>
        <w:rPr>
          <w:rFonts w:ascii="Times New Roman" w:cs="Times New Roman" w:eastAsia="Times New Roman" w:hAnsi="Times New Roman"/>
          <w:sz w:val="18"/>
          <w:szCs w:val="18"/>
          <w:color w:val="auto"/>
        </w:rPr>
        <w:t>this offering on shares of our common stock issued by us in our initial public offering and shares of common stock outstanding immediately after the completion of this offering, assuming that the underwriters will not exercise their option to purchase up to an additional shares of our common stock from us in full. We have deemed shares of our common stock subject to stock options that are currently exercisable or exercisable within 60 days of or issuable pursuant to RSUs which are subject to vesting and settlement conditions expected to occur within 60 days of (assuming the satisfaction of the</w:t>
      </w:r>
    </w:p>
    <w:p>
      <w:pPr>
        <w:spacing w:after="0" w:line="2" w:lineRule="exact"/>
        <w:rPr>
          <w:sz w:val="20"/>
          <w:szCs w:val="20"/>
          <w:color w:val="auto"/>
        </w:rPr>
      </w:pPr>
    </w:p>
    <w:p>
      <w:pPr>
        <w:jc w:val="both"/>
        <w:ind w:right="180"/>
        <w:spacing w:after="0" w:line="255" w:lineRule="auto"/>
        <w:rPr>
          <w:sz w:val="20"/>
          <w:szCs w:val="20"/>
          <w:color w:val="auto"/>
        </w:rPr>
      </w:pPr>
      <w:r>
        <w:rPr>
          <w:rFonts w:ascii="Times New Roman" w:cs="Times New Roman" w:eastAsia="Times New Roman" w:hAnsi="Times New Roman"/>
          <w:sz w:val="18"/>
          <w:szCs w:val="18"/>
          <w:color w:val="auto"/>
        </w:rPr>
        <w:t>liquidity-based and service-based vesting conditions) to be outstanding and to be beneficially owned by the person holding such stock option or RSU, as applicable, for the purpose of computing the percentage ownership of that person. We did not deem these shares outstanding, however, for the purpose of computing the percentage ownership of any 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215</w:t>
      </w:r>
    </w:p>
    <w:p>
      <w:pPr>
        <w:sectPr>
          <w:pgSz w:w="11900" w:h="16838" w:orient="portrait"/>
          <w:cols w:equalWidth="0" w:num="1">
            <w:col w:w="11220"/>
          </w:cols>
          <w:pgMar w:left="320" w:top="124" w:right="359" w:bottom="1440" w:gutter="0" w:footer="0" w:header="0"/>
        </w:sectPr>
      </w:pPr>
    </w:p>
    <w:bookmarkStart w:id="228" w:name="page229"/>
    <w:bookmarkEnd w:id="228"/>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Unless otherwise indicated, the address of each beneficial owner listed in the table below is c/o Chime Financial, Inc., 101 California Street, Suite 500, San Francisco, California 94111.</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Name 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543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p>
      <w:pPr>
        <w:ind w:left="20"/>
        <w:spacing w:after="0"/>
        <w:rPr>
          <w:sz w:val="20"/>
          <w:szCs w:val="20"/>
          <w:color w:val="auto"/>
        </w:rPr>
      </w:pPr>
      <w:r>
        <w:rPr>
          <w:rFonts w:ascii="Times New Roman" w:cs="Times New Roman" w:eastAsia="Times New Roman" w:hAnsi="Times New Roman"/>
          <w:sz w:val="18"/>
          <w:szCs w:val="18"/>
          <w:color w:val="auto"/>
        </w:rPr>
        <w:t>Christopher Britt</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454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line="208" w:lineRule="auto"/>
        <w:rPr>
          <w:sz w:val="20"/>
          <w:szCs w:val="20"/>
          <w:color w:val="auto"/>
        </w:rPr>
      </w:pPr>
      <w:r>
        <w:rPr>
          <w:rFonts w:ascii="Times New Roman" w:cs="Times New Roman" w:eastAsia="Times New Roman" w:hAnsi="Times New Roman"/>
          <w:sz w:val="18"/>
          <w:szCs w:val="18"/>
          <w:color w:val="auto"/>
        </w:rPr>
        <w:t>Ryan King</w:t>
      </w:r>
      <w:r>
        <w:rPr>
          <w:rFonts w:ascii="Times New Roman" w:cs="Times New Roman" w:eastAsia="Times New Roman" w:hAnsi="Times New Roman"/>
          <w:sz w:val="23"/>
          <w:szCs w:val="23"/>
          <w:color w:val="auto"/>
          <w:vertAlign w:val="superscript"/>
        </w:rPr>
        <w:t>(2)</w:t>
      </w:r>
    </w:p>
    <w:p>
      <w:pPr>
        <w:ind w:left="20"/>
        <w:spacing w:after="0" w:line="208" w:lineRule="auto"/>
        <w:rPr>
          <w:sz w:val="20"/>
          <w:szCs w:val="20"/>
          <w:color w:val="auto"/>
        </w:rPr>
      </w:pPr>
      <w:r>
        <w:rPr>
          <w:rFonts w:ascii="Times New Roman" w:cs="Times New Roman" w:eastAsia="Times New Roman" w:hAnsi="Times New Roman"/>
          <w:sz w:val="18"/>
          <w:szCs w:val="18"/>
          <w:color w:val="auto"/>
        </w:rPr>
        <w:t>Matthew Newcomb</w:t>
      </w:r>
      <w:r>
        <w:rPr>
          <w:rFonts w:ascii="Times New Roman" w:cs="Times New Roman" w:eastAsia="Times New Roman" w:hAnsi="Times New Roman"/>
          <w:sz w:val="23"/>
          <w:szCs w:val="23"/>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1454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line="208" w:lineRule="auto"/>
        <w:rPr>
          <w:sz w:val="20"/>
          <w:szCs w:val="20"/>
          <w:color w:val="auto"/>
        </w:rPr>
      </w:pPr>
      <w:r>
        <w:rPr>
          <w:rFonts w:ascii="Times New Roman" w:cs="Times New Roman" w:eastAsia="Times New Roman" w:hAnsi="Times New Roman"/>
          <w:sz w:val="18"/>
          <w:szCs w:val="18"/>
          <w:color w:val="auto"/>
        </w:rPr>
        <w:t>Adam Frankel</w:t>
      </w:r>
      <w:r>
        <w:rPr>
          <w:rFonts w:ascii="Times New Roman" w:cs="Times New Roman" w:eastAsia="Times New Roman" w:hAnsi="Times New Roman"/>
          <w:sz w:val="23"/>
          <w:szCs w:val="23"/>
          <w:color w:val="auto"/>
          <w:vertAlign w:val="superscript"/>
        </w:rPr>
        <w:t>(4)</w:t>
      </w:r>
    </w:p>
    <w:p>
      <w:pPr>
        <w:ind w:left="20"/>
        <w:spacing w:after="0" w:line="209" w:lineRule="auto"/>
        <w:rPr>
          <w:sz w:val="20"/>
          <w:szCs w:val="20"/>
          <w:color w:val="auto"/>
        </w:rPr>
      </w:pPr>
      <w:r>
        <w:rPr>
          <w:rFonts w:ascii="Times New Roman" w:cs="Times New Roman" w:eastAsia="Times New Roman" w:hAnsi="Times New Roman"/>
          <w:sz w:val="18"/>
          <w:szCs w:val="18"/>
          <w:color w:val="auto"/>
        </w:rPr>
        <w:t>Mark Troughton</w:t>
      </w:r>
      <w:r>
        <w:rPr>
          <w:rFonts w:ascii="Times New Roman" w:cs="Times New Roman" w:eastAsia="Times New Roman" w:hAnsi="Times New Roman"/>
          <w:sz w:val="23"/>
          <w:szCs w:val="23"/>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454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line="208" w:lineRule="auto"/>
        <w:rPr>
          <w:sz w:val="20"/>
          <w:szCs w:val="20"/>
          <w:color w:val="auto"/>
        </w:rPr>
      </w:pPr>
      <w:r>
        <w:rPr>
          <w:rFonts w:ascii="Times New Roman" w:cs="Times New Roman" w:eastAsia="Times New Roman" w:hAnsi="Times New Roman"/>
          <w:sz w:val="18"/>
          <w:szCs w:val="18"/>
          <w:color w:val="auto"/>
        </w:rPr>
        <w:t>Shawn Carolan</w:t>
      </w:r>
      <w:r>
        <w:rPr>
          <w:rFonts w:ascii="Times New Roman" w:cs="Times New Roman" w:eastAsia="Times New Roman" w:hAnsi="Times New Roman"/>
          <w:sz w:val="23"/>
          <w:szCs w:val="23"/>
          <w:color w:val="auto"/>
          <w:vertAlign w:val="superscript"/>
        </w:rPr>
        <w:t>(6)</w:t>
      </w:r>
    </w:p>
    <w:p>
      <w:pPr>
        <w:ind w:left="20"/>
        <w:spacing w:after="0" w:line="208" w:lineRule="auto"/>
        <w:rPr>
          <w:sz w:val="20"/>
          <w:szCs w:val="20"/>
          <w:color w:val="auto"/>
        </w:rPr>
      </w:pPr>
      <w:r>
        <w:rPr>
          <w:rFonts w:ascii="Times New Roman" w:cs="Times New Roman" w:eastAsia="Times New Roman" w:hAnsi="Times New Roman"/>
          <w:sz w:val="18"/>
          <w:szCs w:val="18"/>
          <w:color w:val="auto"/>
        </w:rPr>
        <w:t>Susan Decker</w:t>
      </w:r>
      <w:r>
        <w:rPr>
          <w:rFonts w:ascii="Times New Roman" w:cs="Times New Roman" w:eastAsia="Times New Roman" w:hAnsi="Times New Roman"/>
          <w:sz w:val="23"/>
          <w:szCs w:val="23"/>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146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line="208" w:lineRule="auto"/>
        <w:rPr>
          <w:sz w:val="20"/>
          <w:szCs w:val="20"/>
          <w:color w:val="auto"/>
        </w:rPr>
      </w:pPr>
      <w:r>
        <w:rPr>
          <w:rFonts w:ascii="Times New Roman" w:cs="Times New Roman" w:eastAsia="Times New Roman" w:hAnsi="Times New Roman"/>
          <w:sz w:val="18"/>
          <w:szCs w:val="18"/>
          <w:color w:val="auto"/>
        </w:rPr>
        <w:t>Jimmy Dunne</w:t>
      </w:r>
      <w:r>
        <w:rPr>
          <w:rFonts w:ascii="Times New Roman" w:cs="Times New Roman" w:eastAsia="Times New Roman" w:hAnsi="Times New Roman"/>
          <w:sz w:val="23"/>
          <w:szCs w:val="23"/>
          <w:color w:val="auto"/>
          <w:vertAlign w:val="superscript"/>
        </w:rPr>
        <w:t>(8)</w:t>
      </w:r>
    </w:p>
    <w:p>
      <w:pPr>
        <w:ind w:left="20"/>
        <w:spacing w:after="0" w:line="209" w:lineRule="auto"/>
        <w:rPr>
          <w:sz w:val="20"/>
          <w:szCs w:val="20"/>
          <w:color w:val="auto"/>
        </w:rPr>
      </w:pPr>
      <w:r>
        <w:rPr>
          <w:rFonts w:ascii="Times New Roman" w:cs="Times New Roman" w:eastAsia="Times New Roman" w:hAnsi="Times New Roman"/>
          <w:sz w:val="18"/>
          <w:szCs w:val="18"/>
          <w:color w:val="auto"/>
        </w:rPr>
        <w:t>James M. P. Feuille</w:t>
      </w:r>
      <w:r>
        <w:rPr>
          <w:rFonts w:ascii="Times New Roman" w:cs="Times New Roman" w:eastAsia="Times New Roman" w:hAnsi="Times New Roman"/>
          <w:sz w:val="23"/>
          <w:szCs w:val="23"/>
          <w:color w:val="auto"/>
          <w:vertAlign w:val="superscript"/>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454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line="208" w:lineRule="auto"/>
        <w:rPr>
          <w:sz w:val="20"/>
          <w:szCs w:val="20"/>
          <w:color w:val="auto"/>
        </w:rPr>
      </w:pPr>
      <w:r>
        <w:rPr>
          <w:rFonts w:ascii="Times New Roman" w:cs="Times New Roman" w:eastAsia="Times New Roman" w:hAnsi="Times New Roman"/>
          <w:sz w:val="18"/>
          <w:szCs w:val="18"/>
          <w:color w:val="auto"/>
        </w:rPr>
        <w:t>Cynthia Marshall</w:t>
      </w:r>
      <w:r>
        <w:rPr>
          <w:rFonts w:ascii="Times New Roman" w:cs="Times New Roman" w:eastAsia="Times New Roman" w:hAnsi="Times New Roman"/>
          <w:sz w:val="23"/>
          <w:szCs w:val="23"/>
          <w:color w:val="auto"/>
          <w:vertAlign w:val="superscript"/>
        </w:rPr>
        <w:t>(10)</w:t>
      </w:r>
    </w:p>
    <w:p>
      <w:pPr>
        <w:ind w:left="20"/>
        <w:spacing w:after="0" w:line="218" w:lineRule="auto"/>
        <w:rPr>
          <w:sz w:val="20"/>
          <w:szCs w:val="20"/>
          <w:color w:val="auto"/>
        </w:rPr>
      </w:pPr>
      <w:r>
        <w:rPr>
          <w:rFonts w:ascii="Times New Roman" w:cs="Times New Roman" w:eastAsia="Times New Roman" w:hAnsi="Times New Roman"/>
          <w:sz w:val="18"/>
          <w:szCs w:val="18"/>
          <w:color w:val="auto"/>
        </w:rPr>
        <w:t>All executive officers and directors as a group (10 persons)</w:t>
      </w:r>
      <w:r>
        <w:rPr>
          <w:rFonts w:ascii="Times New Roman" w:cs="Times New Roman" w:eastAsia="Times New Roman" w:hAnsi="Times New Roman"/>
          <w:sz w:val="23"/>
          <w:szCs w:val="23"/>
          <w:color w:val="auto"/>
          <w:vertAlign w:val="superscript"/>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454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b w:val="1"/>
          <w:bCs w:val="1"/>
          <w:color w:val="auto"/>
        </w:rPr>
        <w:t>5% or Greater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454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42" w:lineRule="exact"/>
        <w:rPr>
          <w:sz w:val="20"/>
          <w:szCs w:val="20"/>
          <w:color w:val="auto"/>
        </w:rPr>
      </w:pPr>
    </w:p>
    <w:p>
      <w:pPr>
        <w:ind w:left="320" w:hanging="312"/>
        <w:spacing w:after="0"/>
        <w:tabs>
          <w:tab w:leader="none" w:pos="320" w:val="left"/>
        </w:tabs>
        <w:numPr>
          <w:ilvl w:val="0"/>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1% of the outstanding shares of common stock.</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Percentage of Shares Beneficially Owned</w:t>
            </w:r>
          </w:p>
        </w:tc>
        <w:tc>
          <w:tcPr>
            <w:tcW w:w="0" w:type="dxa"/>
            <w:vAlign w:val="bottom"/>
          </w:tcPr>
          <w:p>
            <w:pPr>
              <w:spacing w:after="0"/>
              <w:rPr>
                <w:sz w:val="1"/>
                <w:szCs w:val="1"/>
                <w:color w:val="auto"/>
              </w:rPr>
            </w:pPr>
          </w:p>
        </w:tc>
      </w:tr>
      <w:tr>
        <w:trPr>
          <w:trHeight w:val="23"/>
        </w:trPr>
        <w:tc>
          <w:tcPr>
            <w:tcW w:w="1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1660" w:type="dxa"/>
            <w:vAlign w:val="bottom"/>
            <w:gridSpan w:val="2"/>
            <w:vMerge w:val="continue"/>
          </w:tcPr>
          <w:p>
            <w:pPr>
              <w:spacing w:after="0"/>
              <w:rPr>
                <w:sz w:val="10"/>
                <w:szCs w:val="10"/>
                <w:color w:val="auto"/>
              </w:rPr>
            </w:pPr>
          </w:p>
        </w:tc>
        <w:tc>
          <w:tcPr>
            <w:tcW w:w="15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Before the Offering</w:t>
            </w:r>
          </w:p>
        </w:tc>
        <w:tc>
          <w:tcPr>
            <w:tcW w:w="100" w:type="dxa"/>
            <w:vAlign w:val="bottom"/>
            <w:vMerge w:val="restart"/>
          </w:tcPr>
          <w:p>
            <w:pPr>
              <w:spacing w:after="0"/>
              <w:rPr>
                <w:sz w:val="10"/>
                <w:szCs w:val="10"/>
                <w:color w:val="auto"/>
              </w:rPr>
            </w:pPr>
          </w:p>
        </w:tc>
        <w:tc>
          <w:tcPr>
            <w:tcW w:w="15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After the Offering</w:t>
            </w:r>
          </w:p>
        </w:tc>
        <w:tc>
          <w:tcPr>
            <w:tcW w:w="0" w:type="dxa"/>
            <w:vAlign w:val="bottom"/>
          </w:tcPr>
          <w:p>
            <w:pPr>
              <w:spacing w:after="0"/>
              <w:rPr>
                <w:sz w:val="1"/>
                <w:szCs w:val="1"/>
                <w:color w:val="auto"/>
              </w:rPr>
            </w:pPr>
          </w:p>
        </w:tc>
      </w:tr>
      <w:tr>
        <w:trPr>
          <w:trHeight w:val="195"/>
        </w:trPr>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100" w:type="dxa"/>
            <w:vAlign w:val="bottom"/>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4077" w:lineRule="exact"/>
        <w:rPr>
          <w:sz w:val="20"/>
          <w:szCs w:val="20"/>
          <w:color w:val="auto"/>
        </w:rPr>
      </w:pPr>
    </w:p>
    <w:p>
      <w:pPr>
        <w:sectPr>
          <w:pgSz w:w="11900" w:h="16838" w:orient="portrait"/>
          <w:cols w:equalWidth="0" w:num="2">
            <w:col w:w="5660" w:space="700"/>
            <w:col w:w="4880"/>
          </w:cols>
          <w:pgMar w:left="320" w:top="12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216</w:t>
      </w:r>
    </w:p>
    <w:p>
      <w:pPr>
        <w:sectPr>
          <w:pgSz w:w="11900" w:h="16838" w:orient="portrait"/>
          <w:cols w:equalWidth="0" w:num="1">
            <w:col w:w="11240"/>
          </w:cols>
          <w:pgMar w:left="320" w:top="124" w:right="339" w:bottom="1440" w:gutter="0" w:footer="0" w:header="0"/>
          <w:type w:val="continuous"/>
        </w:sectPr>
      </w:pPr>
    </w:p>
    <w:bookmarkStart w:id="229" w:name="page230"/>
    <w:bookmarkEnd w:id="229"/>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ind w:firstLine="324"/>
        <w:spacing w:after="0" w:line="268" w:lineRule="auto"/>
        <w:rPr>
          <w:sz w:val="20"/>
          <w:szCs w:val="20"/>
          <w:color w:val="auto"/>
        </w:rPr>
      </w:pPr>
      <w:r>
        <w:rPr>
          <w:rFonts w:ascii="Times New Roman" w:cs="Times New Roman" w:eastAsia="Times New Roman" w:hAnsi="Times New Roman"/>
          <w:sz w:val="17"/>
          <w:szCs w:val="17"/>
          <w:color w:val="auto"/>
        </w:rPr>
        <w:t>The following description summarizes certain important terms of our capital stock, as they are expected to be in effect immediately prior to the completion of this offering. We expect to adopt an amended and restated certificate of incorporation and amended and restated bylaws that will become effective immediately prior to the completion of this offering, and this description summarizes the provisions that are expected to be included in such documents. Because it is only a summary, it does not contain all the information that may be important to you. For a complete description of the matters set forth in this section titled “Description of Capital Stock,” you should refer to our amended and restated certificate of incorporation, amended and restated bylaws, and amended and restated investors’ rights agreement, which are included as exhibits to the registration statement of which this prospectus forms a part, and to the applicable provisions of Delaware law. Immediately following the completion of this offering, our authorized capital stock will consist of</w:t>
      </w:r>
    </w:p>
    <w:p>
      <w:pPr>
        <w:spacing w:after="0" w:line="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shares of capital stock, $0.0001 par value per share, of which:</w:t>
      </w:r>
    </w:p>
    <w:p>
      <w:pPr>
        <w:spacing w:after="0" w:line="153" w:lineRule="exact"/>
        <w:rPr>
          <w:sz w:val="20"/>
          <w:szCs w:val="20"/>
          <w:color w:val="auto"/>
        </w:rPr>
      </w:pPr>
    </w:p>
    <w:p>
      <w:pPr>
        <w:ind w:left="920" w:hanging="588"/>
        <w:spacing w:after="0"/>
        <w:tabs>
          <w:tab w:leader="none" w:pos="92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are designated as common stock; and</w:t>
      </w:r>
    </w:p>
    <w:p>
      <w:pPr>
        <w:spacing w:after="0" w:line="171" w:lineRule="exact"/>
        <w:rPr>
          <w:rFonts w:ascii="Times New Roman" w:cs="Times New Roman" w:eastAsia="Times New Roman" w:hAnsi="Times New Roman"/>
          <w:sz w:val="18"/>
          <w:szCs w:val="18"/>
          <w:color w:val="auto"/>
        </w:rPr>
      </w:pPr>
    </w:p>
    <w:p>
      <w:pPr>
        <w:ind w:left="920" w:hanging="588"/>
        <w:spacing w:after="0"/>
        <w:tabs>
          <w:tab w:leader="none" w:pos="92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are designated as preferred stock.</w:t>
      </w:r>
    </w:p>
    <w:p>
      <w:pPr>
        <w:spacing w:after="0" w:line="171"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2024, assuming the Preferred Stock Conversion and RSU Settlement occurred as of such date, there were shares of our common stock outstanding, held by stockholders of record, and no shares of our preferred stock outstanding. Pursuant to our amended and restated</w:t>
      </w:r>
    </w:p>
    <w:p>
      <w:pPr>
        <w:ind w:right="60"/>
        <w:spacing w:after="0" w:line="260" w:lineRule="auto"/>
        <w:rPr>
          <w:sz w:val="20"/>
          <w:szCs w:val="20"/>
          <w:color w:val="auto"/>
        </w:rPr>
      </w:pPr>
      <w:r>
        <w:rPr>
          <w:rFonts w:ascii="Times New Roman" w:cs="Times New Roman" w:eastAsia="Times New Roman" w:hAnsi="Times New Roman"/>
          <w:sz w:val="18"/>
          <w:szCs w:val="18"/>
          <w:color w:val="auto"/>
        </w:rPr>
        <w:t>certificate of incorporation, our board of directors will have the authority, without stockholder approval except as required by the Nasdaq listing standards, to issue additional shares of our capital stock.</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75"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 See the section titled “Dividend Policy” for additional information.</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75"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on all matters submitted to a vote of stockholders. We have not provided for cumulative voting for the election of directors in our amended and restated certificate of incorporation.</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 Preemptive or Similar Rights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stock is not entitled to preemptive rights, and is not subject to conversion, redemption, or sinking fund provisions.</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Right to Receive Liquidation Distributions</w:t>
      </w:r>
    </w:p>
    <w:p>
      <w:pPr>
        <w:spacing w:after="0" w:line="17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If we become subject to a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Fully Paid and Non-Assessable</w:t>
      </w:r>
    </w:p>
    <w:p>
      <w:pPr>
        <w:spacing w:after="0" w:line="175"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this offering, our legal counsel will opine that the shares of our common stock to be issued in this offering will be fully paid and non-assessable.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217</w:t>
      </w:r>
    </w:p>
    <w:p>
      <w:pPr>
        <w:sectPr>
          <w:pgSz w:w="11900" w:h="16838" w:orient="portrait"/>
          <w:cols w:equalWidth="0" w:num="1">
            <w:col w:w="11200"/>
          </w:cols>
          <w:pgMar w:left="320" w:top="124" w:right="379" w:bottom="1440" w:gutter="0" w:footer="0" w:header="0"/>
        </w:sectPr>
      </w:pPr>
    </w:p>
    <w:bookmarkStart w:id="230" w:name="page231"/>
    <w:bookmarkEnd w:id="230"/>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75"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After the completion of this offering, no shares of our preferred stock will be outstanding. Pursuant to our amended and restated certificate of incorporation that will become effective immediately prior to the completion of this offering, our board of directors will have the authority,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common stock and the voting and other rights of the holders of our common stock. We have no current plan to issue any shares of preferred stock.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175"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2024, we had outstanding options to purchase an aggregate of 32,663,015 shares of our common stock, with a weighted-average exercise price of approximately $7.25 per share, under our 2012 Plan.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RSUs and PSUs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2024, we had outstanding 39,328,435 shares of our common stock subject to RSUs with service-based and liquidity-based vesting conditions, and 1,929,943 shares of our common stock subject to PSUs with service-based, liquidity-based and performance-based vesting conditions under our 2012 Plan.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Warrants</w:t>
      </w:r>
    </w:p>
    <w:p>
      <w:pPr>
        <w:spacing w:after="0" w:line="175"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2024, we had outstanding common stock warrants to purchase 787,840 shares of our common stock, with a weighted average exercise price of $0.10 per share.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7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After the completion of this offering, certain holders of our common stock will be entitled to rights with respect to the registration of their shares under the Securities Act. These registration rights are contained in our IRA. We and certain holders of our preferred stock are parties to the IRA. The registration rights set forth in the IRA will expire three years following the completion of this offering, or, with respect to any particular stockholder, such earlier time at which such stockholder (i) can sell all of its shares in compliance with Rule 144(b)(1)(i) of the Securities Act or (ii) holds one percent or less of our outstanding common stock and all securities held by such holder (and its affiliates with whom such holder must aggregate sales under Rule 144) can be sold in any three month period without registration in compliance with Rule 144. We will pay the registration expenses (other than underwriting discounts and commissions) of the holders of the shares registered pursuant to the registrations described below. In an underwritten offering, the managing underwriter, if any, has the right, subject to specified conditions, to limit the number of shares such holders may include. We expect that our stockholders will waive their rights under the IRA (i) to receive notice of this offering and (ii) to include their registrable shares in this offering.</w:t>
      </w:r>
    </w:p>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Demand Registration Rights</w:t>
      </w:r>
    </w:p>
    <w:p>
      <w:pPr>
        <w:spacing w:after="0" w:line="175"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After the completion of this offering, the holders of up to shares of our common stock will be entitled to certain demand registration rights. At any time beginning six months after the effective date of this offering, the holders of at least 30% of the shares registrable under the IRA can request that we register the offer and sale of their shares. Such request for registration must cover securities, the anticipated aggregate offering price of which is at least $120,000,000. We are obligated to effect only two such registrations. If we determine that it would be seriously detrimental to us and our stockholders to effect such a demand registration, we have the right to defer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218</w:t>
      </w:r>
    </w:p>
    <w:p>
      <w:pPr>
        <w:sectPr>
          <w:pgSz w:w="11900" w:h="16838" w:orient="portrait"/>
          <w:cols w:equalWidth="0" w:num="1">
            <w:col w:w="11240"/>
          </w:cols>
          <w:pgMar w:left="320" w:top="124" w:right="339" w:bottom="1440" w:gutter="0" w:footer="0" w:header="0"/>
        </w:sectPr>
      </w:pPr>
    </w:p>
    <w:bookmarkStart w:id="231" w:name="page232"/>
    <w:bookmarkEnd w:id="231"/>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registration, not more than once in any 12-month period, for a period of up to 90 days. Additionally, we will not be required to effect a demand registration during the period beginning 60 days prior to our good faith estimate of the date of the filing of, and ending on a date 180 days following the effectiveness of, a registration statement relating to the public offering of our common stock.</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Piggyback Registration Rights</w:t>
      </w:r>
    </w:p>
    <w:p>
      <w:pPr>
        <w:spacing w:after="0" w:line="175"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After the completion of this offering, if we propose to register the offer and sale of our common stock under the Securities Act, in connection with the public offering of such common stock the holders of up to shares of our common stock will be entitled to certain “piggyback” registration rights allowing the holders to include their shares in such registration, subject to certain marketing and other limitations. As a result, whenever we propose to file a registration statement under the Securities Act, other than with respect to (i) a demand registration, (ii) a registration related to any employee benefit plan or a corporate reorganization or other transaction covered by Rule 145 promulgated under the Securities Act, (iii) a registration on any registration form which does not include substantially the same information as would be required to be included in a registration statement covering the sale of the shares, or</w:t>
      </w:r>
    </w:p>
    <w:p>
      <w:pPr>
        <w:spacing w:after="0" w:line="5" w:lineRule="exact"/>
        <w:rPr>
          <w:sz w:val="20"/>
          <w:szCs w:val="20"/>
          <w:color w:val="auto"/>
        </w:rPr>
      </w:pPr>
    </w:p>
    <w:p>
      <w:pPr>
        <w:ind w:right="100" w:firstLine="8"/>
        <w:spacing w:after="0" w:line="255" w:lineRule="auto"/>
        <w:tabs>
          <w:tab w:leader="none" w:pos="30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registration in which the only common stock being registered is common stock issuable upon conversion of debt securities that are also being registered, the holders of these shares are entitled to notice of the registration and have the right, subject to certain limitations, to include their shares in the registration.</w:t>
      </w:r>
    </w:p>
    <w:p>
      <w:pPr>
        <w:spacing w:after="0" w:line="1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S-3 Registration Rights</w:t>
      </w:r>
    </w:p>
    <w:p>
      <w:pPr>
        <w:spacing w:after="0" w:line="175"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After the completion of this offering, the holders of up to shares of our common stock will be entitled to certain Form S-3 registration rights. The holders of at least 20% of these shares may make a written request that we register the offer and sale of their shares on a registration statement on Form S-3 if we are eligible to file a registration statement on Form S-3 so long as the request covers securities the anticipated aggregate public offering price of which is at least $15,000,000, net of any underwriters’ discounts or commissions. These stockholders may make an unlimited number of requests for registration on Form S-3; however, we will not be required to effect a registration on Form S-3 if we have effected two such registrations within the 12-month period preceding the date of the request. Additionally, if we determine that it would be seriously detrimental to us and our stockholders to effect such a registration, we have the right to defer such registration, not more than once in any 12-month period, for a period of up to 90 days.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w:t>
      </w:r>
    </w:p>
    <w:p>
      <w:pPr>
        <w:spacing w:after="0" w:line="1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Certain provisions of Delaware law, our amended and restated certificate of incorporation and our amended and restated bylaws, which will become effective immediately prior to the completion of this offering, which are summarized below, may have the effect of delaying, deferring, or discouraging another person from acquiring control of us.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Delaware Law</w:t>
      </w:r>
    </w:p>
    <w:p>
      <w:pPr>
        <w:spacing w:after="0" w:line="175"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We will be governed by the provisions of Section 203 of the Delaware General Corporation Law. In general, Section 203 prohibits a public Delaware corporation from engaging in a “business combination” with an “interested stockholder” for a period of three years after the date of the transaction in which the person became an interested stockholder, unless:</w:t>
      </w:r>
    </w:p>
    <w:p>
      <w:pPr>
        <w:spacing w:after="0" w:line="122" w:lineRule="exact"/>
        <w:rPr>
          <w:sz w:val="20"/>
          <w:szCs w:val="20"/>
          <w:color w:val="auto"/>
        </w:rPr>
      </w:pPr>
    </w:p>
    <w:p>
      <w:pPr>
        <w:ind w:left="660" w:right="540" w:hanging="328"/>
        <w:spacing w:after="0" w:line="282" w:lineRule="auto"/>
        <w:tabs>
          <w:tab w:leader="none" w:pos="65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or transaction which resulted in the stockholder becoming an interested stockholder was approved by the board of directors prior to the time that the stockholder became an interested stockholder;</w:t>
      </w:r>
    </w:p>
    <w:p>
      <w:pPr>
        <w:spacing w:after="0" w:line="10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5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shares owned by directors who are also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219</w:t>
      </w:r>
    </w:p>
    <w:p>
      <w:pPr>
        <w:sectPr>
          <w:pgSz w:w="11900" w:h="16838" w:orient="portrait"/>
          <w:cols w:equalWidth="0" w:num="1">
            <w:col w:w="11240"/>
          </w:cols>
          <w:pgMar w:left="320" w:top="124" w:right="339" w:bottom="1440" w:gutter="0" w:footer="0" w:header="0"/>
        </w:sectPr>
      </w:pPr>
    </w:p>
    <w:bookmarkStart w:id="232" w:name="page233"/>
    <w:bookmarkEnd w:id="232"/>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60" w:right="700"/>
        <w:spacing w:after="0" w:line="282" w:lineRule="auto"/>
        <w:rPr>
          <w:sz w:val="20"/>
          <w:szCs w:val="20"/>
          <w:color w:val="auto"/>
        </w:rPr>
      </w:pPr>
      <w:r>
        <w:rPr>
          <w:rFonts w:ascii="Times New Roman" w:cs="Times New Roman" w:eastAsia="Times New Roman" w:hAnsi="Times New Roman"/>
          <w:sz w:val="18"/>
          <w:szCs w:val="18"/>
          <w:color w:val="auto"/>
        </w:rPr>
        <w:t>officers of the corporation and shares owned by employee stock plans in which employee participants do not have the right to determine confidentially whether shares held subject to the plan will be tendered in a tender or exchange offer; or</w:t>
      </w:r>
    </w:p>
    <w:p>
      <w:pPr>
        <w:spacing w:after="0" w:line="108" w:lineRule="exact"/>
        <w:rPr>
          <w:sz w:val="20"/>
          <w:szCs w:val="20"/>
          <w:color w:val="auto"/>
        </w:rPr>
      </w:pPr>
    </w:p>
    <w:p>
      <w:pPr>
        <w:ind w:left="660" w:right="20" w:hanging="328"/>
        <w:spacing w:after="0" w:line="266" w:lineRule="auto"/>
        <w:tabs>
          <w:tab w:leader="none" w:pos="65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the time the stockholder became an interested stockholder, the business combination was approved by the board of directors and authorized at an annual or special meeting of the stockholders, and not by written consent, by the affirmative vote of at least two-thirds of the outstanding voting stock which is not owned by the interested stockholder.</w:t>
      </w:r>
    </w:p>
    <w:p>
      <w:pPr>
        <w:spacing w:after="0" w:line="122" w:lineRule="exact"/>
        <w:rPr>
          <w:sz w:val="20"/>
          <w:szCs w:val="20"/>
          <w:color w:val="auto"/>
        </w:rPr>
      </w:pPr>
    </w:p>
    <w:p>
      <w:pPr>
        <w:jc w:val="center"/>
        <w:ind w:right="100"/>
        <w:spacing w:after="0" w:line="289" w:lineRule="auto"/>
        <w:rPr>
          <w:sz w:val="20"/>
          <w:szCs w:val="20"/>
          <w:color w:val="auto"/>
        </w:rPr>
      </w:pPr>
      <w:r>
        <w:rPr>
          <w:rFonts w:ascii="Times New Roman" w:cs="Times New Roman" w:eastAsia="Times New Roman" w:hAnsi="Times New Roman"/>
          <w:sz w:val="17"/>
          <w:szCs w:val="17"/>
          <w:color w:val="auto"/>
        </w:rPr>
        <w:t>In general, Section 203 defines a “business combination” to include mergers, asset sales, and other transactions resulting in financial benefit to a stockholder and an “interested stockholder” as a person who, together with affiliates and associates, owns, or within three years did own, 15% or more of the corporation’s outstanding voting stock. These provisions may have the effect of delaying, deferring, or preventing changes in control of our company.</w:t>
      </w:r>
    </w:p>
    <w:p>
      <w:pPr>
        <w:spacing w:after="0" w:line="1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Certificate of Incorporation and Amended and Restated Bylaw Provisions</w:t>
      </w:r>
    </w:p>
    <w:p>
      <w:pPr>
        <w:spacing w:after="0" w:line="175"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which will become effective immediately prior to the completion of this offering, will include a number of provisions that could deter hostile takeovers or delay or prevent changes in control of our board of directors or management team, including the following:</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Board of Directors Vacancies</w:t>
      </w:r>
    </w:p>
    <w:p>
      <w:pPr>
        <w:spacing w:after="0" w:line="173"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will authorize only our board of directors to fill vacant directorships, including newly created seats. In addition, the number of directors constituting our board of directors will be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will make it more difficult to change the composition of our board of directors and will promote continuity of management.</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Stockholder Action; Special Meeting of Stockholders</w:t>
      </w:r>
    </w:p>
    <w:p>
      <w:pPr>
        <w:spacing w:after="0" w:line="173"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our stockholders may not take action by written consent, but may only take action at annual or special meetings of our stockholders. As a result, a holder controlling a majority of our capital stock would not be able to amend our amended and restated bylaws or remove directors without holding a meeting of our stockholders called in accordance with our amended and restated bylaws. Our amended and restated bylaws will further provide that special meetings of our stockholders may be called only by a majority of our board of directors, the chairperson of our board of directors or our Chief Executive Officer,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Advance Notice Requirements for Stockholder Proposals and Director Nominations</w:t>
      </w:r>
    </w:p>
    <w:p>
      <w:pPr>
        <w:spacing w:after="0" w:line="17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amended and restated bylaws will provide advance notice procedures for stockholders seeking to bring business before our annual meeting of stockholders or to nominate candidates for election as directors at our annual meeting of stockholders. Our amended and restated bylaws will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our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220</w:t>
      </w:r>
    </w:p>
    <w:p>
      <w:pPr>
        <w:sectPr>
          <w:pgSz w:w="11900" w:h="16838" w:orient="portrait"/>
          <w:cols w:equalWidth="0" w:num="1">
            <w:col w:w="11160"/>
          </w:cols>
          <w:pgMar w:left="320" w:top="124" w:right="419" w:bottom="1440" w:gutter="0" w:footer="0" w:header="0"/>
        </w:sectPr>
      </w:pPr>
    </w:p>
    <w:bookmarkStart w:id="233" w:name="page234"/>
    <w:bookmarkEnd w:id="233"/>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 Cumulative Voting</w:t>
      </w:r>
    </w:p>
    <w:p>
      <w:pPr>
        <w:spacing w:after="0" w:line="173" w:lineRule="exact"/>
        <w:rPr>
          <w:sz w:val="20"/>
          <w:szCs w:val="20"/>
          <w:color w:val="auto"/>
        </w:rPr>
      </w:pPr>
    </w:p>
    <w:p>
      <w:pPr>
        <w:ind w:right="60" w:firstLine="324"/>
        <w:spacing w:after="0" w:line="312" w:lineRule="auto"/>
        <w:rPr>
          <w:sz w:val="20"/>
          <w:szCs w:val="20"/>
          <w:color w:val="auto"/>
        </w:rPr>
      </w:pPr>
      <w:r>
        <w:rPr>
          <w:rFonts w:ascii="Times New Roman" w:cs="Times New Roman" w:eastAsia="Times New Roman" w:hAnsi="Times New Roman"/>
          <w:sz w:val="17"/>
          <w:szCs w:val="17"/>
          <w:color w:val="auto"/>
        </w:rPr>
        <w:t>The Delaware General Corporation Law provides that stockholders are not entitled to cumulate votes in the election of directors unless a corporation’s certificate of incorporation provides otherwise. Our amended and restated certificate of incorporation does not provide for cumulative voting.</w:t>
      </w:r>
    </w:p>
    <w:p>
      <w:pPr>
        <w:spacing w:after="0" w:line="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Amendment of Charter and Bylaws Provisions</w:t>
      </w:r>
    </w:p>
    <w:p>
      <w:pPr>
        <w:spacing w:after="0" w:line="173"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Amendments to our amended and restated certificate of incorporation will require the approval of the holders of at least of our then outstanding capital stock. Our amended and restated bylaws will provide that the approval of stockholders holding at least of our then outstanding capital stock is required for stockholders to amend or adopt any provision of our bylaws.</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Issuance of Undesignated Preferred Stock</w:t>
      </w:r>
    </w:p>
    <w:p>
      <w:pPr>
        <w:spacing w:after="0" w:line="173"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Our board of directors will have the authority, without further action by our stockholders, to issue up to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means of a merger, tender offer, proxy contest or other means.</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Exclusive Forum</w:t>
      </w:r>
    </w:p>
    <w:p>
      <w:pPr>
        <w:spacing w:after="0" w:line="17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unless we consent in writing to the selection of an alternative forum, the sole and exclusive forum for (i) any derivative action or proceeding brought on our behalf, (ii) any action asserting a claim of breach of a fiduciary duty owed by any of our directors, officers, or other employees to us or our stockholders, (iii) any action asserting a claim against the company or any director or officer of the company arising pursuant to any provision of the Delaware General Corporation Law, (iv) any action to interpret, apply, enforce, or determine the validity of our amended and restated certificate of incorporation or amended and restated bylaws, or (v) any other action asserting a claim that is governed by the internal affairs doctrine shall be a state or federal court located within the State of Delaware, in all cases subject to the court’s having jurisdiction over indispensable parties named as defendants. Nothing in our amended and restated bylaws precludes stockholders that assert claims under the Exchange Act from bringing such claims in federal court, subject to applicable law. Our amended and restated bylaws will also provide that the federal district courts of the United States of America will be the exclusive forum for resolving any complaint asserting a course of action under the Securities Act. Any person or entity purchasing or otherwise acquiring any interest in our securities shall be deemed to have notice of and consented to these provisions. We note that stockholders cannot waive compliance (or consent to non-compliance) with the federal securities laws and the rules and regulations thereunder.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75"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Upon the completion of this offering, the transfer agent and registrar for our common stock will be Computershare Trust Company, N.A. The transfer agent and registrar’s address is 150 Royall Street, Canton, Massachusetts 02021.</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of Liability and Indemnification</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the section titled “Certain Relationships and Related Party Transactions—Limitation of Liability and Indemnification of Officers and Directors.”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intend to apply for the listing of our common stock on the Nasdaq Global Select Market under the symbol “CHYM”.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221</w:t>
      </w:r>
    </w:p>
    <w:p>
      <w:pPr>
        <w:sectPr>
          <w:pgSz w:w="11900" w:h="16838" w:orient="portrait"/>
          <w:cols w:equalWidth="0" w:num="1">
            <w:col w:w="11220"/>
          </w:cols>
          <w:pgMar w:left="320" w:top="124" w:right="359" w:bottom="1440" w:gutter="0" w:footer="0" w:header="0"/>
        </w:sectPr>
      </w:pPr>
    </w:p>
    <w:bookmarkStart w:id="234" w:name="page235"/>
    <w:bookmarkEnd w:id="234"/>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175" w:lineRule="exact"/>
        <w:rPr>
          <w:sz w:val="20"/>
          <w:szCs w:val="20"/>
          <w:color w:val="auto"/>
        </w:rPr>
      </w:pPr>
    </w:p>
    <w:p>
      <w:pPr>
        <w:ind w:right="60" w:firstLine="324"/>
        <w:spacing w:after="0" w:line="274" w:lineRule="auto"/>
        <w:rPr>
          <w:sz w:val="20"/>
          <w:szCs w:val="20"/>
          <w:color w:val="auto"/>
        </w:rPr>
      </w:pPr>
      <w:r>
        <w:rPr>
          <w:rFonts w:ascii="Times New Roman" w:cs="Times New Roman" w:eastAsia="Times New Roman" w:hAnsi="Times New Roman"/>
          <w:sz w:val="17"/>
          <w:szCs w:val="17"/>
          <w:color w:val="auto"/>
        </w:rPr>
        <w:t>Prior to this offering, there has been no public market for our common stock, and we cannot predict the effect, if any, that market sales of shares of our common stock or the availability of shares of our common stock for sale will have on the market price of our common stock prevailing from time to time. Future sales of our common stock in the public market, or the availability of such shares for sale in the public market, could adversely affect market prices prevailing from time to time. As described below, only a limited number of shares of our common stock will be available for sale shortly after this offering due to contractual and legal restrictions on resale. Nevertheless, sales of our common stock in the public market after such restrictions lapse, or the perception that those sales may occur, could adversely affect the prevailing market price at such time and our ability to raise equity capital in the future.</w:t>
      </w:r>
    </w:p>
    <w:p>
      <w:pPr>
        <w:spacing w:after="0" w:line="119" w:lineRule="exact"/>
        <w:rPr>
          <w:sz w:val="20"/>
          <w:szCs w:val="20"/>
          <w:color w:val="auto"/>
        </w:rPr>
      </w:pPr>
    </w:p>
    <w:p>
      <w:pPr>
        <w:jc w:val="both"/>
        <w:ind w:right="200" w:firstLine="324"/>
        <w:spacing w:after="0" w:line="257" w:lineRule="auto"/>
        <w:rPr>
          <w:sz w:val="20"/>
          <w:szCs w:val="20"/>
          <w:color w:val="auto"/>
        </w:rPr>
      </w:pPr>
      <w:r>
        <w:rPr>
          <w:rFonts w:ascii="Times New Roman" w:cs="Times New Roman" w:eastAsia="Times New Roman" w:hAnsi="Times New Roman"/>
          <w:sz w:val="18"/>
          <w:szCs w:val="18"/>
          <w:color w:val="auto"/>
        </w:rPr>
        <w:t>Following the completion of this offering, based on the number of shares of our capital stock outstanding as of December 31, 2024 and assuming the Preferred Stock Conversion and RSU Settlement occurred as of December 31, 2024, we will have a total of shares of our common stock outstanding. Of these outstanding shares, all shares of our common stock sold in this offering will be freely tradable, except that any shares purchased in this</w:t>
      </w:r>
    </w:p>
    <w:p>
      <w:pPr>
        <w:spacing w:after="0" w:line="1" w:lineRule="exact"/>
        <w:rPr>
          <w:sz w:val="20"/>
          <w:szCs w:val="20"/>
          <w:color w:val="auto"/>
        </w:rPr>
      </w:pPr>
    </w:p>
    <w:p>
      <w:pPr>
        <w:ind w:right="540"/>
        <w:spacing w:after="0" w:line="260" w:lineRule="auto"/>
        <w:rPr>
          <w:sz w:val="20"/>
          <w:szCs w:val="20"/>
          <w:color w:val="auto"/>
        </w:rPr>
      </w:pPr>
      <w:r>
        <w:rPr>
          <w:rFonts w:ascii="Times New Roman" w:cs="Times New Roman" w:eastAsia="Times New Roman" w:hAnsi="Times New Roman"/>
          <w:sz w:val="18"/>
          <w:szCs w:val="18"/>
          <w:color w:val="auto"/>
        </w:rPr>
        <w:t>offering by our affiliates, as that term is defined in Rule 144 under the Securities Act, would only be able to be sold in compliance with the Rule 144 limitations described below.</w:t>
      </w:r>
    </w:p>
    <w:p>
      <w:pPr>
        <w:spacing w:after="0" w:line="127" w:lineRule="exact"/>
        <w:rPr>
          <w:sz w:val="20"/>
          <w:szCs w:val="20"/>
          <w:color w:val="auto"/>
        </w:rPr>
      </w:pPr>
    </w:p>
    <w:p>
      <w:pPr>
        <w:jc w:val="both"/>
        <w:ind w:right="40" w:firstLine="324"/>
        <w:spacing w:after="0" w:line="257" w:lineRule="auto"/>
        <w:rPr>
          <w:sz w:val="20"/>
          <w:szCs w:val="20"/>
          <w:color w:val="auto"/>
        </w:rPr>
      </w:pPr>
      <w:r>
        <w:rPr>
          <w:rFonts w:ascii="Times New Roman" w:cs="Times New Roman" w:eastAsia="Times New Roman" w:hAnsi="Times New Roman"/>
          <w:sz w:val="18"/>
          <w:szCs w:val="18"/>
          <w:color w:val="auto"/>
        </w:rPr>
        <w:t>The remaining outstanding shares of our common stock will be, and shares underlying outstanding RSUs and PSUs and shares subject to stock options will be upon issuance, deemed “restricted securities” as defined in Rule 144 under the Securities Act. Restricted securities may be sold in the public market only if they are registered under the Securities Act or if they qualify for an exemption from registration under Rule 144 or Rule 701 under the</w:t>
      </w:r>
    </w:p>
    <w:p>
      <w:pPr>
        <w:spacing w:after="0" w:line="1" w:lineRule="exact"/>
        <w:rPr>
          <w:sz w:val="20"/>
          <w:szCs w:val="20"/>
          <w:color w:val="auto"/>
        </w:rPr>
      </w:pPr>
    </w:p>
    <w:p>
      <w:pPr>
        <w:jc w:val="both"/>
        <w:ind w:right="260"/>
        <w:spacing w:after="0" w:line="255" w:lineRule="auto"/>
        <w:rPr>
          <w:sz w:val="20"/>
          <w:szCs w:val="20"/>
          <w:color w:val="auto"/>
        </w:rPr>
      </w:pPr>
      <w:r>
        <w:rPr>
          <w:rFonts w:ascii="Times New Roman" w:cs="Times New Roman" w:eastAsia="Times New Roman" w:hAnsi="Times New Roman"/>
          <w:sz w:val="18"/>
          <w:szCs w:val="18"/>
          <w:color w:val="auto"/>
        </w:rPr>
        <w:t>Securities Act, which rules are summarized below. As a result of the lock-up and market standoff agreements described below and the provisions of our IRA described in the section titled “Description of Capital Stock—Registration Rights,” and subject to the provisions of Rule 144 or Rule 701, shares of our common stock will be available for sale in the public market as follows:</w:t>
      </w:r>
    </w:p>
    <w:p>
      <w:pPr>
        <w:sectPr>
          <w:pgSz w:w="11900" w:h="16838" w:orient="portrait"/>
          <w:cols w:equalWidth="0" w:num="1">
            <w:col w:w="11240"/>
          </w:cols>
          <w:pgMar w:left="320" w:top="124" w:right="339" w:bottom="1440" w:gutter="0" w:footer="0" w:header="0"/>
        </w:sectPr>
      </w:pPr>
    </w:p>
    <w:p>
      <w:pPr>
        <w:spacing w:after="0" w:line="1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ind w:hanging="4"/>
        <w:spacing w:after="0" w:line="282" w:lineRule="auto"/>
        <w:rPr>
          <w:sz w:val="20"/>
          <w:szCs w:val="20"/>
          <w:color w:val="auto"/>
        </w:rPr>
      </w:pPr>
      <w:r>
        <w:rPr>
          <w:rFonts w:ascii="Times New Roman" w:cs="Times New Roman" w:eastAsia="Times New Roman" w:hAnsi="Times New Roman"/>
          <w:sz w:val="18"/>
          <w:szCs w:val="18"/>
          <w:color w:val="auto"/>
        </w:rPr>
        <w:t>beginning on the date of this prospectus, all public market; and</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our common stock sold in this offering will be immediately available for sale in the</w:t>
      </w:r>
    </w:p>
    <w:p>
      <w:pPr>
        <w:spacing w:after="0" w:line="387" w:lineRule="exact"/>
        <w:rPr>
          <w:sz w:val="20"/>
          <w:szCs w:val="20"/>
          <w:color w:val="auto"/>
        </w:rPr>
      </w:pPr>
    </w:p>
    <w:p>
      <w:pPr>
        <w:sectPr>
          <w:pgSz w:w="11900" w:h="16838" w:orient="portrait"/>
          <w:cols w:equalWidth="0" w:num="3">
            <w:col w:w="400" w:space="260"/>
            <w:col w:w="3120" w:space="320"/>
            <w:col w:w="7140"/>
          </w:cols>
          <w:pgMar w:left="320" w:top="124" w:right="339"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ind w:right="300" w:hanging="4"/>
        <w:spacing w:after="0" w:line="266" w:lineRule="auto"/>
        <w:rPr>
          <w:sz w:val="20"/>
          <w:szCs w:val="20"/>
          <w:color w:val="auto"/>
        </w:rPr>
      </w:pPr>
      <w:r>
        <w:rPr>
          <w:rFonts w:ascii="Times New Roman" w:cs="Times New Roman" w:eastAsia="Times New Roman" w:hAnsi="Times New Roman"/>
          <w:sz w:val="18"/>
          <w:szCs w:val="18"/>
          <w:color w:val="auto"/>
        </w:rPr>
        <w:t>beginning</w:t>
      </w:r>
      <w:r>
        <w:rPr>
          <w:sz w:val="20"/>
          <w:szCs w:val="20"/>
          <w:color w:val="auto"/>
        </w:rPr>
        <w:t xml:space="preserve"> </w:t>
      </w:r>
      <w:r>
        <w:rPr>
          <w:rFonts w:ascii="Times New Roman" w:cs="Times New Roman" w:eastAsia="Times New Roman" w:hAnsi="Times New Roman"/>
          <w:sz w:val="18"/>
          <w:szCs w:val="18"/>
          <w:color w:val="auto"/>
        </w:rPr>
        <w:t>days after the date of this prospectus (subject to the terms of the lock-up and market standoff agreements described below) additional shares will become eligible for sale in the public market, of which shares will be held by affiliates and subject to the volume and other restrictions of Rule 144, as described below.</w:t>
      </w:r>
    </w:p>
    <w:p>
      <w:pPr>
        <w:spacing w:after="0" w:line="118" w:lineRule="exact"/>
        <w:rPr>
          <w:sz w:val="20"/>
          <w:szCs w:val="20"/>
          <w:color w:val="auto"/>
        </w:rPr>
      </w:pPr>
    </w:p>
    <w:p>
      <w:pPr>
        <w:sectPr>
          <w:pgSz w:w="11900" w:h="16838" w:orient="portrait"/>
          <w:cols w:equalWidth="0" w:num="2">
            <w:col w:w="400" w:space="260"/>
            <w:col w:w="10580"/>
          </w:cols>
          <w:pgMar w:left="320" w:top="12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Lock-Up and Market Standoff Agreements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and all of our directors and officers and the holders of substantially all of our outstanding capital stock and securities convertible into or exercisable or exchangeable for our capital stock have agreed that, without the prior written consent of , on behalf of the underwriters, subject to certain exceptions, we and they will not, and will not publicly disclose an intention to, during the period ending days after the date of this prospectus (the “restricted period”):</w:t>
      </w:r>
    </w:p>
    <w:p>
      <w:pPr>
        <w:spacing w:after="0" w:line="126" w:lineRule="exact"/>
        <w:rPr>
          <w:sz w:val="20"/>
          <w:szCs w:val="20"/>
          <w:color w:val="auto"/>
        </w:rPr>
      </w:pPr>
    </w:p>
    <w:p>
      <w:pPr>
        <w:ind w:left="660" w:right="120" w:hanging="328"/>
        <w:spacing w:after="0" w:line="266" w:lineRule="auto"/>
        <w:tabs>
          <w:tab w:leader="none" w:pos="65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121"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confidentially submit or file any registration statement with the SEC relating to the offering of any shares of common stock or any securities convertible into or exercisable or exchangeable for common stock; or</w:t>
      </w:r>
    </w:p>
    <w:p>
      <w:pPr>
        <w:spacing w:after="0" w:line="107"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arrangement that transfers to another, in whole or in part, any of the economic consequences of ownership of the common stock;</w:t>
      </w:r>
    </w:p>
    <w:p>
      <w:pPr>
        <w:spacing w:after="0" w:line="108"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whether any such transaction described above is to be settled by delivery of common stock or such other securities, in cash or otherwise. In addition, we and each such person have agreed that, without the prior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222</w:t>
      </w:r>
    </w:p>
    <w:p>
      <w:pPr>
        <w:sectPr>
          <w:pgSz w:w="11900" w:h="16838" w:orient="portrait"/>
          <w:cols w:equalWidth="0" w:num="1">
            <w:col w:w="11240"/>
          </w:cols>
          <w:pgMar w:left="320" w:top="124" w:right="339" w:bottom="1440" w:gutter="0" w:footer="0" w:header="0"/>
          <w:type w:val="continuous"/>
        </w:sectPr>
      </w:pPr>
    </w:p>
    <w:bookmarkStart w:id="235" w:name="page236"/>
    <w:bookmarkEnd w:id="235"/>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consent of , on behalf of the underwriters, we or such other person will not, during the restricted period, make any demand for, or exercise any right with respect to, the registration of any shares of common stock or any security convertible into or exercisable or exchangeable for common stock. The lock-up agreements described above are subject to a number of customary exceptions. , in discretion, may release the common stock and other securities subject to the lock-up agreements described above in whole or in part at any time. See “Underwriters” for more information about these exceptions and further description of these agreements.</w:t>
      </w:r>
    </w:p>
    <w:p>
      <w:pPr>
        <w:spacing w:after="0" w:line="1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In addition, our executive officers, certain of our directors, and holders of substantially all of our capital stock and securities convertible into or exercisable or exchangeable for our capital stock have entered into market standoff agreements with us under which they have agreed that, subject to certain exceptions, for a period of 180 days after the date of this prospectus, they will not, without our prior written consent, dispose of or hedge any shares or any securities convertible into or exercisable or exchangeable for shares of our common stock.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general, Rule 144 provides that once we have been subject to the public company reporting requirements of Section 13 or Section 15(d) of the Exchange Act for at least 90 days, a person who is not deemed to have been one of our affiliates for purposes of the Securities Act at any time during the 90 days preceding a sale and who has beneficially owned the shares of our common stock proposed to be sold for at least six months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133"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In general, our affiliates or persons selling shares of our common stock on behalf of our affiliates are entitled to sell upon expiration of the market standoff agreements and lock-up agreements described above, in reliance on rule 144, within any three-month period, a number of shares of our common stock that does not exceed the greater of:</w:t>
      </w:r>
    </w:p>
    <w:p>
      <w:pPr>
        <w:spacing w:after="0" w:line="122" w:lineRule="exact"/>
        <w:rPr>
          <w:sz w:val="20"/>
          <w:szCs w:val="20"/>
          <w:color w:val="auto"/>
        </w:rPr>
      </w:pPr>
    </w:p>
    <w:p>
      <w:pPr>
        <w:ind w:left="340"/>
        <w:spacing w:after="0"/>
        <w:tabs>
          <w:tab w:leader="none" w:pos="640" w:val="left"/>
          <w:tab w:leader="none" w:pos="6880" w:val="left"/>
        </w:tabs>
        <w:rPr>
          <w:sz w:val="20"/>
          <w:szCs w:val="20"/>
          <w:color w:val="auto"/>
        </w:rPr>
      </w:pPr>
      <w:r>
        <w:rPr>
          <w:rFonts w:ascii="Times New Roman" w:cs="Times New Roman" w:eastAsia="Times New Roman" w:hAnsi="Times New Roman"/>
          <w:sz w:val="18"/>
          <w:szCs w:val="18"/>
          <w:color w:val="auto"/>
        </w:rPr>
        <w:t>•</w:t>
        <w:tab/>
        <w:t>1% of the number of shares of our capital stock then outstanding, which will equal</w:t>
      </w:r>
      <w:r>
        <w:rPr>
          <w:sz w:val="20"/>
          <w:szCs w:val="20"/>
          <w:color w:val="auto"/>
        </w:rPr>
        <w:tab/>
      </w:r>
      <w:r>
        <w:rPr>
          <w:rFonts w:ascii="Times New Roman" w:cs="Times New Roman" w:eastAsia="Times New Roman" w:hAnsi="Times New Roman"/>
          <w:sz w:val="18"/>
          <w:szCs w:val="18"/>
          <w:color w:val="auto"/>
        </w:rPr>
        <w:t>shares immediately after the completion of this offering; or</w:t>
      </w:r>
    </w:p>
    <w:p>
      <w:pPr>
        <w:spacing w:after="0" w:line="171" w:lineRule="exact"/>
        <w:rPr>
          <w:sz w:val="20"/>
          <w:szCs w:val="20"/>
          <w:color w:val="auto"/>
        </w:rPr>
      </w:pPr>
    </w:p>
    <w:p>
      <w:pPr>
        <w:ind w:left="660" w:right="60" w:hanging="328"/>
        <w:spacing w:after="0" w:line="282" w:lineRule="auto"/>
        <w:tabs>
          <w:tab w:leader="none" w:pos="65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our common stock during the four calendar weeks preceding the filing of a notice on Form 144 with respect to that sale.</w:t>
      </w:r>
    </w:p>
    <w:p>
      <w:pPr>
        <w:spacing w:after="0" w:line="108"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Sales of our common stock made in reliance upon Rule 144 by our affiliates or persons selling shares of our common stock on behalf of our affiliates are also subject to certain manner of sale provisions and notice requirements and to the availability of current public information about us.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75"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Rule 701 generally allows a stockholder who purchased or received shares of our capital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to wait until 90 days after the date of this prospectus before selling those shares pursuant to Rule 701.</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7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Pursuant to our IRA, after the completion of this offering, the holders of up to shares of our common stock, or certain transferees, will be entitled to certain rights with respect to the registration of the offer and sale of those shares under the Securities Act. See the section titled “Description of Capital Stock—Registration Rights” for a description of these registration rights. If the offer and sale of these shares of our common stock are registered,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223</w:t>
      </w:r>
    </w:p>
    <w:p>
      <w:pPr>
        <w:sectPr>
          <w:pgSz w:w="11900" w:h="16838" w:orient="portrait"/>
          <w:cols w:equalWidth="0" w:num="1">
            <w:col w:w="11240"/>
          </w:cols>
          <w:pgMar w:left="320" w:top="124" w:right="339" w:bottom="1440" w:gutter="0" w:footer="0" w:header="0"/>
        </w:sectPr>
      </w:pPr>
    </w:p>
    <w:bookmarkStart w:id="236" w:name="page237"/>
    <w:bookmarkEnd w:id="236"/>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shares will be freely tradable without restriction under the Securities Act, subject to the Rule 144 limitations applicable to affiliates, and a large number of shares may be sold into the public market.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Statement on Form S-8</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intend to file a registration statement on Form S-8 under the Securities Act promptly after the effectiveness of this offering to register shares of our common stock subject to RSUs, PSUs, and options outstanding, as well as reserved for future issuance, under our 2012 Plan, 2025 Plan, and ESPP. The registration statement on Form S-8 is expected to become effective immediately upon filing, and shares of our common stock covered by the registration statement will then become eligible for sale in the public market, subject to the Rule 144 limitations applicable to affiliates, vesting restrictions and any applicable market standoff agreements and lock-up agreements. See the section titled “Executive Compensation—Employee Benefit and Stock Plans” for a description of our equity compensation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224</w:t>
      </w:r>
    </w:p>
    <w:p>
      <w:pPr>
        <w:sectPr>
          <w:pgSz w:w="11900" w:h="16838" w:orient="portrait"/>
          <w:cols w:equalWidth="0" w:num="1">
            <w:col w:w="11200"/>
          </w:cols>
          <w:pgMar w:left="320" w:top="124" w:right="379" w:bottom="1440" w:gutter="0" w:footer="0" w:header="0"/>
        </w:sectPr>
      </w:pPr>
    </w:p>
    <w:bookmarkStart w:id="237" w:name="page238"/>
    <w:bookmarkEnd w:id="237"/>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TO NON-U.S. HOLDERS OF OUR COMMON STOCK</w:t>
      </w:r>
    </w:p>
    <w:p>
      <w:pPr>
        <w:spacing w:after="0" w:line="17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following is a summary of the material U.S. federal income tax consequences to certain non-U.S. holders (as defined below) of the ownership and disposition of our common stock but does not purport to be a complete analysis of all the potential tax considerations relating thereto. This summary is based upon the provisions of the Code, the Treasury regulations promulgated thereunder, administrative rulings, and judicial decisions, all as of the date hereof. These authorities may be changed, possibly retroactively, so as to result in U.S. federal income tax consequences different from those set forth below.</w:t>
      </w:r>
    </w:p>
    <w:p>
      <w:pPr>
        <w:spacing w:after="0" w:line="129"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This summary does not address the tax considerations arising under the laws of any state, local or non-U.S. jurisdiction, or under U.S. federal non-income tax laws (such as gift and estate tax laws), except to the limited extent set forth below. In addition, this discussion does not address tax considerations applicable to a non-U.S. holder’s particular circumstances or non-U.S. holders that may be subject to special tax rules, including, without limitation:</w:t>
      </w:r>
    </w:p>
    <w:p>
      <w:pPr>
        <w:spacing w:after="0" w:line="126" w:lineRule="exact"/>
        <w:rPr>
          <w:sz w:val="20"/>
          <w:szCs w:val="20"/>
          <w:color w:val="auto"/>
        </w:rPr>
      </w:pPr>
    </w:p>
    <w:p>
      <w:pPr>
        <w:ind w:left="660" w:right="180" w:hanging="328"/>
        <w:spacing w:after="0" w:line="282" w:lineRule="auto"/>
        <w:tabs>
          <w:tab w:leader="none" w:pos="65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or other financial institutions (except to the extent specifically set forth below), regulated investment companies or real estate investment trusts;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the alternative minimum tax or Medicare contribution tax on net investment income;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or governmental organizations;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 or tax-exempt retirement plans;</w:t>
      </w:r>
    </w:p>
    <w:p>
      <w:pPr>
        <w:spacing w:after="0" w:line="17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and corporations that accumulate earnings to avoid U.S. federal income tax;</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or dealers in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or other persons that elect to use a mark-to-market method of accounting for their holdings in our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are deemed to own, more than five percent of our capital stock (except to the extent specifically set forth below);</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citizens or long-term residents of the United States;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entities classified as partnerships for U.S. federal income tax purposes or other pass-through entities (and investors therein);</w:t>
      </w:r>
    </w:p>
    <w:p>
      <w:pPr>
        <w:spacing w:after="0" w:line="171" w:lineRule="exact"/>
        <w:rPr>
          <w:rFonts w:ascii="Times New Roman" w:cs="Times New Roman" w:eastAsia="Times New Roman" w:hAnsi="Times New Roman"/>
          <w:sz w:val="18"/>
          <w:szCs w:val="18"/>
          <w:color w:val="auto"/>
        </w:rPr>
      </w:pPr>
    </w:p>
    <w:p>
      <w:pPr>
        <w:ind w:left="660" w:right="780" w:hanging="328"/>
        <w:spacing w:after="0" w:line="282" w:lineRule="auto"/>
        <w:tabs>
          <w:tab w:leader="none" w:pos="65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our common stock as a position in a hedging transaction, “straddle,” “conversion transaction,” or other risk reduction transaction or integrated investment;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or receive our common stock pursuant to the exercise of any employee stock option or otherwise as compensation;</w:t>
      </w:r>
    </w:p>
    <w:p>
      <w:pPr>
        <w:spacing w:after="0" w:line="17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special tax accounting rules as a result of any item of gross income with respect to our common stock being taken into account in an “applicable financial statement” (as defined in Section 451(b) of the Code);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do not hold our common stock as a capital asset within the meaning of Section 1221 of the Code;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common stock under the constructive sale provisions of the Code.</w:t>
      </w:r>
    </w:p>
    <w:p>
      <w:pPr>
        <w:spacing w:after="0" w:line="171"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 addition, if a partnership, arrangement, or entity classified as a partnership or other pass-through entity for U.S. federal income tax purposes holds our common stock, the tax treatment of a partner in such partnership or owner in such pass-through entity generally will depend on the status of the partner or owner and upon the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225</w:t>
      </w:r>
    </w:p>
    <w:p>
      <w:pPr>
        <w:sectPr>
          <w:pgSz w:w="11900" w:h="16838" w:orient="portrait"/>
          <w:cols w:equalWidth="0" w:num="1">
            <w:col w:w="11180"/>
          </w:cols>
          <w:pgMar w:left="320" w:top="124" w:right="399" w:bottom="1440" w:gutter="0" w:footer="0" w:header="0"/>
        </w:sectPr>
      </w:pPr>
    </w:p>
    <w:bookmarkStart w:id="238" w:name="page239"/>
    <w:bookmarkEnd w:id="238"/>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of the partnership or other pass-through entity. Accordingly, partnerships and other pass-through entities that hold our common stock, and partners in such partnerships and owners in such other pass-through entities, should consult their tax advisors.</w:t>
      </w:r>
    </w:p>
    <w:p>
      <w:pPr>
        <w:spacing w:after="0" w:line="104" w:lineRule="exact"/>
        <w:rPr>
          <w:sz w:val="20"/>
          <w:szCs w:val="20"/>
          <w:color w:val="auto"/>
        </w:rPr>
      </w:pPr>
    </w:p>
    <w:p>
      <w:pPr>
        <w:ind w:right="500"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This discussion is for informational purposes only and is not tax advice. You are urged to consult your tax advisor with respect to the application of the U.S. federal income tax laws to your particular situation, as well as any tax consequences of the purchase, ownership, and disposition of our common stock arising under the U.S. federal gift or estate tax laws or under the laws of any state, local, non-U.S., or other taxing jurisdiction, or under any applicable tax treaty.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Non-U.S. Holder Defined</w:t>
      </w:r>
    </w:p>
    <w:p>
      <w:pPr>
        <w:spacing w:after="0" w:line="175" w:lineRule="exact"/>
        <w:rPr>
          <w:sz w:val="20"/>
          <w:szCs w:val="20"/>
          <w:color w:val="auto"/>
        </w:rPr>
      </w:pPr>
    </w:p>
    <w:p>
      <w:pPr>
        <w:ind w:right="560" w:firstLine="324"/>
        <w:spacing w:after="0" w:line="266" w:lineRule="auto"/>
        <w:rPr>
          <w:sz w:val="20"/>
          <w:szCs w:val="20"/>
          <w:color w:val="auto"/>
        </w:rPr>
      </w:pPr>
      <w:r>
        <w:rPr>
          <w:rFonts w:ascii="Times New Roman" w:cs="Times New Roman" w:eastAsia="Times New Roman" w:hAnsi="Times New Roman"/>
          <w:sz w:val="18"/>
          <w:szCs w:val="18"/>
          <w:color w:val="auto"/>
        </w:rPr>
        <w:t>For purposes of this discussion, you are a non-U.S. holder if you are any holder that is not a partnership, arrangement, or entity classified as a partnership or other pass-through entity for U.S. federal income tax purposes and are not, for U.S. federal income tax purposes, treated as any of the following:</w:t>
      </w:r>
    </w:p>
    <w:p>
      <w:pPr>
        <w:spacing w:after="0" w:line="122" w:lineRule="exact"/>
        <w:rPr>
          <w:sz w:val="20"/>
          <w:szCs w:val="20"/>
          <w:color w:val="auto"/>
        </w:rPr>
      </w:pPr>
    </w:p>
    <w:p>
      <w:pPr>
        <w:ind w:left="660" w:hanging="328"/>
        <w:spacing w:after="0"/>
        <w:tabs>
          <w:tab w:leader="none" w:pos="6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7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any other entity treated as a corporation for U.S. federal income tax purposes) created or organized in the United States or under the laws of the United States, any state thereof or the District of Columbia;</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U.S. federal income tax regardless of its source; or</w:t>
      </w:r>
    </w:p>
    <w:p>
      <w:pPr>
        <w:spacing w:after="0" w:line="171" w:lineRule="exact"/>
        <w:rPr>
          <w:rFonts w:ascii="Times New Roman" w:cs="Times New Roman" w:eastAsia="Times New Roman" w:hAnsi="Times New Roman"/>
          <w:sz w:val="18"/>
          <w:szCs w:val="18"/>
          <w:color w:val="auto"/>
        </w:rPr>
      </w:pPr>
    </w:p>
    <w:p>
      <w:pPr>
        <w:ind w:left="660" w:right="200" w:hanging="328"/>
        <w:spacing w:after="0" w:line="276" w:lineRule="auto"/>
        <w:tabs>
          <w:tab w:leader="none" w:pos="655"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trust (x) whose administration is subject to the primary supervision of a U.S. court and which has one or more “United States persons” (within the meaning of Section 7701(a)(30) of the Code) (“U.S. persons”) who have the authority to control all substantial decisions of the trust or</w:t>
      </w: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(y) which has made a valid election to be treated as a U.S. person.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75"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As described in the section titled “Dividend Policy,” we have never declared or paid cash dividends on our capital stock and do not anticipate paying any dividends on our capital stock in the foreseeable future. However, if we do make distributions on our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they will constitute a return of capital and will first reduce your basis in our common stock, but not below zero, and then will be treated as gain from the sale or other disposition of stock as described below under “—Gain on Disposition of Our Common Stock.”</w:t>
      </w:r>
    </w:p>
    <w:p>
      <w:pPr>
        <w:spacing w:after="0" w:line="133"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Except as otherwise described below in the section on effectively connected income and the sections titled “—Backup Withholding and Information Reporting” and “—FATCA,” any dividend paid to you generally will be subject to U.S. federal withholding tax either at a rate of 30% of the gross amount of the dividend or such lower rate as may be specified by an applicable income tax treaty between the United States and your country of residence. If we or another withholding agent apply over-withholding or if a non-U.S. holder does not timely provide us with the required certification, the non-U.S. holder may be entitled to a refund or credit of any excess U.S. federal withholding tax withheld by timely filing an appropriate claim with the IRS.</w:t>
      </w:r>
    </w:p>
    <w:p>
      <w:pPr>
        <w:spacing w:after="0" w:line="1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order to receive a reduced treaty rate, you must provide the applicable withholding agent with an IRS Form W-8BEN, IRS Form W-8BEN-E or other appropriate version of IRS Form W-8, including any required attachments and your taxpayer identification number, certifying qualification for the reduced rate; additionally you will be required to update such forms and certifications from time to time as required by law. If you are eligible for a reduced rate of U.S. withholding tax pursuant to an income tax treaty, you may obtain a refund of any excess amounts withheld by timely filing an appropriate claim for refund with the IRS. If you hold our stock through a financial institution or other agent acting on your behalf, you will be required to provide appropriate documentation to the agent, which then will be required to provide certification to us or our paying agent, either directly or through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226</w:t>
      </w:r>
    </w:p>
    <w:p>
      <w:pPr>
        <w:sectPr>
          <w:pgSz w:w="11900" w:h="16838" w:orient="portrait"/>
          <w:cols w:equalWidth="0" w:num="1">
            <w:col w:w="11220"/>
          </w:cols>
          <w:pgMar w:left="320" w:top="124" w:right="359" w:bottom="1440" w:gutter="0" w:footer="0" w:header="0"/>
        </w:sectPr>
      </w:pPr>
    </w:p>
    <w:bookmarkStart w:id="239" w:name="page240"/>
    <w:bookmarkEnd w:id="239"/>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intermediaries. You should consult your tax advisor regarding entitlement to benefits under any applicable income tax treaties.</w:t>
      </w:r>
    </w:p>
    <w:p>
      <w:pPr>
        <w:spacing w:after="0" w:line="171" w:lineRule="exact"/>
        <w:rPr>
          <w:sz w:val="20"/>
          <w:szCs w:val="20"/>
          <w:color w:val="auto"/>
        </w:rPr>
      </w:pPr>
    </w:p>
    <w:p>
      <w:pPr>
        <w:ind w:right="40" w:firstLine="324"/>
        <w:spacing w:after="0" w:line="271" w:lineRule="auto"/>
        <w:rPr>
          <w:sz w:val="20"/>
          <w:szCs w:val="20"/>
          <w:color w:val="auto"/>
        </w:rPr>
      </w:pPr>
      <w:r>
        <w:rPr>
          <w:rFonts w:ascii="Times New Roman" w:cs="Times New Roman" w:eastAsia="Times New Roman" w:hAnsi="Times New Roman"/>
          <w:sz w:val="17"/>
          <w:szCs w:val="17"/>
          <w:color w:val="auto"/>
        </w:rPr>
        <w:t>Dividends received by you that are effectively connected with your conduct of a U.S. trade or business (and, if required by an applicable income tax treaty, attributable to a permanent establishment or fixed base maintained by you in the United States) are generally exempt from such withholding tax, subject to the discussions below on backup withholding and FATCA withholding. In order to obtain this exemption, you must provide us with an IRS Form W-8ECI, including any required attachments and your taxpayer identification number, certifying qualification for the exemption; additionally you will be required to update such forms and certifications from time to time as required by law. Such effectively connected dividends, although not subject to U.S. federal withholding tax, are includable on your U.S. federal income tax return and taxed to you at the same rates applicable to U.S. persons, net of certain deductions and credits. If you are a corporate non-U.S. holder, dividends you receive that are effectively connected with your conduct of a U.S. trade or business may also be subject to a branch profits tax at a rate of 30% or such lower rate as may be specified by an applicable income tax treaty between the United States and your country of residence. You should consult your tax advisor regarding any applicable tax treaties that may provide for different rules.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Disposition of Our Common Stock</w:t>
      </w:r>
    </w:p>
    <w:p>
      <w:pPr>
        <w:spacing w:after="0" w:line="175"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Except as otherwise described below in the sections titled “—Backup Withholding and Information Reporting,” and “—FATCA,” you generally will not be subject to U.S. federal income tax on any gain realized upon the sale or other disposition of our common stock unless:</w:t>
      </w:r>
    </w:p>
    <w:p>
      <w:pPr>
        <w:spacing w:after="0" w:line="108" w:lineRule="exact"/>
        <w:rPr>
          <w:sz w:val="20"/>
          <w:szCs w:val="20"/>
          <w:color w:val="auto"/>
        </w:rPr>
      </w:pPr>
    </w:p>
    <w:p>
      <w:pPr>
        <w:ind w:left="660" w:right="400" w:hanging="328"/>
        <w:spacing w:after="0" w:line="282" w:lineRule="auto"/>
        <w:tabs>
          <w:tab w:leader="none" w:pos="65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your conduct of a U.S. trade or business (and, if required by an applicable income tax treaty, the gain is attributable to a permanent establishment or fixed base maintained by you in the United States);</w:t>
      </w:r>
    </w:p>
    <w:p>
      <w:pPr>
        <w:spacing w:after="0" w:line="107"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5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 non-resident alien individual who is present in the United States for a period or periods aggregating 183 days or more during the calendar year in which the sale or other disposition occurs and other conditions are met; or</w:t>
      </w:r>
    </w:p>
    <w:p>
      <w:pPr>
        <w:spacing w:after="0" w:line="107"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5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constitutes a United States real property interest by reason of our status as a “United States real property holding corporation,” (“USRPHC”), for U.S. federal income tax purposes at any time within the shorter of the five-year period preceding your disposition of, or your holding period for, our common stock, and, in the case where shares of our common stock are regularly traded on an established securities market, you own, or are treated as owning, more than 5% of our common stock at any time during the foregoing period.</w:t>
      </w:r>
    </w:p>
    <w:p>
      <w:pPr>
        <w:spacing w:after="0" w:line="126"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Generally, a corporation is a USRPHC if the fair market value of its U.S. real property interests equals or exceeds 50% of the sum of the fair market value of its worldwide property interests and its other assets used or held for use in a trade or business (all as determined for U.S. federal income tax purposes). We believe that we are not currently and will not become a USRPHC for U.S. federal income tax purposes, and the remainder of this discussion so assumes. However, because the determination of whether we are a USRPHC depends on the fair market value of our U.S. real property interests (if any) relative to the fair market value of our non-U.S. real property interests (if any) and other business assets, there can be no assurance that we will not become a USRPHC in the future. Even if we become a USRPHC, however, as long as our common stock is regularly traded on an established securities market, such common stock will be treated as U.S. real property interests only if you actually or constructively hold more than five percent of the outstanding shares of such class of common stock at any time during the shorter of the five-year period preceding your disposition of, or your holding period for, our common stock. You are encouraged to consult your own tax advisor regarding the possible consequences to you if we are, or were to become, a USRPHC.</w:t>
      </w:r>
    </w:p>
    <w:p>
      <w:pPr>
        <w:spacing w:after="0" w:line="134"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If you are a non-U.S. holder described in the first bullet above, you will generally be required to pay tax on the net gain derived from the sale under regular graduated U.S. federal income tax rates (and a corporate non-U.S. holder described in the first bullet above also may be subject to the branch profits tax at a 30% rate), unless otherwise provided by an applicable income tax treaty between the United States and your country of residence.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227</w:t>
      </w:r>
    </w:p>
    <w:p>
      <w:pPr>
        <w:sectPr>
          <w:pgSz w:w="11900" w:h="16838" w:orient="portrait"/>
          <w:cols w:equalWidth="0" w:num="1">
            <w:col w:w="11220"/>
          </w:cols>
          <w:pgMar w:left="320" w:top="124" w:right="359" w:bottom="1440" w:gutter="0" w:footer="0" w:header="0"/>
        </w:sectPr>
      </w:pPr>
    </w:p>
    <w:bookmarkStart w:id="240" w:name="page241"/>
    <w:bookmarkEnd w:id="240"/>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you are a non-U.S. holder described in the second bullet above, you will generally be required to pay a 30% tax (or such lower rate specified by an applicable income tax treaty between the United States and your country of residence) on the gain derived from the sale or other disposition of our stock, which gain may be offset by certain U.S. source capital losses (provided you have timely filed U.S. federal income tax returns with respect to such losses). You should consult your tax advisor regarding any applicable income tax or other treaties that may provide for different rules.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Backup Withholding and Information Reporting</w:t>
      </w:r>
    </w:p>
    <w:p>
      <w:pPr>
        <w:spacing w:after="0" w:line="175"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Generally, we must report annually to the IRS the amount of dividends paid to you, your name and address and the amount of tax withheld, if any. A similar report will be sent to you. Pursuant to applicable income tax treaties or other agreements, the IRS may make these reports available to tax authorities in your country of residence.</w:t>
      </w:r>
    </w:p>
    <w:p>
      <w:pPr>
        <w:spacing w:after="0" w:line="122"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Payments of dividends or of proceeds on the sale or other disposition of stock made to you may be subject to information reporting and backup withholding unless you establish an exemption, for example, by properly certifying your non-U.S. status on an IRS Form W-8BEN, IRS Form W-8BEN-E or another appropriate version of IRS Form W-8. Any documentation provided to an applicable withholding agent may need to be updated in certain circumstances.</w:t>
      </w:r>
    </w:p>
    <w:p>
      <w:pPr>
        <w:spacing w:after="0" w:line="126"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Information reporting and backup withholding generally will apply to the proceeds of a sale or other disposition of our common stock by a non-U.S. holder effected by or through the U.S. office of any broker, U.S. or foreign, unless the holder certifies its status as a non-U.S. holder and satisfies certain other requirements, or otherwise establishes an exemption. Generally, information reporting and backup withholding will not apply to a payment of the proceeds from a sale or other disposition of our stock to a non-U.S. holder where the transaction is effected outside the United States through a foreign broker. However, for information reporting purposes, sales or other dispositions effected through a non-U.S. office of a broker with substantial U.S. ownership or operations generally will be treated in a manner similar to sales or other dispositions effected through a U.S. office of a broker. Notwithstanding the foregoing, backup withholding and information reporting may apply if either we or our paying agent has actual knowledge, or reason to know, that you are a U.S. person. Non-U.S. holders should consult their own tax advisors regarding the application of the information reporting and backup withholding rules to them.</w:t>
      </w:r>
    </w:p>
    <w:p>
      <w:pPr>
        <w:spacing w:after="0" w:line="134"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FATCA</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Sections 1471 through 1474 of the Code, and the Treasury regulations and administrative guidance issued thereunder (collectively, “FATCA”), generally impose U.S. federal withholding tax at a rate of 30% on dividends on and, subject to certain proposed Treasury regulations discussed below, the gross proceeds from a sale or other disposition of our common stock if paid to a “foreign financial institution” (as defined in the Code), unless otherwise provided by the Treasury Secretary or such institution enters into an agreement with the U.S. government to withhold on certain payments and to collect and provide to the U.S. tax authorities substantial information regarding the U.S. account holders of such institution (which includes certain equity and debt holders of such institution, as well as certain account holders that are non-U.S. entities with U.S. owners) or otherwise establishes an exemption. FATCA also generally imposes a U.S. federal withholding tax of 30% on dividends paid on and, subject to certain proposed Treasury regulations discussed below, the gross proceeds from a sale or other disposition of our common stock if paid to a “non-financial foreign entity” (as defined in the Code) unless otherwise provided by the Treasury Secretary or such entity provides the withholding agent with a certification identifying, and information with respect to, certain direct and indirect “substantial United States owners” (as defined in the Code), or substantial U.S. owners, of the entity, certifies that it does not have any such substantial U.S. owners or otherwise establishes and certifies to an exemption. The withholding provisions under FATCA generally apply to dividends on our common stock. The Treasury Secretary has issued proposed regulations providing that the withholding provisions under FATCA do not apply with respect to the gross proceeds from a sale or other disposition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228</w:t>
      </w:r>
    </w:p>
    <w:p>
      <w:pPr>
        <w:sectPr>
          <w:pgSz w:w="11900" w:h="16838" w:orient="portrait"/>
          <w:cols w:equalWidth="0" w:num="1">
            <w:col w:w="11220"/>
          </w:cols>
          <w:pgMar w:left="320" w:top="124" w:right="359" w:bottom="1440" w:gutter="0" w:footer="0" w:header="0"/>
        </w:sectPr>
      </w:pPr>
    </w:p>
    <w:bookmarkStart w:id="241" w:name="page242"/>
    <w:bookmarkEnd w:id="241"/>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which may be relied upon by taxpayers until final regulations are issued. An intergovernmental agreement between the United States and your country of tax residence may modify the requirements described in this paragraph. Non-U.S. holders should consult their own tax advisors regarding the possible implications of FATCA on their investment in our common stock.</w:t>
      </w:r>
    </w:p>
    <w:p>
      <w:pPr>
        <w:spacing w:after="0" w:line="118" w:lineRule="exact"/>
        <w:rPr>
          <w:sz w:val="20"/>
          <w:szCs w:val="20"/>
          <w:color w:val="auto"/>
        </w:rPr>
      </w:pPr>
    </w:p>
    <w:p>
      <w:pPr>
        <w:ind w:firstLine="324"/>
        <w:spacing w:after="0" w:line="317" w:lineRule="auto"/>
        <w:rPr>
          <w:sz w:val="20"/>
          <w:szCs w:val="20"/>
          <w:color w:val="auto"/>
        </w:rPr>
      </w:pPr>
      <w:r>
        <w:rPr>
          <w:rFonts w:ascii="Times New Roman" w:cs="Times New Roman" w:eastAsia="Times New Roman" w:hAnsi="Times New Roman"/>
          <w:sz w:val="17"/>
          <w:szCs w:val="17"/>
          <w:b w:val="1"/>
          <w:bCs w:val="1"/>
          <w:color w:val="auto"/>
        </w:rPr>
        <w:t>Each prospective investor should consult its own tax advisor regarding the particular U.S. federal, state and local and non-U.S. tax consequences of purchasing, holding and disposing of our common stock, including the consequences of any proposed change in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229</w:t>
      </w:r>
    </w:p>
    <w:p>
      <w:pPr>
        <w:sectPr>
          <w:pgSz w:w="11900" w:h="16838" w:orient="portrait"/>
          <w:cols w:equalWidth="0" w:num="1">
            <w:col w:w="11040"/>
          </w:cols>
          <w:pgMar w:left="320" w:top="124" w:right="539" w:bottom="1440" w:gutter="0" w:footer="0" w:header="0"/>
        </w:sectPr>
      </w:pPr>
    </w:p>
    <w:bookmarkStart w:id="242" w:name="page243"/>
    <w:bookmarkEnd w:id="242"/>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UNDERWRITERS</w:t>
      </w:r>
    </w:p>
    <w:p>
      <w:pPr>
        <w:spacing w:after="0" w:line="17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Under the terms and subject to the conditions in an underwriting agreement dated the date of this prospectus, the underwriters named below, for whom Morgan Stanley &amp; Co. LLC, Goldman Sachs &amp; Co. LLC and J.P. Morgan Securities LLC are acting as representatives, have severally agreed to purchase, and we have agreed to sell to them, severally, the number of shares of common stock indicated below:</w:t>
      </w:r>
    </w:p>
    <w:p>
      <w:pPr>
        <w:spacing w:after="0" w:line="156" w:lineRule="exact"/>
        <w:rPr>
          <w:sz w:val="20"/>
          <w:szCs w:val="20"/>
          <w:color w:val="auto"/>
        </w:rPr>
      </w:pPr>
    </w:p>
    <w:p>
      <w:pPr>
        <w:ind w:left="20"/>
        <w:spacing w:after="0"/>
        <w:tabs>
          <w:tab w:leader="none" w:pos="988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543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Evercore Group L.L.C.</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Deutsche Bank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Piper Sandler &amp; Co.</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William Blair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Canaccord Genuity LLC</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Keefe, Bruyette &amp; Woods,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0</wp:posOffset>
            </wp:positionV>
            <wp:extent cx="99441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26035</wp:posOffset>
            </wp:positionV>
            <wp:extent cx="99441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-127635</wp:posOffset>
            </wp:positionV>
            <wp:extent cx="99441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73"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option to purchase additional shares described below.</w:t>
      </w:r>
    </w:p>
    <w:p>
      <w:pPr>
        <w:spacing w:after="0" w:line="13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underwriters initially propose to offer part of the shares of common stock directly to the public at the offering price listed on the cover page of this prospectus and part to certain dealers at a price that represents a concession not in excess of $ per share under the public offering price. After the initial offering of the shares of common stock, the offering price and other selling terms may from time to time be varied by the representatives. Sales of any shares made outside of the United States may be made by affiliates of the underwriters.</w:t>
      </w:r>
    </w:p>
    <w:p>
      <w:pPr>
        <w:spacing w:after="0" w:line="126"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have granted to the underwriters an option, exercisable for 30 days from the date of this prospectus, to purchase up to additional shares of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230</w:t>
      </w:r>
    </w:p>
    <w:p>
      <w:pPr>
        <w:sectPr>
          <w:pgSz w:w="11900" w:h="16838" w:orient="portrait"/>
          <w:cols w:equalWidth="0" w:num="1">
            <w:col w:w="11200"/>
          </w:cols>
          <w:pgMar w:left="320" w:top="124" w:right="379" w:bottom="1440" w:gutter="0" w:footer="0" w:header="0"/>
        </w:sectPr>
      </w:pPr>
    </w:p>
    <w:bookmarkStart w:id="243" w:name="page244"/>
    <w:bookmarkEnd w:id="243"/>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shows the per share and total public offering price, underwriting discounts and commissions, and proceeds before expenses to us. These amounts are shown assuming both no exercise and full exercise of the underwriters’ option to purchase up to an additional shares of common stock.</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gridSpan w:val="3"/>
          </w:tcPr>
          <w:p>
            <w:pPr>
              <w:jc w:val="right"/>
              <w:ind w:right="13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6360" w:type="dxa"/>
            <w:vAlign w:val="bottom"/>
          </w:tcPr>
          <w:p>
            <w:pPr>
              <w:spacing w:after="0"/>
              <w:rPr>
                <w:sz w:val="2"/>
                <w:szCs w:val="2"/>
                <w:color w:val="auto"/>
              </w:rPr>
            </w:pPr>
          </w:p>
        </w:tc>
        <w:tc>
          <w:tcPr>
            <w:tcW w:w="16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66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6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66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No Exercise</w:t>
            </w:r>
          </w:p>
        </w:tc>
        <w:tc>
          <w:tcPr>
            <w:tcW w:w="156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Full Exercise</w:t>
            </w:r>
          </w:p>
        </w:tc>
        <w:tc>
          <w:tcPr>
            <w:tcW w:w="0" w:type="dxa"/>
            <w:vAlign w:val="bottom"/>
          </w:tcPr>
          <w:p>
            <w:pPr>
              <w:spacing w:after="0"/>
              <w:rPr>
                <w:sz w:val="1"/>
                <w:szCs w:val="1"/>
                <w:color w:val="auto"/>
              </w:rPr>
            </w:pPr>
          </w:p>
        </w:tc>
      </w:tr>
      <w:tr>
        <w:trPr>
          <w:trHeight w:val="229"/>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offering price</w:t>
            </w:r>
          </w:p>
        </w:tc>
        <w:tc>
          <w:tcPr>
            <w:tcW w:w="1560" w:type="dxa"/>
            <w:vAlign w:val="bottom"/>
            <w:tcBorders>
              <w:top w:val="single" w:sz="8" w:color="auto"/>
            </w:tcBorders>
            <w:shd w:val="clear" w:color="auto" w:fill="CCEEFF"/>
          </w:tcPr>
          <w:p>
            <w:pPr>
              <w:jc w:val="right"/>
              <w:ind w:right="1375"/>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1377"/>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1373"/>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Underwriting discounts and commissions to be paid by us</w:t>
            </w:r>
          </w:p>
        </w:tc>
        <w:tc>
          <w:tcPr>
            <w:tcW w:w="1560" w:type="dxa"/>
            <w:vAlign w:val="bottom"/>
          </w:tcPr>
          <w:p>
            <w:pPr>
              <w:jc w:val="right"/>
              <w:ind w:right="1375"/>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1560" w:type="dxa"/>
            <w:vAlign w:val="bottom"/>
          </w:tcPr>
          <w:p>
            <w:pPr>
              <w:jc w:val="right"/>
              <w:ind w:right="1377"/>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1560" w:type="dxa"/>
            <w:vAlign w:val="bottom"/>
          </w:tcPr>
          <w:p>
            <w:pPr>
              <w:jc w:val="right"/>
              <w:ind w:right="1373"/>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1560" w:type="dxa"/>
            <w:vAlign w:val="bottom"/>
            <w:shd w:val="clear" w:color="auto" w:fill="CCEEFF"/>
          </w:tcPr>
          <w:p>
            <w:pPr>
              <w:jc w:val="right"/>
              <w:ind w:right="1375"/>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77"/>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73"/>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454"/>
        </w:trPr>
        <w:tc>
          <w:tcPr>
            <w:tcW w:w="968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The estimated offering expenses payable by us, exclusive of the underwriting discounts and commissions, are approximately $</w:t>
            </w:r>
          </w:p>
        </w:tc>
        <w:tc>
          <w:tcPr>
            <w:tcW w:w="15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 We have agreed to</w:t>
            </w:r>
          </w:p>
        </w:tc>
        <w:tc>
          <w:tcPr>
            <w:tcW w:w="0" w:type="dxa"/>
            <w:vAlign w:val="bottom"/>
          </w:tcPr>
          <w:p>
            <w:pPr>
              <w:spacing w:after="0"/>
              <w:rPr>
                <w:sz w:val="1"/>
                <w:szCs w:val="1"/>
                <w:color w:val="auto"/>
              </w:rPr>
            </w:pPr>
          </w:p>
        </w:tc>
      </w:tr>
      <w:tr>
        <w:trPr>
          <w:trHeight w:val="234"/>
        </w:trPr>
        <w:tc>
          <w:tcPr>
            <w:tcW w:w="9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reimburse the underwriters for expenses relating to clearance of this offering with the Financial Industry Regulatory Authority up to $</w:t>
            </w:r>
          </w:p>
        </w:tc>
        <w:tc>
          <w:tcPr>
            <w:tcW w:w="1560" w:type="dxa"/>
            <w:vAlign w:val="bottom"/>
          </w:tcPr>
          <w:p>
            <w:pPr>
              <w:jc w:val="right"/>
              <w:ind w:right="119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underwriters have informed us that they do not intend sales to discretionary accounts to exceed 5% of the total number of shares of common stock offered by them.</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intend to apply to list our common stock on the Nasdaq Global Select Market under the symbol “CHYM”.</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and all of our directors and officers and the holders of substantially all of our outstanding capital stock and securities convertible into or exercisable or exchangeable for our capital stock have agreed that, without the prior written consent of , on behalf of the underwriters, subject to certain exceptions, we and they will not, and will not publicly disclose an intention to, during the period ending days after the date of this prospectus (the “restricted period”):</w:t>
      </w:r>
    </w:p>
    <w:p>
      <w:pPr>
        <w:spacing w:after="0" w:line="126" w:lineRule="exact"/>
        <w:rPr>
          <w:sz w:val="20"/>
          <w:szCs w:val="20"/>
          <w:color w:val="auto"/>
        </w:rPr>
      </w:pPr>
    </w:p>
    <w:p>
      <w:pPr>
        <w:ind w:left="660" w:right="20" w:hanging="328"/>
        <w:spacing w:after="0" w:line="266" w:lineRule="auto"/>
        <w:tabs>
          <w:tab w:leader="none" w:pos="65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121"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confidentially submit or file any registration statement with the Securities and Exchange Commission relating to the offering of any shares of common stock or any securities convertible into or exercisable or exchangeable for common stock; or</w:t>
      </w:r>
    </w:p>
    <w:p>
      <w:pPr>
        <w:spacing w:after="0" w:line="107"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arrangement that transfers to another, in whole or in part, any of the economic consequences of ownership of the common stock;</w:t>
      </w:r>
    </w:p>
    <w:p>
      <w:pPr>
        <w:spacing w:after="0" w:line="108"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whether any such transaction described above is to be settled by delivery of common stock or such other securities, in cash or otherwise. In addition, we and each such person have agreed that, without the prior written consent of ,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restrictions described in the immediately preceding paragraph to do not apply to:</w:t>
      </w:r>
    </w:p>
    <w:p>
      <w:pPr>
        <w:spacing w:after="0" w:line="171" w:lineRule="exact"/>
        <w:rPr>
          <w:sz w:val="20"/>
          <w:szCs w:val="20"/>
          <w:color w:val="auto"/>
        </w:rPr>
      </w:pPr>
    </w:p>
    <w:p>
      <w:pPr>
        <w:ind w:left="660" w:hanging="328"/>
        <w:spacing w:after="0"/>
        <w:tabs>
          <w:tab w:leader="none" w:pos="6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shares of common stock to the underwriters;</w:t>
      </w:r>
    </w:p>
    <w:p>
      <w:pPr>
        <w:spacing w:after="0" w:line="17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issuance of shares of common stock upon the exercise of an option or a warrant or the conversion of a security outstanding on the date of this prospectus of which the underwriters have been advised in writing;</w:t>
      </w:r>
    </w:p>
    <w:p>
      <w:pPr>
        <w:spacing w:after="0" w:line="107"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55"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by any person other than us relating to shares of our common stock or other securities acquired in open market transactions after the completion of the offering of the shares of common stock; provided that no filing under Section 16(a) of the Exchange Act, is required or voluntarily made in connection with subsequent sales of the common stock or other securities acquired in such open market transactions;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231</w:t>
      </w:r>
    </w:p>
    <w:p>
      <w:pPr>
        <w:sectPr>
          <w:pgSz w:w="11900" w:h="16838" w:orient="portrait"/>
          <w:cols w:equalWidth="0" w:num="1">
            <w:col w:w="11240"/>
          </w:cols>
          <w:pgMar w:left="320" w:top="124" w:right="339" w:bottom="1440" w:gutter="0" w:footer="0" w:header="0"/>
        </w:sectPr>
      </w:pPr>
    </w:p>
    <w:bookmarkStart w:id="244" w:name="page245"/>
    <w:bookmarkEnd w:id="244"/>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60" w:right="40" w:hanging="328"/>
        <w:spacing w:after="0" w:line="258" w:lineRule="auto"/>
        <w:tabs>
          <w:tab w:leader="none" w:pos="655"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facilitating the establishment of a trading plan on behalf of a stockholder, officer or director of the Company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the Company regarding the establishment of such plan, such announcement or filing shall include a statement to the effect that no transfer of common stock may be made under such plan during the restricted period.</w:t>
      </w:r>
    </w:p>
    <w:p>
      <w:pPr>
        <w:spacing w:after="0" w:line="129" w:lineRule="exact"/>
        <w:rPr>
          <w:sz w:val="20"/>
          <w:szCs w:val="20"/>
          <w:color w:val="auto"/>
        </w:rPr>
      </w:pPr>
    </w:p>
    <w:p>
      <w:pPr>
        <w:ind w:left="600"/>
        <w:spacing w:after="0"/>
        <w:tabs>
          <w:tab w:leader="none" w:pos="1120" w:val="left"/>
        </w:tabs>
        <w:rPr>
          <w:sz w:val="20"/>
          <w:szCs w:val="20"/>
          <w:color w:val="auto"/>
        </w:rPr>
      </w:pPr>
      <w:r>
        <w:rPr>
          <w:rFonts w:ascii="Times New Roman" w:cs="Times New Roman" w:eastAsia="Times New Roman" w:hAnsi="Times New Roman"/>
          <w:sz w:val="18"/>
          <w:szCs w:val="18"/>
          <w:color w:val="auto"/>
        </w:rPr>
        <w:t>, in</w:t>
      </w:r>
      <w:r>
        <w:rPr>
          <w:sz w:val="20"/>
          <w:szCs w:val="20"/>
          <w:color w:val="auto"/>
        </w:rPr>
        <w:tab/>
      </w:r>
      <w:r>
        <w:rPr>
          <w:rFonts w:ascii="Times New Roman" w:cs="Times New Roman" w:eastAsia="Times New Roman" w:hAnsi="Times New Roman"/>
          <w:sz w:val="18"/>
          <w:szCs w:val="18"/>
          <w:color w:val="auto"/>
        </w:rPr>
        <w:t>discretion, may release the common stock and other securities subject to the lock-up agreements described above in whole or in part at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15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option to purchase additional shares. The underwriters can close out a covered short sale by exercising the option to purchase additional shares or purchasing shares in the open market. In determining the source of shares to close out a covered short sale, the underwriters will consider, among other things, the open market price of shares compared to the price available under the option to purchase additional shares. The underwriters may also sell shares in excess of the option to purchase additional shares,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and the underwriters have agreed to indemnify each other against certain liabilities, including liabilities under the Securities Act.</w:t>
      </w:r>
    </w:p>
    <w:p>
      <w:pPr>
        <w:spacing w:after="0" w:line="171"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7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2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232</w:t>
      </w:r>
    </w:p>
    <w:p>
      <w:pPr>
        <w:sectPr>
          <w:pgSz w:w="11900" w:h="16838" w:orient="portrait"/>
          <w:cols w:equalWidth="0" w:num="1">
            <w:col w:w="11220"/>
          </w:cols>
          <w:pgMar w:left="320" w:top="124" w:right="359" w:bottom="1440" w:gutter="0" w:footer="0" w:header="0"/>
        </w:sectPr>
      </w:pPr>
    </w:p>
    <w:bookmarkStart w:id="245" w:name="page246"/>
    <w:bookmarkEnd w:id="245"/>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Pricing of the Offering</w:t>
      </w:r>
    </w:p>
    <w:p>
      <w:pPr>
        <w:spacing w:after="0" w:line="175"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common stock. The initial public offering price was determined by negotiations between us and the representatives. Among the factors considered in determining the initial public offering price were our future prospects and those of our industry in general, our revenue, earnings, and certain other financial and operating information in recent periods, and the price-earnings ratios, price-revenue ratios, market prices of securities, and certain financial and operating information of companies engaged in activities similar to ours. Neither we nor the underwriters can assure investors that an active trading market will develop for shares of our common stock, or that the shares will trade in the public market at or above the initial public offering price.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175"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“Member State”), no shares of our common stock have been offered or will be offered pursuant to the offering to the public in that Member State prior to the publication of a prospectus in relation to our common stock which has been approved by the competent authority in that Member State or, where appropriate, approved in another Member State and notified to the competent authority in that Member State, all in accordance with the Prospectus Regulation, except that offers of our common stock may be made to the public in that Member State at any time under the following exemptions under the Prospectus Regulation:</w:t>
      </w:r>
    </w:p>
    <w:p>
      <w:pPr>
        <w:spacing w:after="0" w:line="129" w:lineRule="exact"/>
        <w:rPr>
          <w:sz w:val="20"/>
          <w:szCs w:val="20"/>
          <w:color w:val="auto"/>
        </w:rPr>
      </w:pPr>
    </w:p>
    <w:p>
      <w:pPr>
        <w:ind w:left="660" w:hanging="328"/>
        <w:spacing w:after="0"/>
        <w:tabs>
          <w:tab w:leader="none" w:pos="6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Regulation;</w:t>
      </w:r>
    </w:p>
    <w:p>
      <w:pPr>
        <w:spacing w:after="0" w:line="17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4"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in the Prospectus Regulation), subject to obtaining the prior consent of the representatives; or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171"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provided that no such offer of shares shall require us or any of the underwriters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representatives and us that it is a “qualified investor” within the meaning of Article 2(e) in the Prospectus Regulation.</w:t>
      </w:r>
    </w:p>
    <w:p>
      <w:pPr>
        <w:spacing w:after="0" w:line="126"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the case of any shares being offered to a financial intermediary as that term is used in Article 5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Member State to qualified investors as so defined or in circumstances in which the prior consent of the representatives has been obtained to each such proposed offer or resale.</w:t>
      </w:r>
    </w:p>
    <w:p>
      <w:pPr>
        <w:spacing w:after="0" w:line="1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of shares to the public” in relation to any shares in any Member State means the communication in any form and by any means of sufficient information on the terms of the offer and the shares of our common stock to be offered so as to enable an investor to decide to purchase or subscribe for any shares of our common stock, and the expression “Prospectus Regulation” means Regulation (EU) 2017/1129 (as amended).</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7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No shares of our common stock have been offered or will be offered pursuant to the offering to the public in the United Kingdom prior to the publication of a prospectus in relation to the shares of our common stock which (i) has been approved by the Financial Conduct Authority or (ii) is to be treated as if it had been approved by the Financial Conduct Authority in accordance with the transitional provisions in Article 74 (transitional provisions)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233</w:t>
      </w:r>
    </w:p>
    <w:p>
      <w:pPr>
        <w:sectPr>
          <w:pgSz w:w="11900" w:h="16838" w:orient="portrait"/>
          <w:cols w:equalWidth="0" w:num="1">
            <w:col w:w="11240"/>
          </w:cols>
          <w:pgMar w:left="320" w:top="124" w:right="339" w:bottom="1440" w:gutter="0" w:footer="0" w:header="0"/>
        </w:sectPr>
      </w:pPr>
    </w:p>
    <w:bookmarkStart w:id="246" w:name="page247"/>
    <w:bookmarkEnd w:id="246"/>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Prospectus Amendment etc. (EU Exit) Regulations 2019/1234, except that shares of our common stock may be offered to the public in the United Kingdom at any time:</w:t>
      </w:r>
    </w:p>
    <w:p>
      <w:pPr>
        <w:spacing w:after="0" w:line="108" w:lineRule="exact"/>
        <w:rPr>
          <w:sz w:val="20"/>
          <w:szCs w:val="20"/>
          <w:color w:val="auto"/>
        </w:rPr>
      </w:pPr>
    </w:p>
    <w:p>
      <w:pPr>
        <w:ind w:left="660" w:hanging="328"/>
        <w:spacing w:after="0"/>
        <w:tabs>
          <w:tab w:leader="none" w:pos="6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w:t>
      </w:r>
    </w:p>
    <w:p>
      <w:pPr>
        <w:spacing w:after="0" w:line="17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4"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UK Prospectus Regulation), subject to obtaining the prior consent of the representatives for any such offer; or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Financial Services and Markets Act 2000 (“FSMA”);</w:t>
      </w:r>
    </w:p>
    <w:p>
      <w:pPr>
        <w:spacing w:after="0" w:line="171"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provided that no such offer of shares of our common stock shall require us or any of the underwriters to publish a prospectus pursuant to Section 85 of the FSMA or supplement a prospectus pursuant to Article 23 of the UK Prospectus Regulation. For the purposes of this provision, the expression an “offer to the public” in relation to the shares of our common stock in the United Kingdom means the communication in any form and by any means of sufficient information on the terms of the offer and any shares of our common stock to be offered so as to enable an investor to decide to purchase or subscribe for any shares of our common stock, and the expression “UK Prospectus Regulation” means Regulation (EU) 2017/1129 as it forms part of domestic law by virtue of the European Union (Withdrawal) Act 2018, as amended by the European Union Withdrawal Agreement Act 2020.</w:t>
      </w:r>
    </w:p>
    <w:p>
      <w:pPr>
        <w:spacing w:after="0" w:line="133"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addition, in the UK,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19(5) of the FSMA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of our common stock in the UK within the meaning of the FSMA.</w:t>
      </w:r>
    </w:p>
    <w:p>
      <w:pPr>
        <w:spacing w:after="0" w:line="133"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Any person in the UK that is not a relevant person should not act or rely on the information included in this document or use it as basis for taking any action. In the UK, any investment or investment activity that this document relates to may be made or taken exclusively by relevant persons.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175"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No registration pursuant to Article 4, paragraph 1 of the Financial Instruments and Exchange Law of Japan (Law No. 25 of 1948, as amended) (the “FIEL”) has been made or will be made with respect to the solicitation of the application for the acquisition of the shares of common stock.</w:t>
      </w:r>
    </w:p>
    <w:p>
      <w:pPr>
        <w:spacing w:after="0" w:line="108"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Accordingly, the shares of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For Qualified Institutional Investors (“QII”)</w:t>
      </w:r>
    </w:p>
    <w:p>
      <w:pPr>
        <w:spacing w:after="0" w:line="173"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Please note that the solicitation for newly-issued or secondary securities (each as described in Paragraph 2, Article 4 of the FIEL) in relation to the shares of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common stock. The shares of common stock may only be transferred to QIIs.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234</w:t>
      </w:r>
    </w:p>
    <w:p>
      <w:pPr>
        <w:sectPr>
          <w:pgSz w:w="11900" w:h="16838" w:orient="portrait"/>
          <w:cols w:equalWidth="0" w:num="1">
            <w:col w:w="11220"/>
          </w:cols>
          <w:pgMar w:left="320" w:top="124" w:right="359" w:bottom="1440" w:gutter="0" w:footer="0" w:header="0"/>
        </w:sectPr>
      </w:pPr>
    </w:p>
    <w:bookmarkStart w:id="247" w:name="page248"/>
    <w:bookmarkEnd w:id="247"/>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For Non-QII Investors</w:t>
      </w:r>
    </w:p>
    <w:p>
      <w:pPr>
        <w:spacing w:after="0" w:line="173"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Please note that the solicitation for newly-issued or secondary securities (each as described in Paragraph 2, Article 4 of the FIEL) in relation to the shares of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common stock. The shares of common stock may only be transferred en bloc without subdivision to a single investor.</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Brazil</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offer and sale of our shares of common stock has not been, and will not be, registered with the Brazilian Securities Commission, Comissão de Valores Mobiliários (“CVM”), and, therefore, will not be carried out by any means that would constitute a public offering in Brazil under CVM Resolution No. 160, dated 13 July 2022, as amended (“CVM Resolution 160”) or unauthorized distribution under Brazilian laws and regulations. The shares of our common stock will be authorized for trading on organized non-Brazilian securities markets and may only be offered to Brazilian Professional Investors (as defined by applicable CVM regulation), who may only acquire our shares of common stock through a non-Brazilian account, with settlement outside Brazil in non-Brazilian currency. The trading of these securities on regulated securities markets in Brazil is prohibited.</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Switzerland</w:t>
      </w:r>
    </w:p>
    <w:p>
      <w:pPr>
        <w:spacing w:after="0" w:line="175"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Shares of our common stock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of our common stock or the offering may be publicly distributed or otherwise made publicly available in Switzerland.</w:t>
      </w:r>
    </w:p>
    <w:p>
      <w:pPr>
        <w:spacing w:after="0" w:line="133"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offering, us or the shares of our common stock have been or will be filed with or approved by any Swiss regulatory authority. In particular, this document will not be filed with, and the offer of our common stock will not be supervised by, the Swiss Financial Market Supervisory Authority, and the offer of common stock has not been and will not be authorized under the Swiss Federal Act on Collective Investment Schemes (“CISA”). The investor protection afforded to acquirers of interests in collective investment schemes under the CISA does not extend to acquirers of the shares of our common stock.</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75"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Shares of our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w:t>
      </w:r>
    </w:p>
    <w:p>
      <w:pPr>
        <w:spacing w:after="0" w:line="122"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Any resale of the shares of common stock must be made in accordance with an exemption from, or in a transaction not subject to, the prospectus requirements of applicable securities laws.</w:t>
      </w:r>
    </w:p>
    <w:p>
      <w:pPr>
        <w:spacing w:after="0" w:line="108"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235</w:t>
      </w:r>
    </w:p>
    <w:p>
      <w:pPr>
        <w:sectPr>
          <w:pgSz w:w="11900" w:h="16838" w:orient="portrait"/>
          <w:cols w:equalWidth="0" w:num="1">
            <w:col w:w="11220"/>
          </w:cols>
          <w:pgMar w:left="320" w:top="124" w:right="359" w:bottom="1440" w:gutter="0" w:footer="0" w:header="0"/>
        </w:sectPr>
      </w:pPr>
    </w:p>
    <w:bookmarkStart w:id="248" w:name="page249"/>
    <w:bookmarkEnd w:id="248"/>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7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contents of this document have not been reviewed by any regulatory authority in Hong Kong. You are advised to exercise caution in relation to the offer. If you are in any doubt about any of the contents of this document, you should obtain independent professional advice. Shares of our common stock have not been offered or sold and may not be offered or sold by means of any document other than (i) in circumstances which do not constitute an offer to the public within the meaning of the Companies (Winding Up and Miscellaneous Provisions) Ordinance (Cap. 32, Laws of Hong Kong), (ii) to “professional investors” as defined in the Securities and Futures Ordinance (Cap. 571, Laws of Hong Kong) and any rules made thereunder, or (iii) in other circumstances which do not result in the document being a “prospectus” within the meaning of the Companies (Winding Up and Miscellaneous Provisions) Ordinance (Cap. 32, Laws of Hong Kong). No advertisement, invitation, or document relating to shares of our common stock has been or may be issued or has been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of our common stock that are or are intended to be disposed of only to persons outside Hong Kong or only to “professional investors” as defined in the Securities and Futures Ordinance (Cap. 571, Laws of Hong Kong) and any rules made thereunder.</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75"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shares of our common stock may not be circulated or distributed, nor may the shares of our common stock be offered or sold, or be made the subject of an invitation for subscription or purchase, whether directly or indirectly, to persons in Singapore other than (i) to an institutional investor pursuant to Section 274 of the Securities and Futures Act, Chapter 289 of Singapore (the “SFA”), (ii) to a relevant person, or any person pursuant to Section 275(1A) of the SFA, and in accordance with the conditions specified in Section 275 of the SFA, or (iii) otherwise pursuant to, and in accordance with the conditions of, any other applicable provision of the SFA.</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Where shares of our common stock are subscribed or purchased under Section 275 by a relevant person which is:</w:t>
      </w:r>
    </w:p>
    <w:p>
      <w:pPr>
        <w:spacing w:after="0" w:line="171" w:lineRule="exact"/>
        <w:rPr>
          <w:sz w:val="20"/>
          <w:szCs w:val="20"/>
          <w:color w:val="auto"/>
        </w:rPr>
      </w:pPr>
    </w:p>
    <w:p>
      <w:pPr>
        <w:ind w:left="660" w:right="60" w:hanging="328"/>
        <w:spacing w:after="0" w:line="282" w:lineRule="auto"/>
        <w:tabs>
          <w:tab w:leader="none" w:pos="657"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07" w:lineRule="exact"/>
        <w:rPr>
          <w:rFonts w:ascii="Times New Roman" w:cs="Times New Roman" w:eastAsia="Times New Roman" w:hAnsi="Times New Roman"/>
          <w:sz w:val="18"/>
          <w:szCs w:val="18"/>
          <w:color w:val="auto"/>
        </w:rPr>
      </w:pPr>
    </w:p>
    <w:p>
      <w:pPr>
        <w:ind w:left="660" w:hanging="328"/>
        <w:spacing w:after="0" w:line="261" w:lineRule="auto"/>
        <w:tabs>
          <w:tab w:leader="none" w:pos="654"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 securities or securities-based derivatives contracts (each as defined in Section 2(1) of the SFA) of that corporation or the beneficiaries’ rights and interest in that trust shall not be transferable within six months after that corporation or that trust has acquired shares of our common stock under Section 275 of the SFA except:</w:t>
      </w:r>
    </w:p>
    <w:p>
      <w:pPr>
        <w:spacing w:after="0" w:line="125"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974"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or to any person pursuant to Section 275(1A), and in accordance with the conditions, specified in Section 275 of the SFA;</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236</w:t>
      </w:r>
    </w:p>
    <w:p>
      <w:pPr>
        <w:sectPr>
          <w:pgSz w:w="11900" w:h="16838" w:orient="portrait"/>
          <w:cols w:equalWidth="0" w:num="1">
            <w:col w:w="11220"/>
          </w:cols>
          <w:pgMar w:left="320" w:top="124" w:right="359" w:bottom="1440" w:gutter="0" w:footer="0" w:header="0"/>
        </w:sectPr>
      </w:pPr>
    </w:p>
    <w:bookmarkStart w:id="249" w:name="page250"/>
    <w:bookmarkEnd w:id="249"/>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980" w:right="200" w:hanging="324"/>
        <w:spacing w:after="0" w:line="282" w:lineRule="auto"/>
        <w:tabs>
          <w:tab w:leader="none" w:pos="974"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37A of the Securities and Futures (Offers of Investments) (Securities and Securities based Derivatives Contracts) Regulation 2018.</w:t>
      </w:r>
    </w:p>
    <w:p>
      <w:pPr>
        <w:spacing w:after="0" w:line="10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Solely for purposes of the notification requirements under Section 309B(1)(c) of the SFA, we have determined, and hereby notify all relevant persons, that the shares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Dubai International Financial Centre</w:t>
      </w:r>
    </w:p>
    <w:p>
      <w:pPr>
        <w:spacing w:after="0" w:line="175"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auto"/>
        </w:rPr>
        <w:t>This prospectus relates to an Exempt Offer in accordance with the Offered Securities Rules of the Dubai Financial Services Authority (the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of our common stock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Australia</w:t>
      </w:r>
    </w:p>
    <w:p>
      <w:pPr>
        <w:spacing w:after="0" w:line="175"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in relation to this offering. This prospectus does not constitute a prospectus, product disclosure statement, or other disclosure document under the Corporations Act 2001 (the “Corporations Act”) and does not purport to include the information required for a prospectus, product disclosure document statement, or other disclosure document under the Corporations Act.</w:t>
      </w:r>
    </w:p>
    <w:p>
      <w:pPr>
        <w:spacing w:after="0" w:line="126"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Any offer in Australia of our common stock may only be made to persons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our common stock without disclosure to investors under Chapter 6D of the Corporations Act.</w:t>
      </w:r>
    </w:p>
    <w:p>
      <w:pPr>
        <w:spacing w:after="0" w:line="126"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The common stock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w:t>
      </w:r>
    </w:p>
    <w:p>
      <w:pPr>
        <w:spacing w:after="0" w:line="12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This prospectus contains general information only and does not take account of the investment objectives, financial situation, or particular needs of any particular person. It does not contain any securities recommendation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Israel</w:t>
      </w:r>
    </w:p>
    <w:p>
      <w:pPr>
        <w:spacing w:after="0" w:line="1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the State of Israel this prospectus shall not be regarded as an offer to the public to purchase shares of common stock under the Israeli Securities Law, 5728—1968,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5728—1968,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237</w:t>
      </w:r>
    </w:p>
    <w:p>
      <w:pPr>
        <w:sectPr>
          <w:pgSz w:w="11900" w:h="16838" w:orient="portrait"/>
          <w:cols w:equalWidth="0" w:num="1">
            <w:col w:w="11220"/>
          </w:cols>
          <w:pgMar w:left="320" w:top="124" w:right="359" w:bottom="1440" w:gutter="0" w:footer="0" w:header="0"/>
        </w:sectPr>
      </w:pPr>
    </w:p>
    <w:bookmarkStart w:id="250" w:name="page251"/>
    <w:bookmarkEnd w:id="250"/>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subject to certain conditions (the “Qualified Investors”). The Qualified Investors shall not be taken into account in the count of the Addressed Investors and may be offered to purchase securities in addition to the 35 Addressed Investors. We have not and will not take any action that would require it to publish a prospectus in accordance with and subject to the Israeli Securities Law, 5728—1968. We have not and will not distribute this prospectus or make, distribute or direct and offer to subscribe for our common stock to any person within the State of Israel, other than to Qualified Investors and up to 35 Addressed Investors.</w:t>
      </w:r>
    </w:p>
    <w:p>
      <w:pPr>
        <w:spacing w:after="0" w:line="129"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Qualified Investors may have to submit written evidence that they meet the definitions set out in the First Addendum to the Israeli Securities Law, 5728—1968. In particular, we may request, as a condition to be offered common stock, that Qualified Investors will each represent, warrant, and certify to us and/or to anyone acting on our behalf: (i) that it is an investor falling within one of the categories listed in the First Addendum to the Israeli Securities Law, 5728—1968; (ii) which of the categories listed in the First Addendum to the Israeli Securities Law, 5728—1968 regarding Qualified Investors is applicable to it; (iii) that it will abide by all provisions set forth in the Israeli Securities Law, 5728—1968 and the regulations promulgated thereunder in connection with the offer to be issued common stock; (iv) that the shares of common stock that it will be issued are, subject to exemptions available under the Israeli Securities Law, 5728—1968: (a) for its own account; (b) for investment purposes only; and (c) not issued with a view to resale within the State of Israel, other than in accordance with the provisions of the Israeli Securities Law, 5728—1968;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238</w:t>
      </w:r>
    </w:p>
    <w:p>
      <w:pPr>
        <w:sectPr>
          <w:pgSz w:w="11900" w:h="16838" w:orient="portrait"/>
          <w:cols w:equalWidth="0" w:num="1">
            <w:col w:w="11220"/>
          </w:cols>
          <w:pgMar w:left="320" w:top="124" w:right="359" w:bottom="1440" w:gutter="0" w:footer="0" w:header="0"/>
        </w:sectPr>
      </w:pPr>
    </w:p>
    <w:bookmarkStart w:id="251" w:name="page252"/>
    <w:bookmarkEnd w:id="251"/>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Wilson Sonsini Goodrich &amp; Rosati, P.C., Palo Alto, California, which has acted as our counsel in connection with this offering, will pass upon the validity of the shares of our common stock being offered by this prospectus. Wachtell, Lipton, Rosen &amp; Katz, New York, New York has acted as our special governance counsel in connection with this offering. Certain legal matters in connection with this offering will be passed upon for the underwriters by Davis Polk &amp; Wardwell LLP, New York, New York.</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75"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consolidated financial statements at December 31, 2024 and 2023, and for each of the three years in the period ended December 31, 2024, as set forth in their report. We have included our financial statements in the prospectus and elsewhere in the registration statement in reliance on Ernst &amp; Young LLP’s report, given on their authority as experts in accounting and auditing.</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75" w:lineRule="exact"/>
        <w:rPr>
          <w:sz w:val="20"/>
          <w:szCs w:val="20"/>
          <w:color w:val="auto"/>
        </w:rPr>
      </w:pPr>
    </w:p>
    <w:p>
      <w:pPr>
        <w:jc w:val="both"/>
        <w:ind w:right="60" w:firstLine="324"/>
        <w:spacing w:after="0" w:line="270" w:lineRule="auto"/>
        <w:rPr>
          <w:sz w:val="20"/>
          <w:szCs w:val="20"/>
          <w:color w:val="auto"/>
        </w:rPr>
      </w:pPr>
      <w:r>
        <w:rPr>
          <w:rFonts w:ascii="Times New Roman" w:cs="Times New Roman" w:eastAsia="Times New Roman" w:hAnsi="Times New Roman"/>
          <w:sz w:val="17"/>
          <w:szCs w:val="17"/>
          <w:color w:val="auto"/>
        </w:rPr>
        <w:t>We have submitted with the SEC a registration statement on Form S-1 under the Securities Act with respect to the shares of our common stock offered by this prospectus. This prospectus,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common stock, we refer you to the registration statement, including the exhibits filed as a part of the registration statement.</w:t>
      </w:r>
    </w:p>
    <w:p>
      <w:pPr>
        <w:spacing w:after="0" w:line="3"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maintains an Internet website that contains reports, proxy, and information statements, and other information about issuers, like us, that file electronically with the SEC. The address of that website is www.sec.gov.</w:t>
      </w:r>
    </w:p>
    <w:p>
      <w:pPr>
        <w:spacing w:after="0" w:line="133"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As a result of this offering, we will become subject to the information and reporting requirements of the Exchange Act and, in accordance with this law, will file periodic reports, proxy statements, and other information with the SEC. We also maintain a website at www.chime.com. Upon completion of this offering,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239</w:t>
      </w:r>
    </w:p>
    <w:p>
      <w:pPr>
        <w:sectPr>
          <w:pgSz w:w="11900" w:h="16838" w:orient="portrait"/>
          <w:cols w:equalWidth="0" w:num="1">
            <w:col w:w="11240"/>
          </w:cols>
          <w:pgMar w:left="320" w:top="124" w:right="339" w:bottom="1440" w:gutter="0" w:footer="0" w:header="0"/>
        </w:sectPr>
      </w:pPr>
    </w:p>
    <w:bookmarkStart w:id="252" w:name="page253"/>
    <w:bookmarkEnd w:id="252"/>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CHIME FINANCIAL, INC.</w:t>
      </w:r>
    </w:p>
    <w:p>
      <w:pPr>
        <w:spacing w:after="0" w:line="17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88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422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w:t>
            </w:r>
          </w:p>
        </w:tc>
        <w:tc>
          <w:tcPr>
            <w:tcW w:w="6120" w:type="dxa"/>
            <w:vAlign w:val="bottom"/>
            <w:gridSpan w:val="2"/>
            <w:vMerge w:val="restart"/>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220" w:type="dxa"/>
            <w:vAlign w:val="bottom"/>
            <w:gridSpan w:val="7"/>
            <w:vMerge w:val="continue"/>
          </w:tcPr>
          <w:p>
            <w:pPr>
              <w:spacing w:after="0"/>
              <w:rPr>
                <w:sz w:val="15"/>
                <w:szCs w:val="15"/>
                <w:color w:val="auto"/>
              </w:rPr>
            </w:pPr>
          </w:p>
        </w:tc>
        <w:tc>
          <w:tcPr>
            <w:tcW w:w="612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gridSpan w:val="2"/>
          </w:tcPr>
          <w:p>
            <w:pPr>
              <w:jc w:val="right"/>
              <w:ind w:right="40"/>
              <w:spacing w:after="0" w:line="182" w:lineRule="exact"/>
              <w:rPr>
                <w:sz w:val="20"/>
                <w:szCs w:val="20"/>
                <w:color w:val="auto"/>
              </w:rPr>
            </w:pPr>
            <w:r>
              <w:rPr>
                <w:rFonts w:ascii="Times New Roman" w:cs="Times New Roman" w:eastAsia="Times New Roman" w:hAnsi="Times New Roman"/>
                <w:sz w:val="18"/>
                <w:szCs w:val="18"/>
                <w:color w:val="0000FF"/>
                <w:w w:val="87"/>
              </w:rPr>
              <w:t>F-2</w:t>
            </w:r>
          </w:p>
        </w:tc>
        <w:tc>
          <w:tcPr>
            <w:tcW w:w="0" w:type="dxa"/>
            <w:vAlign w:val="bottom"/>
          </w:tcPr>
          <w:p>
            <w:pPr>
              <w:spacing w:after="0"/>
              <w:rPr>
                <w:sz w:val="1"/>
                <w:szCs w:val="1"/>
                <w:color w:val="auto"/>
              </w:rPr>
            </w:pPr>
          </w:p>
        </w:tc>
      </w:tr>
      <w:tr>
        <w:trPr>
          <w:trHeight w:val="20"/>
        </w:trPr>
        <w:tc>
          <w:tcPr>
            <w:tcW w:w="20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Consolidated Financial Statements</w:t>
            </w:r>
          </w:p>
        </w:tc>
        <w:tc>
          <w:tcPr>
            <w:tcW w:w="1720" w:type="dxa"/>
            <w:vAlign w:val="bottom"/>
            <w:gridSpan w:val="5"/>
          </w:tcPr>
          <w:p>
            <w:pPr>
              <w:spacing w:after="0"/>
              <w:rPr>
                <w:sz w:val="19"/>
                <w:szCs w:val="19"/>
                <w:color w:val="auto"/>
              </w:rPr>
            </w:pPr>
          </w:p>
        </w:tc>
        <w:tc>
          <w:tcPr>
            <w:tcW w:w="6120" w:type="dxa"/>
            <w:vAlign w:val="bottom"/>
            <w:gridSpan w:val="2"/>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0000FF"/>
                <w:w w:val="87"/>
              </w:rPr>
              <w:t>F-5</w:t>
            </w:r>
          </w:p>
        </w:tc>
        <w:tc>
          <w:tcPr>
            <w:tcW w:w="0" w:type="dxa"/>
            <w:vAlign w:val="bottom"/>
          </w:tcPr>
          <w:p>
            <w:pPr>
              <w:spacing w:after="0"/>
              <w:rPr>
                <w:sz w:val="1"/>
                <w:szCs w:val="1"/>
                <w:color w:val="auto"/>
              </w:rPr>
            </w:pPr>
          </w:p>
        </w:tc>
      </w:tr>
      <w:tr>
        <w:trPr>
          <w:trHeight w:val="20"/>
        </w:trPr>
        <w:tc>
          <w:tcPr>
            <w:tcW w:w="20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7840" w:type="dxa"/>
            <w:vAlign w:val="bottom"/>
            <w:gridSpan w:val="7"/>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0000FF"/>
                <w:w w:val="87"/>
              </w:rPr>
              <w:t>F-5</w:t>
            </w:r>
          </w:p>
        </w:tc>
        <w:tc>
          <w:tcPr>
            <w:tcW w:w="0" w:type="dxa"/>
            <w:vAlign w:val="bottom"/>
          </w:tcPr>
          <w:p>
            <w:pPr>
              <w:spacing w:after="0"/>
              <w:rPr>
                <w:sz w:val="1"/>
                <w:szCs w:val="1"/>
                <w:color w:val="auto"/>
              </w:rPr>
            </w:pPr>
          </w:p>
        </w:tc>
      </w:tr>
      <w:tr>
        <w:trPr>
          <w:trHeight w:val="20"/>
        </w:trPr>
        <w:tc>
          <w:tcPr>
            <w:tcW w:w="2080" w:type="dxa"/>
            <w:vAlign w:val="bottom"/>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7520" w:type="dxa"/>
            <w:vAlign w:val="bottom"/>
            <w:gridSpan w:val="6"/>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0000FF"/>
                <w:w w:val="87"/>
              </w:rPr>
              <w:t>F-6</w:t>
            </w:r>
          </w:p>
        </w:tc>
        <w:tc>
          <w:tcPr>
            <w:tcW w:w="0" w:type="dxa"/>
            <w:vAlign w:val="bottom"/>
          </w:tcPr>
          <w:p>
            <w:pPr>
              <w:spacing w:after="0"/>
              <w:rPr>
                <w:sz w:val="1"/>
                <w:szCs w:val="1"/>
                <w:color w:val="auto"/>
              </w:rPr>
            </w:pPr>
          </w:p>
        </w:tc>
      </w:tr>
      <w:tr>
        <w:trPr>
          <w:trHeight w:val="20"/>
        </w:trPr>
        <w:tc>
          <w:tcPr>
            <w:tcW w:w="20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Loss</w:t>
            </w:r>
          </w:p>
        </w:tc>
        <w:tc>
          <w:tcPr>
            <w:tcW w:w="6800" w:type="dxa"/>
            <w:vAlign w:val="bottom"/>
            <w:gridSpan w:val="3"/>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0000FF"/>
                <w:w w:val="87"/>
              </w:rPr>
              <w:t>F-7</w:t>
            </w:r>
          </w:p>
        </w:tc>
        <w:tc>
          <w:tcPr>
            <w:tcW w:w="0" w:type="dxa"/>
            <w:vAlign w:val="bottom"/>
          </w:tcPr>
          <w:p>
            <w:pPr>
              <w:spacing w:after="0"/>
              <w:rPr>
                <w:sz w:val="1"/>
                <w:szCs w:val="1"/>
                <w:color w:val="auto"/>
              </w:rPr>
            </w:pPr>
          </w:p>
        </w:tc>
      </w:tr>
      <w:tr>
        <w:trPr>
          <w:trHeight w:val="20"/>
        </w:trPr>
        <w:tc>
          <w:tcPr>
            <w:tcW w:w="20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3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Redeemable Convertible Preferred Stock and Stockholders’ Deficit</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0000FF"/>
                <w:w w:val="87"/>
              </w:rPr>
              <w:t>F-8</w:t>
            </w:r>
          </w:p>
        </w:tc>
        <w:tc>
          <w:tcPr>
            <w:tcW w:w="0" w:type="dxa"/>
            <w:vAlign w:val="bottom"/>
          </w:tcPr>
          <w:p>
            <w:pPr>
              <w:spacing w:after="0"/>
              <w:rPr>
                <w:sz w:val="1"/>
                <w:szCs w:val="1"/>
                <w:color w:val="auto"/>
              </w:rPr>
            </w:pPr>
          </w:p>
        </w:tc>
      </w:tr>
      <w:tr>
        <w:trPr>
          <w:trHeight w:val="20"/>
        </w:trPr>
        <w:tc>
          <w:tcPr>
            <w:tcW w:w="2860" w:type="dxa"/>
            <w:vAlign w:val="bottom"/>
            <w:gridSpan w:val="4"/>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40" w:type="dxa"/>
            <w:vAlign w:val="bottom"/>
            <w:gridSpan w:val="3"/>
            <w:shd w:val="clear" w:color="auto" w:fill="0000FF"/>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3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0000FF"/>
                <w:w w:val="87"/>
              </w:rPr>
              <w:t>F-9</w:t>
            </w:r>
          </w:p>
        </w:tc>
        <w:tc>
          <w:tcPr>
            <w:tcW w:w="0" w:type="dxa"/>
            <w:vAlign w:val="bottom"/>
          </w:tcPr>
          <w:p>
            <w:pPr>
              <w:spacing w:after="0"/>
              <w:rPr>
                <w:sz w:val="1"/>
                <w:szCs w:val="1"/>
                <w:color w:val="auto"/>
              </w:rPr>
            </w:pPr>
          </w:p>
        </w:tc>
      </w:tr>
      <w:tr>
        <w:trPr>
          <w:trHeight w:val="20"/>
        </w:trPr>
        <w:tc>
          <w:tcPr>
            <w:tcW w:w="2860" w:type="dxa"/>
            <w:vAlign w:val="bottom"/>
            <w:gridSpan w:val="4"/>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92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Notes to the Consolidated Financial Statements</w:t>
            </w:r>
          </w:p>
        </w:tc>
        <w:tc>
          <w:tcPr>
            <w:tcW w:w="6920" w:type="dxa"/>
            <w:vAlign w:val="bottom"/>
            <w:gridSpan w:val="4"/>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0000FF"/>
                <w:w w:val="93"/>
              </w:rPr>
              <w:t>F-10</w:t>
            </w:r>
          </w:p>
        </w:tc>
        <w:tc>
          <w:tcPr>
            <w:tcW w:w="0" w:type="dxa"/>
            <w:vAlign w:val="bottom"/>
          </w:tcPr>
          <w:p>
            <w:pPr>
              <w:spacing w:after="0"/>
              <w:rPr>
                <w:sz w:val="1"/>
                <w:szCs w:val="1"/>
                <w:color w:val="auto"/>
              </w:rPr>
            </w:pPr>
          </w:p>
        </w:tc>
      </w:tr>
      <w:tr>
        <w:trPr>
          <w:trHeight w:val="20"/>
        </w:trPr>
        <w:tc>
          <w:tcPr>
            <w:tcW w:w="20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-1216660</wp:posOffset>
            </wp:positionV>
            <wp:extent cx="660082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6008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F-1</w:t>
      </w:r>
    </w:p>
    <w:p>
      <w:pPr>
        <w:sectPr>
          <w:pgSz w:w="11900" w:h="16838" w:orient="portrait"/>
          <w:cols w:equalWidth="0" w:num="1">
            <w:col w:w="11220"/>
          </w:cols>
          <w:pgMar w:left="360" w:top="124" w:right="319" w:bottom="1440" w:gutter="0" w:footer="0" w:header="0"/>
        </w:sectPr>
      </w:pPr>
    </w:p>
    <w:bookmarkStart w:id="253" w:name="page254"/>
    <w:bookmarkEnd w:id="253"/>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 the Shareholders and the Board of Directors of Chime Financial, Inc.</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Chime Financial, Inc. (the Company) as of December 31, 2023 and 2024, the related consolidated statements of operations, comprehensive loss redeemable convertible preferred stock and stockholders’ deficit,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2023 and 2024, and the results of its operations and its cash flows for each of the three years in the period ended December 31, 2024, in conformity with U.S. generally accepted accounting principles.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ind w:right="40" w:firstLine="324"/>
        <w:spacing w:after="0" w:line="277"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4"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75"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220"/>
          </w:cols>
          <w:pgMar w:left="320" w:top="124" w:right="359" w:bottom="1440" w:gutter="0" w:footer="0" w:header="0"/>
        </w:sectPr>
      </w:pPr>
    </w:p>
    <w:bookmarkStart w:id="254" w:name="page255"/>
    <w:bookmarkEnd w:id="254"/>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i w:val="1"/>
          <w:iCs w:val="1"/>
          <w:color w:val="auto"/>
        </w:rPr>
        <w:t>Accrued Transaction Dispute Losses</w:t>
      </w:r>
    </w:p>
    <w:p>
      <w:pPr>
        <w:sectPr>
          <w:pgSz w:w="11900" w:h="16838" w:orient="portrait"/>
          <w:cols w:equalWidth="0" w:num="1">
            <w:col w:w="11200"/>
          </w:cols>
          <w:pgMar w:left="340" w:top="124" w:right="359" w:bottom="1440" w:gutter="0" w:footer="0" w:header="0"/>
        </w:sectPr>
      </w:pP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discussed in Notes 2 and 10 to the consolidated financial statements, the Company accrues for transaction dispute losses related to member-initiated transaction disputes or due to processing a fraudulent transaction. The accrual is estimated based on available data as of the reporting date, including expected disputes on processed transactions and historical loss rates. The Company accrued transaction dispute losses of $7.8 million as of December 31, 2024, which is included within accrued and other current liabilities in the consolidated balance sheet. For the year ended December 31, 2024, the Company recorded transaction dispute losses of $50.6 million, which is included in transaction losses in the consolidated statement of operations.</w:t>
      </w:r>
    </w:p>
    <w:p>
      <w:pPr>
        <w:spacing w:after="0" w:line="27" w:lineRule="exact"/>
        <w:rPr>
          <w:sz w:val="20"/>
          <w:szCs w:val="20"/>
          <w:color w:val="auto"/>
        </w:rPr>
      </w:pPr>
    </w:p>
    <w:p>
      <w:pPr>
        <w:sectPr>
          <w:pgSz w:w="11900" w:h="16838" w:orient="portrait"/>
          <w:cols w:equalWidth="0" w:num="2">
            <w:col w:w="1840" w:space="700"/>
            <w:col w:w="8660"/>
          </w:cols>
          <w:pgMar w:left="340" w:top="124" w:right="359" w:bottom="1440" w:gutter="0" w:footer="0" w:header="0"/>
          <w:type w:val="continuous"/>
        </w:sectPr>
      </w:pPr>
    </w:p>
    <w:p>
      <w:pPr>
        <w:ind w:left="2540" w:right="220"/>
        <w:spacing w:after="0" w:line="266" w:lineRule="auto"/>
        <w:rPr>
          <w:sz w:val="20"/>
          <w:szCs w:val="20"/>
          <w:color w:val="auto"/>
        </w:rPr>
      </w:pPr>
      <w:r>
        <w:rPr>
          <w:rFonts w:ascii="Times New Roman" w:cs="Times New Roman" w:eastAsia="Times New Roman" w:hAnsi="Times New Roman"/>
          <w:sz w:val="18"/>
          <w:szCs w:val="18"/>
          <w:color w:val="auto"/>
        </w:rPr>
        <w:t>Auditing accrued transaction dispute losses was challenging due to the volume of data sets from a number of systems that are aggregated by the Company to determine historical loss rates and estimate the accrued transaction dispute losses.</w:t>
      </w:r>
    </w:p>
    <w:p>
      <w:pPr>
        <w:sectPr>
          <w:pgSz w:w="11900" w:h="16838" w:orient="portrait"/>
          <w:cols w:equalWidth="0" w:num="1">
            <w:col w:w="11200"/>
          </w:cols>
          <w:pgMar w:left="340" w:top="124" w:right="359" w:bottom="1440" w:gutter="0" w:footer="0" w:header="0"/>
          <w:type w:val="continuous"/>
        </w:sectPr>
      </w:pPr>
    </w:p>
    <w:p>
      <w:pPr>
        <w:spacing w:after="0" w:line="174" w:lineRule="exact"/>
        <w:rPr>
          <w:sz w:val="20"/>
          <w:szCs w:val="20"/>
          <w:color w:val="auto"/>
        </w:rPr>
      </w:pPr>
    </w:p>
    <w:p>
      <w:pPr>
        <w:spacing w:after="0"/>
        <w:tabs>
          <w:tab w:leader="none" w:pos="2520" w:val="left"/>
        </w:tabs>
        <w:rPr>
          <w:sz w:val="20"/>
          <w:szCs w:val="20"/>
          <w:color w:val="auto"/>
        </w:rPr>
      </w:pPr>
      <w:r>
        <w:rPr>
          <w:rFonts w:ascii="Times New Roman" w:cs="Times New Roman" w:eastAsia="Times New Roman" w:hAnsi="Times New Roman"/>
          <w:sz w:val="18"/>
          <w:szCs w:val="18"/>
          <w:i w:val="1"/>
          <w:iCs w:val="1"/>
          <w:color w:val="auto"/>
        </w:rPr>
        <w:t>How We Addressed the Matter in</w:t>
      </w:r>
      <w:r>
        <w:rPr>
          <w:sz w:val="20"/>
          <w:szCs w:val="20"/>
          <w:color w:val="auto"/>
        </w:rPr>
        <w:tab/>
      </w:r>
      <w:r>
        <w:rPr>
          <w:rFonts w:ascii="Times New Roman" w:cs="Times New Roman" w:eastAsia="Times New Roman" w:hAnsi="Times New Roman"/>
          <w:sz w:val="17"/>
          <w:szCs w:val="17"/>
          <w:color w:val="auto"/>
        </w:rPr>
        <w:t>To test the Company’s accrued transaction dispute losses, we performed audit procedures that included, among others,</w:t>
      </w:r>
    </w:p>
    <w:p>
      <w:pPr>
        <w:sectPr>
          <w:pgSz w:w="11900" w:h="16838" w:orient="portrait"/>
          <w:cols w:equalWidth="0" w:num="1">
            <w:col w:w="11200"/>
          </w:cols>
          <w:pgMar w:left="340" w:top="124" w:right="359" w:bottom="1440" w:gutter="0" w:footer="0" w:header="0"/>
          <w:type w:val="continuous"/>
        </w:sectPr>
      </w:pPr>
    </w:p>
    <w:p>
      <w:pPr>
        <w:spacing w:after="0" w:line="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Our Audit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testing the completeness and accuracy of the underlying transaction dispute data used by the Company to record transaction dispute losses. To evaluate the completeness of the data used in the Company's calculation of accrued transaction dispute losses, we confirmed the total transactions processed by the Company included in the transaction dispute loss estimate directly with third party financial institutions, as well as the amounts paid to members as transaction dispute losses. We traced a sample of disputed transactions to the originating payment transaction in member accounts to assess the timing of when the disputed transaction occurred, when the disputed transaction was settled and the amount of the transaction dispute loss, if any. We reperformed the computation of historical loss rates using the underlying transaction dispute data and recalculated the accrued transaction dispute losses based on the application of the historical loss rates. We also evaluated subsequent events, which included assessing realized transaction dispute losses subsequent to year-end, to evaluate the Company’s estimate of the accrued transaction dispute losses as of the balance sheet date.</w:t>
      </w:r>
    </w:p>
    <w:p>
      <w:pPr>
        <w:spacing w:after="0" w:line="188" w:lineRule="exact"/>
        <w:rPr>
          <w:sz w:val="20"/>
          <w:szCs w:val="20"/>
          <w:color w:val="auto"/>
        </w:rPr>
      </w:pPr>
    </w:p>
    <w:p>
      <w:pPr>
        <w:sectPr>
          <w:pgSz w:w="11900" w:h="16838" w:orient="portrait"/>
          <w:cols w:equalWidth="0" w:num="2">
            <w:col w:w="1820" w:space="720"/>
            <w:col w:w="8660"/>
          </w:cols>
          <w:pgMar w:left="340" w:top="124" w:right="359" w:bottom="1440" w:gutter="0" w:footer="0" w:header="0"/>
          <w:type w:val="continuous"/>
        </w:sectPr>
      </w:pPr>
    </w:p>
    <w:p>
      <w:pPr>
        <w:ind w:left="254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Business Combinations</w:t>
      </w:r>
    </w:p>
    <w:p>
      <w:pPr>
        <w:sectPr>
          <w:pgSz w:w="11900" w:h="16838" w:orient="portrait"/>
          <w:cols w:equalWidth="0" w:num="1">
            <w:col w:w="11200"/>
          </w:cols>
          <w:pgMar w:left="340" w:top="124" w:right="359" w:bottom="1440" w:gutter="0" w:footer="0" w:header="0"/>
          <w:type w:val="continuous"/>
        </w:sectPr>
      </w:pP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discussed in Notes 2 and 9 to the consolidated financial statements, the Company acquired a 100% ownership interest in Salt Labs, Inc. (“Salt Labs”). The purchase consideration was $43.3 million, which consisted of (i) $23.6 million in cash, (ii) $4.7 million from the issuance of shares of the Company’s common stock, (iii) $13.8 million related to the deemed vested component of outstanding employee awards, based on the ratio of time served in relation to the vesting term of each award, with the unvested portion being replaced with the Company’s unvested replacement awards comprising of restricted stock awards, and (iv) $1.2 million of cash paid for transaction costs on behalf of Salt Labs. Additionally certain retained employees of Salt Labs are eligible to earn earn-out performance-based restricted stock units based on achievement of designated operational metrics.</w:t>
      </w:r>
    </w:p>
    <w:p>
      <w:pPr>
        <w:spacing w:after="0" w:line="30" w:lineRule="exact"/>
        <w:rPr>
          <w:sz w:val="20"/>
          <w:szCs w:val="20"/>
          <w:color w:val="auto"/>
        </w:rPr>
      </w:pPr>
    </w:p>
    <w:p>
      <w:pPr>
        <w:sectPr>
          <w:pgSz w:w="11900" w:h="16838" w:orient="portrait"/>
          <w:cols w:equalWidth="0" w:num="2">
            <w:col w:w="1840" w:space="700"/>
            <w:col w:w="8660"/>
          </w:cols>
          <w:pgMar w:left="340" w:top="124" w:right="359" w:bottom="1440" w:gutter="0" w:footer="0" w:header="0"/>
          <w:type w:val="continuous"/>
        </w:sectPr>
      </w:pPr>
    </w:p>
    <w:p>
      <w:pPr>
        <w:ind w:left="2540"/>
        <w:spacing w:after="0" w:line="266" w:lineRule="auto"/>
        <w:rPr>
          <w:sz w:val="20"/>
          <w:szCs w:val="20"/>
          <w:color w:val="auto"/>
        </w:rPr>
      </w:pPr>
      <w:r>
        <w:rPr>
          <w:rFonts w:ascii="Times New Roman" w:cs="Times New Roman" w:eastAsia="Times New Roman" w:hAnsi="Times New Roman"/>
          <w:sz w:val="18"/>
          <w:szCs w:val="18"/>
          <w:color w:val="auto"/>
        </w:rPr>
        <w:t>Auditing the accounting for the business combination was complex due to the material and complex terms in the merger agreement impacting total purchase consideration. Such complexities include the accounting for replacement awards and the evaluation of the earn out performance criteria.</w:t>
      </w:r>
    </w:p>
    <w:p>
      <w:pPr>
        <w:sectPr>
          <w:pgSz w:w="11900" w:h="16838" w:orient="portrait"/>
          <w:cols w:equalWidth="0" w:num="1">
            <w:col w:w="11200"/>
          </w:cols>
          <w:pgMar w:left="340" w:top="12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w:t>
      </w:r>
    </w:p>
    <w:p>
      <w:pPr>
        <w:sectPr>
          <w:pgSz w:w="11900" w:h="16838" w:orient="portrait"/>
          <w:cols w:equalWidth="0" w:num="1">
            <w:col w:w="11200"/>
          </w:cols>
          <w:pgMar w:left="340" w:top="124" w:right="359" w:bottom="1440" w:gutter="0" w:footer="0" w:header="0"/>
          <w:type w:val="continuous"/>
        </w:sectPr>
      </w:pPr>
    </w:p>
    <w:bookmarkStart w:id="255" w:name="page256"/>
    <w:bookmarkEnd w:id="255"/>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tabs>
          <w:tab w:leader="none" w:pos="2520" w:val="left"/>
        </w:tabs>
        <w:rPr>
          <w:sz w:val="20"/>
          <w:szCs w:val="20"/>
          <w:color w:val="auto"/>
        </w:rPr>
      </w:pPr>
      <w:r>
        <w:rPr>
          <w:rFonts w:ascii="Times New Roman" w:cs="Times New Roman" w:eastAsia="Times New Roman" w:hAnsi="Times New Roman"/>
          <w:sz w:val="18"/>
          <w:szCs w:val="18"/>
          <w:i w:val="1"/>
          <w:iCs w:val="1"/>
          <w:color w:val="auto"/>
        </w:rPr>
        <w:t>How We Addressed the Matter in</w:t>
      </w:r>
      <w:r>
        <w:rPr>
          <w:sz w:val="20"/>
          <w:szCs w:val="20"/>
          <w:color w:val="auto"/>
        </w:rPr>
        <w:tab/>
      </w:r>
      <w:r>
        <w:rPr>
          <w:rFonts w:ascii="Times New Roman" w:cs="Times New Roman" w:eastAsia="Times New Roman" w:hAnsi="Times New Roman"/>
          <w:sz w:val="17"/>
          <w:szCs w:val="17"/>
          <w:color w:val="auto"/>
        </w:rPr>
        <w:t>To test the accounting for business combinations, we performed audit procedures that included, among others, assessing</w:t>
      </w:r>
    </w:p>
    <w:p>
      <w:pPr>
        <w:sectPr>
          <w:pgSz w:w="11900" w:h="16838" w:orient="portrait"/>
          <w:cols w:equalWidth="0" w:num="1">
            <w:col w:w="11180"/>
          </w:cols>
          <w:pgMar w:left="340" w:top="124" w:right="379" w:bottom="1440" w:gutter="0" w:footer="0" w:header="0"/>
        </w:sectPr>
      </w:pPr>
    </w:p>
    <w:p>
      <w:pPr>
        <w:spacing w:after="0" w:line="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Our Audit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management’s accounting evaluation of the acquisition. We examined the documents associated with the business combination including the merger agreement and a sample of equity award agreements and evaluated the judgments made by management in accordance with applicable accounting standards. Additionally, we performed inquiries of senior management responsible for the documents referenced above, assessed financial reporting considerations related to those discussions and obtained supporting audit evidence. We also tested purchase consideration, which included vouching cash consideration to evidence of payment and recomputing, on a sample basis, stock consideration issued as replacement awards.</w:t>
      </w:r>
    </w:p>
    <w:p>
      <w:pPr>
        <w:spacing w:after="0" w:line="184" w:lineRule="exact"/>
        <w:rPr>
          <w:sz w:val="20"/>
          <w:szCs w:val="20"/>
          <w:color w:val="auto"/>
        </w:rPr>
      </w:pPr>
    </w:p>
    <w:p>
      <w:pPr>
        <w:sectPr>
          <w:pgSz w:w="11900" w:h="16838" w:orient="portrait"/>
          <w:cols w:equalWidth="0" w:num="2">
            <w:col w:w="1820" w:space="720"/>
            <w:col w:w="8640"/>
          </w:cols>
          <w:pgMar w:left="340" w:top="124" w:right="379" w:bottom="1440" w:gutter="0" w:footer="0" w:header="0"/>
          <w:type w:val="continuous"/>
        </w:sectPr>
      </w:pPr>
    </w:p>
    <w:p>
      <w:pPr>
        <w:ind w:left="2540"/>
        <w:spacing w:after="0"/>
        <w:rPr>
          <w:sz w:val="20"/>
          <w:szCs w:val="20"/>
          <w:color w:val="auto"/>
        </w:rPr>
      </w:pPr>
      <w:r>
        <w:rPr>
          <w:rFonts w:ascii="Times New Roman" w:cs="Times New Roman" w:eastAsia="Times New Roman" w:hAnsi="Times New Roman"/>
          <w:sz w:val="17"/>
          <w:szCs w:val="17"/>
          <w:b w:val="1"/>
          <w:bCs w:val="1"/>
          <w:i w:val="1"/>
          <w:iCs w:val="1"/>
          <w:color w:val="auto"/>
        </w:rPr>
        <w:t>Accounting for revenue contracts</w:t>
      </w:r>
    </w:p>
    <w:p>
      <w:pPr>
        <w:sectPr>
          <w:pgSz w:w="11900" w:h="16838" w:orient="portrait"/>
          <w:cols w:equalWidth="0" w:num="1">
            <w:col w:w="11180"/>
          </w:cols>
          <w:pgMar w:left="340" w:top="124" w:right="379" w:bottom="1440" w:gutter="0" w:footer="0" w:header="0"/>
          <w:type w:val="continuous"/>
        </w:sectPr>
      </w:pP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2024, the Company’s revenue was $1,673.3 million. As discussed in Note 2 and Note 3 to the consolidated financial statements, the Company earns payments revenue in exchange for providing payment services for its members and platform-related revenue from other products offered to its members that provide additional convenience, financial management tools, and access to liquidity.</w:t>
      </w:r>
    </w:p>
    <w:p>
      <w:pPr>
        <w:spacing w:after="0" w:line="18" w:lineRule="exact"/>
        <w:rPr>
          <w:sz w:val="20"/>
          <w:szCs w:val="20"/>
          <w:color w:val="auto"/>
        </w:rPr>
      </w:pPr>
    </w:p>
    <w:p>
      <w:pPr>
        <w:sectPr>
          <w:pgSz w:w="11900" w:h="16838" w:orient="portrait"/>
          <w:cols w:equalWidth="0" w:num="2">
            <w:col w:w="1840" w:space="700"/>
            <w:col w:w="8640"/>
          </w:cols>
          <w:pgMar w:left="340" w:top="124" w:right="379" w:bottom="1440" w:gutter="0" w:footer="0" w:header="0"/>
          <w:type w:val="continuous"/>
        </w:sectPr>
      </w:pPr>
    </w:p>
    <w:p>
      <w:pPr>
        <w:ind w:left="2540" w:right="200"/>
        <w:spacing w:after="0" w:line="261" w:lineRule="auto"/>
        <w:rPr>
          <w:sz w:val="20"/>
          <w:szCs w:val="20"/>
          <w:color w:val="auto"/>
        </w:rPr>
      </w:pPr>
      <w:r>
        <w:rPr>
          <w:rFonts w:ascii="Times New Roman" w:cs="Times New Roman" w:eastAsia="Times New Roman" w:hAnsi="Times New Roman"/>
          <w:sz w:val="18"/>
          <w:szCs w:val="18"/>
          <w:color w:val="auto"/>
        </w:rPr>
        <w:t>Auditing the Company’s revenue recognition related to products and services offered to its members was challenging due to complex terms and conditions in the Company’s contracts with its members and bank partners that require the Company to exercise judgment in determining how the contract terms and conditions affect the recognition and presentation of revenue.</w:t>
      </w:r>
    </w:p>
    <w:p>
      <w:pPr>
        <w:sectPr>
          <w:pgSz w:w="11900" w:h="16838" w:orient="portrait"/>
          <w:cols w:equalWidth="0" w:num="1">
            <w:col w:w="11180"/>
          </w:cols>
          <w:pgMar w:left="340" w:top="124" w:right="379" w:bottom="1440" w:gutter="0" w:footer="0" w:header="0"/>
          <w:type w:val="continuous"/>
        </w:sectPr>
      </w:pPr>
    </w:p>
    <w:p>
      <w:pPr>
        <w:spacing w:after="0" w:line="178" w:lineRule="exact"/>
        <w:rPr>
          <w:sz w:val="20"/>
          <w:szCs w:val="20"/>
          <w:color w:val="auto"/>
        </w:rPr>
      </w:pPr>
    </w:p>
    <w:p>
      <w:pPr>
        <w:spacing w:after="0"/>
        <w:tabs>
          <w:tab w:leader="none" w:pos="2520" w:val="left"/>
        </w:tabs>
        <w:rPr>
          <w:sz w:val="20"/>
          <w:szCs w:val="20"/>
          <w:color w:val="auto"/>
        </w:rPr>
      </w:pPr>
      <w:r>
        <w:rPr>
          <w:rFonts w:ascii="Times New Roman" w:cs="Times New Roman" w:eastAsia="Times New Roman" w:hAnsi="Times New Roman"/>
          <w:sz w:val="18"/>
          <w:szCs w:val="18"/>
          <w:i w:val="1"/>
          <w:iCs w:val="1"/>
          <w:color w:val="auto"/>
        </w:rPr>
        <w:t>How We Addressed the Matter in</w:t>
      </w:r>
      <w:r>
        <w:rPr>
          <w:sz w:val="20"/>
          <w:szCs w:val="20"/>
          <w:color w:val="auto"/>
        </w:rPr>
        <w:tab/>
      </w:r>
      <w:r>
        <w:rPr>
          <w:rFonts w:ascii="Times New Roman" w:cs="Times New Roman" w:eastAsia="Times New Roman" w:hAnsi="Times New Roman"/>
          <w:sz w:val="17"/>
          <w:szCs w:val="17"/>
          <w:color w:val="auto"/>
        </w:rPr>
        <w:t>To test the Company’s accounting for revenue, we performed audit procedures that included, among others, obtaining</w:t>
      </w:r>
    </w:p>
    <w:p>
      <w:pPr>
        <w:sectPr>
          <w:pgSz w:w="11900" w:h="16838" w:orient="portrait"/>
          <w:cols w:equalWidth="0" w:num="1">
            <w:col w:w="11180"/>
          </w:cols>
          <w:pgMar w:left="340" w:top="124" w:right="379" w:bottom="1440" w:gutter="0" w:footer="0" w:header="0"/>
          <w:type w:val="continuous"/>
        </w:sectPr>
      </w:pPr>
    </w:p>
    <w:p>
      <w:pPr>
        <w:spacing w:after="0" w:line="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Our Audit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right="460"/>
        <w:spacing w:after="0" w:line="253" w:lineRule="auto"/>
        <w:rPr>
          <w:sz w:val="20"/>
          <w:szCs w:val="20"/>
          <w:color w:val="auto"/>
        </w:rPr>
      </w:pPr>
      <w:r>
        <w:rPr>
          <w:rFonts w:ascii="Times New Roman" w:cs="Times New Roman" w:eastAsia="Times New Roman" w:hAnsi="Times New Roman"/>
          <w:sz w:val="18"/>
          <w:szCs w:val="18"/>
          <w:color w:val="auto"/>
        </w:rPr>
        <w:t>and inspecting a sample of new and modified contracts during the current period, evaluating management’s identification of significant contract terms and conditions, assessment of the applicable accounting standards, and determination of distinct performance obligations, as applicable, and assessing the resulting recognition and presentation of revenue.</w:t>
      </w:r>
    </w:p>
    <w:p>
      <w:pPr>
        <w:spacing w:after="0" w:line="200" w:lineRule="exact"/>
        <w:rPr>
          <w:sz w:val="20"/>
          <w:szCs w:val="20"/>
          <w:color w:val="auto"/>
        </w:rPr>
      </w:pPr>
    </w:p>
    <w:p>
      <w:pPr>
        <w:sectPr>
          <w:pgSz w:w="11900" w:h="16838" w:orient="portrait"/>
          <w:cols w:equalWidth="0" w:num="2">
            <w:col w:w="1820" w:space="720"/>
            <w:col w:w="8640"/>
          </w:cols>
          <w:pgMar w:left="340" w:top="124" w:right="379" w:bottom="144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March 11,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w:t>
      </w:r>
    </w:p>
    <w:p>
      <w:pPr>
        <w:sectPr>
          <w:pgSz w:w="11900" w:h="16838" w:orient="portrait"/>
          <w:cols w:equalWidth="0" w:num="1">
            <w:col w:w="11180"/>
          </w:cols>
          <w:pgMar w:left="340" w:top="124" w:right="379" w:bottom="1440" w:gutter="0" w:footer="0" w:header="0"/>
          <w:type w:val="continuous"/>
        </w:sectPr>
      </w:pPr>
    </w:p>
    <w:bookmarkStart w:id="256" w:name="page257"/>
    <w:bookmarkEnd w:id="256"/>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CHIME FINANCIAL, INC.</w:t>
      </w:r>
    </w:p>
    <w:p>
      <w:pPr>
        <w:spacing w:after="0" w:line="50"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r>
      <w:tr>
        <w:trPr>
          <w:trHeight w:val="23"/>
        </w:trPr>
        <w:tc>
          <w:tcPr>
            <w:tcW w:w="8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82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239,745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337,697</w:t>
            </w:r>
          </w:p>
        </w:tc>
      </w:tr>
      <w:tr>
        <w:trPr>
          <w:trHeight w:val="229"/>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12,303</w:t>
            </w:r>
          </w:p>
        </w:tc>
      </w:tr>
      <w:tr>
        <w:trPr>
          <w:trHeight w:val="230"/>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Product collateral</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138,704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181,723</w:t>
            </w:r>
          </w:p>
        </w:tc>
      </w:tr>
      <w:tr>
        <w:trPr>
          <w:trHeight w:val="229"/>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Marketable securities</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560,883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368,889</w:t>
            </w:r>
          </w:p>
        </w:tc>
      </w:tr>
      <w:tr>
        <w:trPr>
          <w:trHeight w:val="229"/>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176,547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216,161</w:t>
            </w:r>
          </w:p>
        </w:tc>
      </w:tr>
      <w:tr>
        <w:trPr>
          <w:trHeight w:val="230"/>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Loans held for investment, net</w:t>
            </w:r>
          </w:p>
        </w:tc>
        <w:tc>
          <w:tcPr>
            <w:tcW w:w="3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99,799</w:t>
            </w:r>
          </w:p>
        </w:tc>
      </w:tr>
      <w:tr>
        <w:trPr>
          <w:trHeight w:val="229"/>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45,960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70,464</w:t>
            </w:r>
          </w:p>
        </w:tc>
      </w:tr>
      <w:tr>
        <w:trPr>
          <w:trHeight w:val="223"/>
        </w:trPr>
        <w:tc>
          <w:tcPr>
            <w:tcW w:w="82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1,161,839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1,287,036</w:t>
            </w:r>
          </w:p>
        </w:tc>
      </w:tr>
      <w:tr>
        <w:trPr>
          <w:trHeight w:val="229"/>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Property, equipment and software, net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104,406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92,700</w:t>
            </w:r>
          </w:p>
        </w:tc>
      </w:tr>
      <w:tr>
        <w:trPr>
          <w:trHeight w:val="229"/>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right of use assets, net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53,093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49,332</w:t>
            </w:r>
          </w:p>
        </w:tc>
      </w:tr>
      <w:tr>
        <w:trPr>
          <w:trHeight w:val="230"/>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31,969</w:t>
            </w:r>
          </w:p>
        </w:tc>
      </w:tr>
      <w:tr>
        <w:trPr>
          <w:trHeight w:val="223"/>
        </w:trPr>
        <w:tc>
          <w:tcPr>
            <w:tcW w:w="82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1,320,252</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1,461,037</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7"/>
        </w:trPr>
        <w:tc>
          <w:tcPr>
            <w:tcW w:w="82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redeemable convertible preferred stock, and stockholders</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deficit</w:t>
            </w: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35,846</w:t>
            </w:r>
          </w:p>
        </w:tc>
      </w:tr>
      <w:tr>
        <w:trPr>
          <w:trHeight w:val="230"/>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177,909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224,594</w:t>
            </w:r>
          </w:p>
        </w:tc>
      </w:tr>
      <w:tr>
        <w:trPr>
          <w:trHeight w:val="229"/>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Product obligation</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88,600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114,377</w:t>
            </w:r>
          </w:p>
        </w:tc>
      </w:tr>
      <w:tr>
        <w:trPr>
          <w:trHeight w:val="223"/>
        </w:trPr>
        <w:tc>
          <w:tcPr>
            <w:tcW w:w="82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288,652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374,817</w:t>
            </w:r>
          </w:p>
        </w:tc>
      </w:tr>
      <w:tr>
        <w:trPr>
          <w:trHeight w:val="230"/>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92,931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80,590</w:t>
            </w:r>
          </w:p>
        </w:tc>
      </w:tr>
      <w:tr>
        <w:trPr>
          <w:trHeight w:val="230"/>
        </w:trPr>
        <w:tc>
          <w:tcPr>
            <w:tcW w:w="82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46,109</w:t>
            </w:r>
          </w:p>
        </w:tc>
      </w:tr>
      <w:tr>
        <w:trPr>
          <w:trHeight w:val="223"/>
        </w:trPr>
        <w:tc>
          <w:tcPr>
            <w:tcW w:w="82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383,744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501,516</w:t>
            </w:r>
          </w:p>
        </w:tc>
      </w:tr>
      <w:tr>
        <w:trPr>
          <w:trHeight w:val="21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18)</w:t>
            </w: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75"/>
        </w:trPr>
        <w:tc>
          <w:tcPr>
            <w:tcW w:w="82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Redeemable convertible preferred stock, $0.0001 par value: 258,613,394 shares authorized and 258,464,156</w:t>
            </w: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75"/>
        </w:trPr>
        <w:tc>
          <w:tcPr>
            <w:tcW w:w="822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shares issued and outstanding as of December 31, 2023 and December 31, 2024. Aggregate liquidation</w:t>
            </w: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43"/>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preference of $2,894,515 as of December 31, 2023 and December 31, 2024.</w:t>
            </w: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2,890,121</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2,890,121</w:t>
            </w: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175"/>
        </w:trPr>
        <w:tc>
          <w:tcPr>
            <w:tcW w:w="82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$0.0001 par value: 396,729,518 and 416,094,141 shares authorized as of December 31, 2023 and</w:t>
            </w: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75"/>
        </w:trPr>
        <w:tc>
          <w:tcPr>
            <w:tcW w:w="822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December 31, 2024. 64,394,985 and 66,950,736 shares issued and outstanding as of December 31, 2023 and</w:t>
            </w: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43"/>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2024.</w:t>
            </w: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384,489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433,363</w:t>
            </w:r>
          </w:p>
        </w:tc>
      </w:tr>
      <w:tr>
        <w:trPr>
          <w:trHeight w:val="230"/>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30"/>
        </w:trPr>
        <w:tc>
          <w:tcPr>
            <w:tcW w:w="82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99"/>
              </w:rPr>
              <w:t>(2,338,824)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9"/>
              </w:rPr>
              <w:t>(2,364,168)</w:t>
            </w:r>
          </w:p>
        </w:tc>
      </w:tr>
      <w:tr>
        <w:trPr>
          <w:trHeight w:val="223"/>
        </w:trPr>
        <w:tc>
          <w:tcPr>
            <w:tcW w:w="82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9"/>
              </w:rPr>
              <w:t>(1,953,613)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(1,930,600)</w:t>
            </w:r>
          </w:p>
        </w:tc>
      </w:tr>
      <w:tr>
        <w:trPr>
          <w:trHeight w:val="223"/>
        </w:trPr>
        <w:tc>
          <w:tcPr>
            <w:tcW w:w="82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liabilities, redeemable convertible preferred stock, and stockholders’ deficit</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1,320,252</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1,461,037</w:t>
            </w:r>
          </w:p>
        </w:tc>
      </w:tr>
      <w:tr>
        <w:trPr>
          <w:trHeight w:val="20"/>
        </w:trPr>
        <w:tc>
          <w:tcPr>
            <w:tcW w:w="8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3355340</wp:posOffset>
            </wp:positionH>
            <wp:positionV relativeFrom="paragraph">
              <wp:posOffset>-3143250</wp:posOffset>
            </wp:positionV>
            <wp:extent cx="50800" cy="685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0800" cy="6858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240"/>
          </w:cols>
          <w:pgMar w:left="320" w:top="124" w:right="339" w:bottom="1440" w:gutter="0" w:footer="0" w:header="0"/>
        </w:sectPr>
      </w:pPr>
    </w:p>
    <w:bookmarkStart w:id="257" w:name="page258"/>
    <w:bookmarkEnd w:id="257"/>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CHIME FINANCIAL,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p>
      <w:pPr>
        <w:spacing w:after="0" w:line="25" w:lineRule="exact"/>
        <w:rPr>
          <w:sz w:val="20"/>
          <w:szCs w:val="20"/>
          <w:color w:val="auto"/>
        </w:rPr>
      </w:pPr>
    </w:p>
    <w:p>
      <w:pPr>
        <w:jc w:val="center"/>
        <w:ind w:left="696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jc w:val="center"/>
        <w:ind w:left="69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98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1,008,838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1,278,455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1,673,269</w:t>
            </w:r>
          </w:p>
        </w:tc>
      </w:tr>
      <w:tr>
        <w:trPr>
          <w:trHeight w:val="229"/>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214,686</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219,737</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207,511</w:t>
            </w:r>
          </w:p>
        </w:tc>
      </w:tr>
      <w:tr>
        <w:trPr>
          <w:trHeight w:val="223"/>
        </w:trPr>
        <w:tc>
          <w:tcPr>
            <w:tcW w:w="6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794,152</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1,058,718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1,465,758</w:t>
            </w:r>
          </w:p>
        </w:tc>
      </w:tr>
      <w:tr>
        <w:trPr>
          <w:trHeight w:val="20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9"/>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Transaction and risk losses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126,714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152,375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219,687</w:t>
            </w:r>
          </w:p>
        </w:tc>
      </w:tr>
      <w:tr>
        <w:trPr>
          <w:trHeight w:val="230"/>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Member support and operations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292,466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272,755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286,856</w:t>
            </w:r>
          </w:p>
        </w:tc>
      </w:tr>
      <w:tr>
        <w:trPr>
          <w:trHeight w:val="229"/>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434,225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443,806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519,760</w:t>
            </w:r>
          </w:p>
        </w:tc>
      </w:tr>
      <w:tr>
        <w:trPr>
          <w:trHeight w:val="230"/>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242,433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259,001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309,575</w:t>
            </w:r>
          </w:p>
        </w:tc>
      </w:tr>
      <w:tr>
        <w:trPr>
          <w:trHeight w:val="229"/>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169,716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154,945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177,229</w:t>
            </w:r>
          </w:p>
        </w:tc>
      </w:tr>
      <w:tr>
        <w:trPr>
          <w:trHeight w:val="229"/>
        </w:trPr>
        <w:tc>
          <w:tcPr>
            <w:tcW w:w="6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7,300</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11,621</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14,850</w:t>
            </w:r>
          </w:p>
        </w:tc>
      </w:tr>
      <w:tr>
        <w:trPr>
          <w:trHeight w:val="223"/>
        </w:trPr>
        <w:tc>
          <w:tcPr>
            <w:tcW w:w="6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1,272,854</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1,294,503</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1,527,957</w:t>
            </w:r>
          </w:p>
        </w:tc>
      </w:tr>
      <w:tr>
        <w:trPr>
          <w:trHeight w:val="223"/>
        </w:trPr>
        <w:tc>
          <w:tcPr>
            <w:tcW w:w="6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(478,702)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(235,785)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(62,199)</w:t>
            </w:r>
          </w:p>
        </w:tc>
      </w:tr>
      <w:tr>
        <w:trPr>
          <w:trHeight w:val="230"/>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8,111</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32,817</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39,465</w:t>
            </w:r>
          </w:p>
        </w:tc>
      </w:tr>
      <w:tr>
        <w:trPr>
          <w:trHeight w:val="223"/>
        </w:trPr>
        <w:tc>
          <w:tcPr>
            <w:tcW w:w="6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(470,591)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(202,968)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(22,734)</w:t>
            </w: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w:t>
            </w:r>
          </w:p>
        </w:tc>
      </w:tr>
      <w:tr>
        <w:trPr>
          <w:trHeight w:val="223"/>
        </w:trPr>
        <w:tc>
          <w:tcPr>
            <w:tcW w:w="6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(470,254)</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(203,202)</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(25,344)</w:t>
            </w: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4"/>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r>
      <w:tr>
        <w:trPr>
          <w:trHeight w:val="175"/>
        </w:trPr>
        <w:tc>
          <w:tcPr>
            <w:tcW w:w="69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 average number of shares outstanding used to compute net loss per share attributable</w:t>
            </w: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43"/>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 common stockholders, basic and diluted</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57,884,136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63,104,219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64,910,056</w:t>
            </w: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240"/>
          </w:cols>
          <w:pgMar w:left="320" w:top="124" w:right="339" w:bottom="1440" w:gutter="0" w:footer="0" w:header="0"/>
        </w:sectPr>
      </w:pPr>
    </w:p>
    <w:bookmarkStart w:id="258" w:name="page259"/>
    <w:bookmarkEnd w:id="258"/>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CHIME FINANCIAL,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87" w:lineRule="exact"/>
        <w:rPr>
          <w:sz w:val="20"/>
          <w:szCs w:val="20"/>
          <w:color w:val="auto"/>
        </w:rPr>
      </w:pPr>
    </w:p>
    <w:p>
      <w:pPr>
        <w:jc w:val="center"/>
        <w:ind w:left="666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jc w:val="center"/>
        <w:ind w:left="66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68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(470,254)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(25,344)</w:t>
            </w:r>
          </w:p>
        </w:tc>
      </w:tr>
      <w:tr>
        <w:trPr>
          <w:trHeight w:val="22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unrealized (loss) gain on marketable securities, net of tax</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9"/>
        </w:trPr>
        <w:tc>
          <w:tcPr>
            <w:tcW w:w="6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w:t>
            </w:r>
          </w:p>
        </w:tc>
      </w:tr>
      <w:tr>
        <w:trPr>
          <w:trHeight w:val="248"/>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(474,756)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(25,861)</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240"/>
          </w:cols>
          <w:pgMar w:left="320" w:top="124" w:right="339" w:bottom="1440" w:gutter="0" w:footer="0" w:header="0"/>
        </w:sectPr>
      </w:pPr>
    </w:p>
    <w:bookmarkStart w:id="259" w:name="page260"/>
    <w:bookmarkEnd w:id="259"/>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CHIME FINANCIAL,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REDEEMABLE CONVERTIBLE PREFERRED STOCK AND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1940" w:type="dxa"/>
            <w:vAlign w:val="bottom"/>
            <w:tcBorders>
              <w:right w:val="single" w:sz="8" w:color="auto"/>
            </w:tcBorders>
            <w:gridSpan w:val="4"/>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Redeemable Convertible</w:t>
            </w: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3520" w:type="dxa"/>
            <w:vAlign w:val="bottom"/>
          </w:tcPr>
          <w:p>
            <w:pPr>
              <w:spacing w:after="0"/>
              <w:rPr>
                <w:sz w:val="7"/>
                <w:szCs w:val="7"/>
                <w:color w:val="auto"/>
              </w:rPr>
            </w:pPr>
          </w:p>
        </w:tc>
        <w:tc>
          <w:tcPr>
            <w:tcW w:w="1940" w:type="dxa"/>
            <w:vAlign w:val="bottom"/>
            <w:tcBorders>
              <w:right w:val="single" w:sz="8" w:color="auto"/>
            </w:tcBorders>
            <w:gridSpan w:val="4"/>
            <w:vMerge w:val="continue"/>
          </w:tcPr>
          <w:p>
            <w:pPr>
              <w:spacing w:after="0"/>
              <w:rPr>
                <w:sz w:val="7"/>
                <w:szCs w:val="7"/>
                <w:color w:val="auto"/>
              </w:rPr>
            </w:pPr>
          </w:p>
        </w:tc>
        <w:tc>
          <w:tcPr>
            <w:tcW w:w="60" w:type="dxa"/>
            <w:vAlign w:val="bottom"/>
          </w:tcPr>
          <w:p>
            <w:pPr>
              <w:spacing w:after="0"/>
              <w:rPr>
                <w:sz w:val="7"/>
                <w:szCs w:val="7"/>
                <w:color w:val="auto"/>
              </w:rPr>
            </w:pPr>
          </w:p>
        </w:tc>
        <w:tc>
          <w:tcPr>
            <w:tcW w:w="1760" w:type="dxa"/>
            <w:vAlign w:val="bottom"/>
            <w:gridSpan w:val="4"/>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vMerge w:val="restart"/>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gridSpan w:val="2"/>
            <w:vMerge w:val="restart"/>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gridSpan w:val="2"/>
            <w:vMerge w:val="restart"/>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900" w:type="dxa"/>
            <w:vAlign w:val="bottom"/>
            <w:vMerge w:val="restart"/>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5"/>
        </w:trPr>
        <w:tc>
          <w:tcPr>
            <w:tcW w:w="3520" w:type="dxa"/>
            <w:vAlign w:val="bottom"/>
          </w:tcPr>
          <w:p>
            <w:pPr>
              <w:spacing w:after="0"/>
              <w:rPr>
                <w:sz w:val="5"/>
                <w:szCs w:val="5"/>
                <w:color w:val="auto"/>
              </w:rPr>
            </w:pPr>
          </w:p>
        </w:tc>
        <w:tc>
          <w:tcPr>
            <w:tcW w:w="1840" w:type="dxa"/>
            <w:vAlign w:val="bottom"/>
            <w:gridSpan w:val="3"/>
            <w:vMerge w:val="restart"/>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00" w:type="dxa"/>
            <w:vAlign w:val="bottom"/>
            <w:tcBorders>
              <w:right w:val="single" w:sz="8" w:color="auto"/>
            </w:tcBorders>
            <w:vMerge w:val="restart"/>
          </w:tcPr>
          <w:p>
            <w:pPr>
              <w:spacing w:after="0"/>
              <w:rPr>
                <w:sz w:val="5"/>
                <w:szCs w:val="5"/>
                <w:color w:val="auto"/>
              </w:rPr>
            </w:pPr>
          </w:p>
        </w:tc>
        <w:tc>
          <w:tcPr>
            <w:tcW w:w="60" w:type="dxa"/>
            <w:vAlign w:val="bottom"/>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3520" w:type="dxa"/>
            <w:vAlign w:val="bottom"/>
          </w:tcPr>
          <w:p>
            <w:pPr>
              <w:spacing w:after="0"/>
              <w:rPr>
                <w:sz w:val="11"/>
                <w:szCs w:val="11"/>
                <w:color w:val="auto"/>
              </w:rPr>
            </w:pPr>
          </w:p>
        </w:tc>
        <w:tc>
          <w:tcPr>
            <w:tcW w:w="1840" w:type="dxa"/>
            <w:vAlign w:val="bottom"/>
            <w:tcBorders>
              <w:bottom w:val="single" w:sz="8" w:color="auto"/>
            </w:tcBorders>
            <w:gridSpan w:val="3"/>
            <w:vMerge w:val="continue"/>
          </w:tcPr>
          <w:p>
            <w:pPr>
              <w:spacing w:after="0"/>
              <w:rPr>
                <w:sz w:val="11"/>
                <w:szCs w:val="11"/>
                <w:color w:val="auto"/>
              </w:rPr>
            </w:pPr>
          </w:p>
        </w:tc>
        <w:tc>
          <w:tcPr>
            <w:tcW w:w="100" w:type="dxa"/>
            <w:vAlign w:val="bottom"/>
            <w:tcBorders>
              <w:right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176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96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80" w:type="dxa"/>
            <w:vAlign w:val="bottom"/>
            <w:gridSpan w:val="3"/>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1"/>
        </w:trPr>
        <w:tc>
          <w:tcPr>
            <w:tcW w:w="3520" w:type="dxa"/>
            <w:vAlign w:val="bottom"/>
          </w:tcPr>
          <w:p>
            <w:pPr>
              <w:spacing w:after="0"/>
              <w:rPr>
                <w:sz w:val="16"/>
                <w:szCs w:val="16"/>
                <w:color w:val="auto"/>
              </w:rPr>
            </w:pP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8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6"/>
                <w:szCs w:val="16"/>
                <w:color w:val="auto"/>
              </w:rPr>
            </w:pP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39"/>
        </w:trPr>
        <w:tc>
          <w:tcPr>
            <w:tcW w:w="3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2021</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258,464,156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$ 2,890,121</w:t>
            </w:r>
          </w:p>
        </w:tc>
        <w:tc>
          <w:tcPr>
            <w:tcW w:w="10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61,625,870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313,482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(1,665,368)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(1,354,209)</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60" w:type="dxa"/>
            <w:vAlign w:val="bottom"/>
            <w:tcBorders>
              <w:top w:val="single" w:sz="8" w:color="CCEEFF"/>
            </w:tcBorders>
            <w:gridSpan w:val="2"/>
          </w:tcPr>
          <w:p>
            <w:pPr>
              <w:spacing w:after="0" w:line="20" w:lineRule="exact"/>
              <w:rPr>
                <w:sz w:val="1"/>
                <w:szCs w:val="1"/>
                <w:color w:val="auto"/>
              </w:rPr>
            </w:pPr>
          </w:p>
        </w:tc>
        <w:tc>
          <w:tcPr>
            <w:tcW w:w="980" w:type="dxa"/>
            <w:vAlign w:val="bottom"/>
            <w:tcBorders>
              <w:top w:val="single" w:sz="8" w:color="CCEEFF"/>
              <w:right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gridSpan w:val="2"/>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520" w:type="dxa"/>
            <w:vAlign w:val="bottom"/>
            <w:tcBorders>
              <w:top w:val="single" w:sz="8" w:color="CCEEFF"/>
            </w:tcBorders>
            <w:vMerge w:val="continue"/>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(470,254)</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(470,254)</w:t>
            </w:r>
          </w:p>
        </w:tc>
        <w:tc>
          <w:tcPr>
            <w:tcW w:w="0" w:type="dxa"/>
            <w:vAlign w:val="bottom"/>
          </w:tcPr>
          <w:p>
            <w:pPr>
              <w:spacing w:after="0"/>
              <w:rPr>
                <w:sz w:val="1"/>
                <w:szCs w:val="1"/>
                <w:color w:val="auto"/>
              </w:rPr>
            </w:pPr>
          </w:p>
        </w:tc>
      </w:tr>
      <w:tr>
        <w:trPr>
          <w:trHeight w:val="165"/>
        </w:trPr>
        <w:tc>
          <w:tcPr>
            <w:tcW w:w="35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common stock upon exercise of stock</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1,245,383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1,530</w:t>
            </w:r>
          </w:p>
        </w:tc>
        <w:tc>
          <w:tcPr>
            <w:tcW w:w="8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1,530</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options</w:t>
            </w:r>
          </w:p>
        </w:tc>
        <w:tc>
          <w:tcPr>
            <w:tcW w:w="960" w:type="dxa"/>
            <w:vAlign w:val="bottom"/>
            <w:gridSpan w:val="2"/>
            <w:vMerge w:val="continue"/>
            <w:shd w:val="clear" w:color="auto" w:fill="CCEEFF"/>
          </w:tcPr>
          <w:p>
            <w:pPr>
              <w:spacing w:after="0"/>
              <w:rPr>
                <w:sz w:val="18"/>
                <w:szCs w:val="18"/>
                <w:color w:val="auto"/>
              </w:rPr>
            </w:pPr>
          </w:p>
        </w:tc>
        <w:tc>
          <w:tcPr>
            <w:tcW w:w="980" w:type="dxa"/>
            <w:vAlign w:val="bottom"/>
            <w:tcBorders>
              <w:right w:val="single" w:sz="8" w:color="auto"/>
            </w:tcBorders>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Vesting of early-exercised stock options</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10,042</w:t>
            </w:r>
          </w:p>
        </w:tc>
        <w:tc>
          <w:tcPr>
            <w:tcW w:w="80" w:type="dxa"/>
            <w:vAlign w:val="bottom"/>
          </w:tcPr>
          <w:p>
            <w:pPr>
              <w:spacing w:after="0"/>
              <w:rPr>
                <w:sz w:val="18"/>
                <w:szCs w:val="18"/>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10,042</w:t>
            </w:r>
          </w:p>
        </w:tc>
        <w:tc>
          <w:tcPr>
            <w:tcW w:w="0" w:type="dxa"/>
            <w:vAlign w:val="bottom"/>
          </w:tcPr>
          <w:p>
            <w:pPr>
              <w:spacing w:after="0"/>
              <w:rPr>
                <w:sz w:val="1"/>
                <w:szCs w:val="1"/>
                <w:color w:val="auto"/>
              </w:rPr>
            </w:pPr>
          </w:p>
        </w:tc>
      </w:tr>
      <w:tr>
        <w:trPr>
          <w:trHeight w:val="21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(105,969)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0" w:type="dxa"/>
            <w:vAlign w:val="bottom"/>
          </w:tcPr>
          <w:p>
            <w:pPr>
              <w:spacing w:after="0"/>
              <w:rPr>
                <w:sz w:val="1"/>
                <w:szCs w:val="1"/>
                <w:color w:val="auto"/>
              </w:rPr>
            </w:pPr>
          </w:p>
        </w:tc>
      </w:tr>
      <w:tr>
        <w:trPr>
          <w:trHeight w:val="213"/>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28,647</w:t>
            </w:r>
          </w:p>
        </w:tc>
        <w:tc>
          <w:tcPr>
            <w:tcW w:w="80" w:type="dxa"/>
            <w:vAlign w:val="bottom"/>
          </w:tcPr>
          <w:p>
            <w:pPr>
              <w:spacing w:after="0"/>
              <w:rPr>
                <w:sz w:val="18"/>
                <w:szCs w:val="18"/>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28,647</w:t>
            </w:r>
          </w:p>
        </w:tc>
        <w:tc>
          <w:tcPr>
            <w:tcW w:w="0" w:type="dxa"/>
            <w:vAlign w:val="bottom"/>
          </w:tcPr>
          <w:p>
            <w:pPr>
              <w:spacing w:after="0"/>
              <w:rPr>
                <w:sz w:val="1"/>
                <w:szCs w:val="1"/>
                <w:color w:val="auto"/>
              </w:rPr>
            </w:pPr>
          </w:p>
        </w:tc>
      </w:tr>
      <w:tr>
        <w:trPr>
          <w:trHeight w:val="165"/>
        </w:trPr>
        <w:tc>
          <w:tcPr>
            <w:tcW w:w="35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Change in accumulated other comprehensive income</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(4,502)</w:t>
            </w:r>
          </w:p>
        </w:tc>
        <w:tc>
          <w:tcPr>
            <w:tcW w:w="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(4,502)</w:t>
            </w:r>
          </w:p>
        </w:tc>
        <w:tc>
          <w:tcPr>
            <w:tcW w:w="0" w:type="dxa"/>
            <w:vAlign w:val="bottom"/>
          </w:tcPr>
          <w:p>
            <w:pPr>
              <w:spacing w:after="0"/>
              <w:rPr>
                <w:sz w:val="1"/>
                <w:szCs w:val="1"/>
                <w:color w:val="auto"/>
              </w:rPr>
            </w:pPr>
          </w:p>
        </w:tc>
      </w:tr>
      <w:tr>
        <w:trPr>
          <w:trHeight w:val="213"/>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(loss), net of tax</w:t>
            </w:r>
          </w:p>
        </w:tc>
        <w:tc>
          <w:tcPr>
            <w:tcW w:w="960" w:type="dxa"/>
            <w:vAlign w:val="bottom"/>
            <w:gridSpan w:val="2"/>
            <w:vMerge w:val="continue"/>
            <w:shd w:val="clear" w:color="auto" w:fill="CCEEFF"/>
          </w:tcPr>
          <w:p>
            <w:pPr>
              <w:spacing w:after="0"/>
              <w:rPr>
                <w:sz w:val="18"/>
                <w:szCs w:val="18"/>
                <w:color w:val="auto"/>
              </w:rPr>
            </w:pPr>
          </w:p>
        </w:tc>
        <w:tc>
          <w:tcPr>
            <w:tcW w:w="980" w:type="dxa"/>
            <w:vAlign w:val="bottom"/>
            <w:tcBorders>
              <w:right w:val="single" w:sz="8" w:color="auto"/>
            </w:tcBorders>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2022</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258,464,156</w:t>
            </w:r>
          </w:p>
        </w:tc>
        <w:tc>
          <w:tcPr>
            <w:tcW w:w="8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2,890,121</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62,765,284</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353,369</w:t>
            </w:r>
          </w:p>
        </w:tc>
        <w:tc>
          <w:tcPr>
            <w:tcW w:w="8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(2,135,622)</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(6,826)</w:t>
            </w:r>
          </w:p>
        </w:tc>
        <w:tc>
          <w:tcPr>
            <w:tcW w:w="8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(1,789,078)</w:t>
            </w:r>
          </w:p>
        </w:tc>
        <w:tc>
          <w:tcPr>
            <w:tcW w:w="0" w:type="dxa"/>
            <w:vAlign w:val="bottom"/>
          </w:tcPr>
          <w:p>
            <w:pPr>
              <w:spacing w:after="0"/>
              <w:rPr>
                <w:sz w:val="1"/>
                <w:szCs w:val="1"/>
                <w:color w:val="auto"/>
              </w:rPr>
            </w:pP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(203,202)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(203,202)</w:t>
            </w:r>
          </w:p>
        </w:tc>
        <w:tc>
          <w:tcPr>
            <w:tcW w:w="0" w:type="dxa"/>
            <w:vAlign w:val="bottom"/>
          </w:tcPr>
          <w:p>
            <w:pPr>
              <w:spacing w:after="0"/>
              <w:rPr>
                <w:sz w:val="1"/>
                <w:szCs w:val="1"/>
                <w:color w:val="auto"/>
              </w:rPr>
            </w:pPr>
          </w:p>
        </w:tc>
      </w:tr>
      <w:tr>
        <w:trPr>
          <w:trHeight w:val="162"/>
        </w:trPr>
        <w:tc>
          <w:tcPr>
            <w:tcW w:w="35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upon exercise of stock</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right w:val="single" w:sz="8" w:color="auto"/>
            </w:tcBorders>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1,632,901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1,733</w:t>
            </w:r>
          </w:p>
        </w:tc>
        <w:tc>
          <w:tcPr>
            <w:tcW w:w="80" w:type="dxa"/>
            <w:vAlign w:val="bottom"/>
          </w:tcPr>
          <w:p>
            <w:pPr>
              <w:spacing w:after="0"/>
              <w:rPr>
                <w:sz w:val="14"/>
                <w:szCs w:val="14"/>
                <w:color w:val="auto"/>
              </w:rPr>
            </w:pPr>
          </w:p>
        </w:tc>
        <w:tc>
          <w:tcPr>
            <w:tcW w:w="960" w:type="dxa"/>
            <w:vAlign w:val="bottom"/>
            <w:gridSpan w:val="2"/>
            <w:vMerge w:val="restart"/>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1,733</w:t>
            </w:r>
          </w:p>
        </w:tc>
        <w:tc>
          <w:tcPr>
            <w:tcW w:w="0" w:type="dxa"/>
            <w:vAlign w:val="bottom"/>
          </w:tcPr>
          <w:p>
            <w:pPr>
              <w:spacing w:after="0"/>
              <w:rPr>
                <w:sz w:val="1"/>
                <w:szCs w:val="1"/>
                <w:color w:val="auto"/>
              </w:rPr>
            </w:pPr>
          </w:p>
        </w:tc>
      </w:tr>
      <w:tr>
        <w:trPr>
          <w:trHeight w:val="213"/>
        </w:trPr>
        <w:tc>
          <w:tcPr>
            <w:tcW w:w="3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options</w:t>
            </w:r>
          </w:p>
        </w:tc>
        <w:tc>
          <w:tcPr>
            <w:tcW w:w="960" w:type="dxa"/>
            <w:vAlign w:val="bottom"/>
            <w:gridSpan w:val="2"/>
            <w:vMerge w:val="continue"/>
          </w:tcPr>
          <w:p>
            <w:pPr>
              <w:spacing w:after="0"/>
              <w:rPr>
                <w:sz w:val="18"/>
                <w:szCs w:val="18"/>
                <w:color w:val="auto"/>
              </w:rPr>
            </w:pPr>
          </w:p>
        </w:tc>
        <w:tc>
          <w:tcPr>
            <w:tcW w:w="98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Vesting of early-exercised stock options</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3,187</w:t>
            </w: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3,188</w:t>
            </w:r>
          </w:p>
        </w:tc>
        <w:tc>
          <w:tcPr>
            <w:tcW w:w="0" w:type="dxa"/>
            <w:vAlign w:val="bottom"/>
          </w:tcPr>
          <w:p>
            <w:pPr>
              <w:spacing w:after="0"/>
              <w:rPr>
                <w:sz w:val="1"/>
                <w:szCs w:val="1"/>
                <w:color w:val="auto"/>
              </w:rPr>
            </w:pPr>
          </w:p>
        </w:tc>
      </w:tr>
      <w:tr>
        <w:trPr>
          <w:trHeight w:val="213"/>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80" w:type="dxa"/>
            <w:vAlign w:val="bottom"/>
          </w:tcPr>
          <w:p>
            <w:pPr>
              <w:spacing w:after="0"/>
              <w:rPr>
                <w:sz w:val="18"/>
                <w:szCs w:val="18"/>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1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26,255</w:t>
            </w: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26,255</w:t>
            </w:r>
          </w:p>
        </w:tc>
        <w:tc>
          <w:tcPr>
            <w:tcW w:w="0" w:type="dxa"/>
            <w:vAlign w:val="bottom"/>
          </w:tcPr>
          <w:p>
            <w:pPr>
              <w:spacing w:after="0"/>
              <w:rPr>
                <w:sz w:val="1"/>
                <w:szCs w:val="1"/>
                <w:color w:val="auto"/>
              </w:rPr>
            </w:pPr>
          </w:p>
        </w:tc>
      </w:tr>
      <w:tr>
        <w:trPr>
          <w:trHeight w:val="162"/>
        </w:trPr>
        <w:tc>
          <w:tcPr>
            <w:tcW w:w="35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Change in accumulated other comprehensive income</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right w:val="single" w:sz="8" w:color="auto"/>
            </w:tcBorders>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4"/>
                <w:szCs w:val="14"/>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7,546</w:t>
            </w:r>
          </w:p>
        </w:tc>
        <w:tc>
          <w:tcPr>
            <w:tcW w:w="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7,546</w:t>
            </w:r>
          </w:p>
        </w:tc>
        <w:tc>
          <w:tcPr>
            <w:tcW w:w="0" w:type="dxa"/>
            <w:vAlign w:val="bottom"/>
          </w:tcPr>
          <w:p>
            <w:pPr>
              <w:spacing w:after="0"/>
              <w:rPr>
                <w:sz w:val="1"/>
                <w:szCs w:val="1"/>
                <w:color w:val="auto"/>
              </w:rPr>
            </w:pPr>
          </w:p>
        </w:tc>
      </w:tr>
      <w:tr>
        <w:trPr>
          <w:trHeight w:val="213"/>
        </w:trPr>
        <w:tc>
          <w:tcPr>
            <w:tcW w:w="3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 net of tax</w:t>
            </w:r>
          </w:p>
        </w:tc>
        <w:tc>
          <w:tcPr>
            <w:tcW w:w="960" w:type="dxa"/>
            <w:vAlign w:val="bottom"/>
            <w:gridSpan w:val="2"/>
            <w:vMerge w:val="continue"/>
          </w:tcPr>
          <w:p>
            <w:pPr>
              <w:spacing w:after="0"/>
              <w:rPr>
                <w:sz w:val="18"/>
                <w:szCs w:val="18"/>
                <w:color w:val="auto"/>
              </w:rPr>
            </w:pPr>
          </w:p>
        </w:tc>
        <w:tc>
          <w:tcPr>
            <w:tcW w:w="98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258,464,156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$ 2,890,121</w:t>
            </w:r>
          </w:p>
        </w:tc>
        <w:tc>
          <w:tcPr>
            <w:tcW w:w="10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64,394,985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384,489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(2,338,824)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(1,953,613)</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60" w:type="dxa"/>
            <w:vAlign w:val="bottom"/>
            <w:tcBorders>
              <w:top w:val="single" w:sz="8" w:color="CCEEFF"/>
            </w:tcBorders>
            <w:gridSpan w:val="2"/>
          </w:tcPr>
          <w:p>
            <w:pPr>
              <w:spacing w:after="0" w:line="20" w:lineRule="exact"/>
              <w:rPr>
                <w:sz w:val="1"/>
                <w:szCs w:val="1"/>
                <w:color w:val="auto"/>
              </w:rPr>
            </w:pPr>
          </w:p>
        </w:tc>
        <w:tc>
          <w:tcPr>
            <w:tcW w:w="980" w:type="dxa"/>
            <w:vAlign w:val="bottom"/>
            <w:tcBorders>
              <w:top w:val="single" w:sz="8" w:color="CCEEFF"/>
              <w:right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gridSpan w:val="2"/>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520" w:type="dxa"/>
            <w:vAlign w:val="bottom"/>
            <w:tcBorders>
              <w:top w:val="single" w:sz="8" w:color="CCEEFF"/>
            </w:tcBorders>
            <w:vMerge w:val="continue"/>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(25,344)</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(25,344)</w:t>
            </w:r>
          </w:p>
        </w:tc>
        <w:tc>
          <w:tcPr>
            <w:tcW w:w="0" w:type="dxa"/>
            <w:vAlign w:val="bottom"/>
          </w:tcPr>
          <w:p>
            <w:pPr>
              <w:spacing w:after="0"/>
              <w:rPr>
                <w:sz w:val="1"/>
                <w:szCs w:val="1"/>
                <w:color w:val="auto"/>
              </w:rPr>
            </w:pPr>
          </w:p>
        </w:tc>
      </w:tr>
      <w:tr>
        <w:trPr>
          <w:trHeight w:val="165"/>
        </w:trPr>
        <w:tc>
          <w:tcPr>
            <w:tcW w:w="35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common stock upon exercise of stock</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952,866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1,406</w:t>
            </w:r>
          </w:p>
        </w:tc>
        <w:tc>
          <w:tcPr>
            <w:tcW w:w="8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1,406</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options</w:t>
            </w:r>
          </w:p>
        </w:tc>
        <w:tc>
          <w:tcPr>
            <w:tcW w:w="960" w:type="dxa"/>
            <w:vAlign w:val="bottom"/>
            <w:gridSpan w:val="2"/>
            <w:vMerge w:val="continue"/>
            <w:shd w:val="clear" w:color="auto" w:fill="CCEEFF"/>
          </w:tcPr>
          <w:p>
            <w:pPr>
              <w:spacing w:after="0"/>
              <w:rPr>
                <w:sz w:val="18"/>
                <w:szCs w:val="18"/>
                <w:color w:val="auto"/>
              </w:rPr>
            </w:pPr>
          </w:p>
        </w:tc>
        <w:tc>
          <w:tcPr>
            <w:tcW w:w="980" w:type="dxa"/>
            <w:vAlign w:val="bottom"/>
            <w:tcBorders>
              <w:right w:val="single" w:sz="8" w:color="auto"/>
            </w:tcBorders>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5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and restricted common</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right w:val="single" w:sz="8" w:color="auto"/>
            </w:tcBorders>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1,645,775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18,506</w:t>
            </w:r>
          </w:p>
        </w:tc>
        <w:tc>
          <w:tcPr>
            <w:tcW w:w="80" w:type="dxa"/>
            <w:vAlign w:val="bottom"/>
          </w:tcPr>
          <w:p>
            <w:pPr>
              <w:spacing w:after="0"/>
              <w:rPr>
                <w:sz w:val="14"/>
                <w:szCs w:val="14"/>
                <w:color w:val="auto"/>
              </w:rPr>
            </w:pPr>
          </w:p>
        </w:tc>
        <w:tc>
          <w:tcPr>
            <w:tcW w:w="960" w:type="dxa"/>
            <w:vAlign w:val="bottom"/>
            <w:gridSpan w:val="2"/>
            <w:vMerge w:val="restart"/>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18,506</w:t>
            </w:r>
          </w:p>
        </w:tc>
        <w:tc>
          <w:tcPr>
            <w:tcW w:w="0" w:type="dxa"/>
            <w:vAlign w:val="bottom"/>
          </w:tcPr>
          <w:p>
            <w:pPr>
              <w:spacing w:after="0"/>
              <w:rPr>
                <w:sz w:val="1"/>
                <w:szCs w:val="1"/>
                <w:color w:val="auto"/>
              </w:rPr>
            </w:pPr>
          </w:p>
        </w:tc>
      </w:tr>
      <w:tr>
        <w:trPr>
          <w:trHeight w:val="213"/>
        </w:trPr>
        <w:tc>
          <w:tcPr>
            <w:tcW w:w="3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in connection with the acquisition</w:t>
            </w:r>
          </w:p>
        </w:tc>
        <w:tc>
          <w:tcPr>
            <w:tcW w:w="960" w:type="dxa"/>
            <w:vAlign w:val="bottom"/>
            <w:gridSpan w:val="2"/>
            <w:vMerge w:val="continue"/>
          </w:tcPr>
          <w:p>
            <w:pPr>
              <w:spacing w:after="0"/>
              <w:rPr>
                <w:sz w:val="18"/>
                <w:szCs w:val="18"/>
                <w:color w:val="auto"/>
              </w:rPr>
            </w:pPr>
          </w:p>
        </w:tc>
        <w:tc>
          <w:tcPr>
            <w:tcW w:w="98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(42,890)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w:t>
            </w: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w:t>
            </w:r>
          </w:p>
        </w:tc>
        <w:tc>
          <w:tcPr>
            <w:tcW w:w="0" w:type="dxa"/>
            <w:vAlign w:val="bottom"/>
          </w:tcPr>
          <w:p>
            <w:pPr>
              <w:spacing w:after="0"/>
              <w:rPr>
                <w:sz w:val="1"/>
                <w:szCs w:val="1"/>
                <w:color w:val="auto"/>
              </w:rPr>
            </w:pPr>
          </w:p>
        </w:tc>
      </w:tr>
      <w:tr>
        <w:trPr>
          <w:trHeight w:val="213"/>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29,815</w:t>
            </w:r>
          </w:p>
        </w:tc>
        <w:tc>
          <w:tcPr>
            <w:tcW w:w="80" w:type="dxa"/>
            <w:vAlign w:val="bottom"/>
          </w:tcPr>
          <w:p>
            <w:pPr>
              <w:spacing w:after="0"/>
              <w:rPr>
                <w:sz w:val="18"/>
                <w:szCs w:val="18"/>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29,815</w:t>
            </w:r>
          </w:p>
        </w:tc>
        <w:tc>
          <w:tcPr>
            <w:tcW w:w="0" w:type="dxa"/>
            <w:vAlign w:val="bottom"/>
          </w:tcPr>
          <w:p>
            <w:pPr>
              <w:spacing w:after="0"/>
              <w:rPr>
                <w:sz w:val="1"/>
                <w:szCs w:val="1"/>
                <w:color w:val="auto"/>
              </w:rPr>
            </w:pPr>
          </w:p>
        </w:tc>
      </w:tr>
      <w:tr>
        <w:trPr>
          <w:trHeight w:val="165"/>
        </w:trPr>
        <w:tc>
          <w:tcPr>
            <w:tcW w:w="35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Change in accumulated other comprehensive income</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0" w:type="dxa"/>
            <w:vAlign w:val="bottom"/>
          </w:tcPr>
          <w:p>
            <w:pPr>
              <w:spacing w:after="0"/>
              <w:rPr>
                <w:sz w:val="1"/>
                <w:szCs w:val="1"/>
                <w:color w:val="auto"/>
              </w:rPr>
            </w:pPr>
          </w:p>
        </w:tc>
      </w:tr>
      <w:tr>
        <w:trPr>
          <w:trHeight w:val="213"/>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(loss), net of tax</w:t>
            </w:r>
          </w:p>
        </w:tc>
        <w:tc>
          <w:tcPr>
            <w:tcW w:w="960" w:type="dxa"/>
            <w:vAlign w:val="bottom"/>
            <w:gridSpan w:val="2"/>
            <w:vMerge w:val="continue"/>
            <w:shd w:val="clear" w:color="auto" w:fill="CCEEFF"/>
          </w:tcPr>
          <w:p>
            <w:pPr>
              <w:spacing w:after="0"/>
              <w:rPr>
                <w:sz w:val="18"/>
                <w:szCs w:val="18"/>
                <w:color w:val="auto"/>
              </w:rPr>
            </w:pPr>
          </w:p>
        </w:tc>
        <w:tc>
          <w:tcPr>
            <w:tcW w:w="980" w:type="dxa"/>
            <w:vAlign w:val="bottom"/>
            <w:tcBorders>
              <w:right w:val="single" w:sz="8" w:color="auto"/>
            </w:tcBorders>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2024</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258,464,156</w:t>
            </w:r>
          </w:p>
        </w:tc>
        <w:tc>
          <w:tcPr>
            <w:tcW w:w="8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$ 2,890,121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66,950,736</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433,363</w:t>
            </w:r>
          </w:p>
        </w:tc>
        <w:tc>
          <w:tcPr>
            <w:tcW w:w="8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(2,364,168)</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8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(1,930,600)</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240"/>
          </w:cols>
          <w:pgMar w:left="320" w:top="124" w:right="339" w:bottom="1440" w:gutter="0" w:footer="0" w:header="0"/>
        </w:sectPr>
      </w:pPr>
    </w:p>
    <w:bookmarkStart w:id="260" w:name="page261"/>
    <w:bookmarkEnd w:id="260"/>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CHIME FINANCIAL,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714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14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74"/>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activities:</w:t>
            </w:r>
          </w:p>
        </w:tc>
        <w:tc>
          <w:tcPr>
            <w:tcW w:w="8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880" w:type="dxa"/>
            <w:vAlign w:val="bottom"/>
          </w:tcPr>
          <w:p>
            <w:pPr>
              <w:jc w:val="right"/>
              <w:ind w:right="733"/>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(470,254)</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(203,202)</w:t>
            </w:r>
          </w:p>
        </w:tc>
        <w:tc>
          <w:tcPr>
            <w:tcW w:w="100" w:type="dxa"/>
            <w:vAlign w:val="bottom"/>
          </w:tcPr>
          <w:p>
            <w:pPr>
              <w:spacing w:after="0"/>
              <w:rPr>
                <w:sz w:val="15"/>
                <w:szCs w:val="15"/>
                <w:color w:val="auto"/>
              </w:rPr>
            </w:pPr>
          </w:p>
        </w:tc>
        <w:tc>
          <w:tcPr>
            <w:tcW w:w="28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(25,344)</w:t>
            </w:r>
          </w:p>
        </w:tc>
        <w:tc>
          <w:tcPr>
            <w:tcW w:w="0" w:type="dxa"/>
            <w:vAlign w:val="bottom"/>
          </w:tcPr>
          <w:p>
            <w:pPr>
              <w:spacing w:after="0"/>
              <w:rPr>
                <w:sz w:val="1"/>
                <w:szCs w:val="1"/>
                <w:color w:val="auto"/>
              </w:rPr>
            </w:pPr>
          </w:p>
        </w:tc>
      </w:tr>
      <w:tr>
        <w:trPr>
          <w:trHeight w:val="196"/>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Adjustments to reconcile net loss to net cash (used in) provided by operating activities:</w:t>
            </w:r>
          </w:p>
        </w:tc>
        <w:tc>
          <w:tcPr>
            <w:tcW w:w="8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714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8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12,937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25,370</w:t>
            </w:r>
          </w:p>
        </w:tc>
        <w:tc>
          <w:tcPr>
            <w:tcW w:w="0" w:type="dxa"/>
            <w:vAlign w:val="bottom"/>
          </w:tcPr>
          <w:p>
            <w:pPr>
              <w:spacing w:after="0"/>
              <w:rPr>
                <w:sz w:val="1"/>
                <w:szCs w:val="1"/>
                <w:color w:val="auto"/>
              </w:rPr>
            </w:pPr>
          </w:p>
        </w:tc>
      </w:tr>
      <w:tr>
        <w:trPr>
          <w:trHeight w:val="196"/>
        </w:trPr>
        <w:tc>
          <w:tcPr>
            <w:tcW w:w="7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Non-cash lease expense</w:t>
            </w:r>
          </w:p>
        </w:tc>
        <w:tc>
          <w:tcPr>
            <w:tcW w:w="8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7,254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5,448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5,533</w:t>
            </w:r>
          </w:p>
        </w:tc>
        <w:tc>
          <w:tcPr>
            <w:tcW w:w="0" w:type="dxa"/>
            <w:vAlign w:val="bottom"/>
          </w:tcPr>
          <w:p>
            <w:pPr>
              <w:spacing w:after="0"/>
              <w:rPr>
                <w:sz w:val="1"/>
                <w:szCs w:val="1"/>
                <w:color w:val="auto"/>
              </w:rPr>
            </w:pPr>
          </w:p>
        </w:tc>
      </w:tr>
      <w:tr>
        <w:trPr>
          <w:trHeight w:val="182"/>
        </w:trPr>
        <w:tc>
          <w:tcPr>
            <w:tcW w:w="714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Stock-based compensation</w:t>
            </w:r>
          </w:p>
        </w:tc>
        <w:tc>
          <w:tcPr>
            <w:tcW w:w="8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28,350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26,035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29,845</w:t>
            </w:r>
          </w:p>
        </w:tc>
        <w:tc>
          <w:tcPr>
            <w:tcW w:w="0" w:type="dxa"/>
            <w:vAlign w:val="bottom"/>
          </w:tcPr>
          <w:p>
            <w:pPr>
              <w:spacing w:after="0"/>
              <w:rPr>
                <w:sz w:val="1"/>
                <w:szCs w:val="1"/>
                <w:color w:val="auto"/>
              </w:rPr>
            </w:pPr>
          </w:p>
        </w:tc>
      </w:tr>
      <w:tr>
        <w:trPr>
          <w:trHeight w:val="196"/>
        </w:trPr>
        <w:tc>
          <w:tcPr>
            <w:tcW w:w="7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Provision for transaction dispute losses</w:t>
            </w:r>
          </w:p>
        </w:tc>
        <w:tc>
          <w:tcPr>
            <w:tcW w:w="8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46,192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67,379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50,614</w:t>
            </w:r>
          </w:p>
        </w:tc>
        <w:tc>
          <w:tcPr>
            <w:tcW w:w="0" w:type="dxa"/>
            <w:vAlign w:val="bottom"/>
          </w:tcPr>
          <w:p>
            <w:pPr>
              <w:spacing w:after="0"/>
              <w:rPr>
                <w:sz w:val="1"/>
                <w:szCs w:val="1"/>
                <w:color w:val="auto"/>
              </w:rPr>
            </w:pPr>
          </w:p>
        </w:tc>
      </w:tr>
      <w:tr>
        <w:trPr>
          <w:trHeight w:val="182"/>
        </w:trPr>
        <w:tc>
          <w:tcPr>
            <w:tcW w:w="714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Change in fair value of product obligation</w:t>
            </w:r>
          </w:p>
        </w:tc>
        <w:tc>
          <w:tcPr>
            <w:tcW w:w="8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80,522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84,996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59,354</w:t>
            </w:r>
          </w:p>
        </w:tc>
        <w:tc>
          <w:tcPr>
            <w:tcW w:w="0" w:type="dxa"/>
            <w:vAlign w:val="bottom"/>
          </w:tcPr>
          <w:p>
            <w:pPr>
              <w:spacing w:after="0"/>
              <w:rPr>
                <w:sz w:val="1"/>
                <w:szCs w:val="1"/>
                <w:color w:val="auto"/>
              </w:rPr>
            </w:pPr>
          </w:p>
        </w:tc>
      </w:tr>
      <w:tr>
        <w:trPr>
          <w:trHeight w:val="196"/>
        </w:trPr>
        <w:tc>
          <w:tcPr>
            <w:tcW w:w="7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Provision for credit losses</w:t>
            </w:r>
          </w:p>
        </w:tc>
        <w:tc>
          <w:tcPr>
            <w:tcW w:w="8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33,531</w:t>
            </w:r>
          </w:p>
        </w:tc>
        <w:tc>
          <w:tcPr>
            <w:tcW w:w="0" w:type="dxa"/>
            <w:vAlign w:val="bottom"/>
          </w:tcPr>
          <w:p>
            <w:pPr>
              <w:spacing w:after="0"/>
              <w:rPr>
                <w:sz w:val="1"/>
                <w:szCs w:val="1"/>
                <w:color w:val="auto"/>
              </w:rPr>
            </w:pPr>
          </w:p>
        </w:tc>
      </w:tr>
      <w:tr>
        <w:trPr>
          <w:trHeight w:val="182"/>
        </w:trPr>
        <w:tc>
          <w:tcPr>
            <w:tcW w:w="714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Impairment related to real estate assets and internal-use software</w:t>
            </w:r>
          </w:p>
        </w:tc>
        <w:tc>
          <w:tcPr>
            <w:tcW w:w="8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20,827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1,901</w:t>
            </w:r>
          </w:p>
        </w:tc>
        <w:tc>
          <w:tcPr>
            <w:tcW w:w="0" w:type="dxa"/>
            <w:vAlign w:val="bottom"/>
          </w:tcPr>
          <w:p>
            <w:pPr>
              <w:spacing w:after="0"/>
              <w:rPr>
                <w:sz w:val="1"/>
                <w:szCs w:val="1"/>
                <w:color w:val="auto"/>
              </w:rPr>
            </w:pPr>
          </w:p>
        </w:tc>
      </w:tr>
      <w:tr>
        <w:trPr>
          <w:trHeight w:val="196"/>
        </w:trPr>
        <w:tc>
          <w:tcPr>
            <w:tcW w:w="7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Accretion of discount (amortization of premium) on marketable securities</w:t>
            </w:r>
          </w:p>
        </w:tc>
        <w:tc>
          <w:tcPr>
            <w:tcW w:w="8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(14,762)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(12,531)</w:t>
            </w:r>
          </w:p>
        </w:tc>
        <w:tc>
          <w:tcPr>
            <w:tcW w:w="0" w:type="dxa"/>
            <w:vAlign w:val="bottom"/>
          </w:tcPr>
          <w:p>
            <w:pPr>
              <w:spacing w:after="0"/>
              <w:rPr>
                <w:sz w:val="1"/>
                <w:szCs w:val="1"/>
                <w:color w:val="auto"/>
              </w:rPr>
            </w:pPr>
          </w:p>
        </w:tc>
      </w:tr>
      <w:tr>
        <w:trPr>
          <w:trHeight w:val="182"/>
        </w:trPr>
        <w:tc>
          <w:tcPr>
            <w:tcW w:w="714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Other</w:t>
            </w:r>
          </w:p>
        </w:tc>
        <w:tc>
          <w:tcPr>
            <w:tcW w:w="8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0" w:type="dxa"/>
            <w:vAlign w:val="bottom"/>
          </w:tcPr>
          <w:p>
            <w:pPr>
              <w:spacing w:after="0"/>
              <w:rPr>
                <w:sz w:val="1"/>
                <w:szCs w:val="1"/>
                <w:color w:val="auto"/>
              </w:rPr>
            </w:pPr>
          </w:p>
        </w:tc>
      </w:tr>
      <w:tr>
        <w:trPr>
          <w:trHeight w:val="196"/>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8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714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Product collateral</w:t>
            </w:r>
          </w:p>
        </w:tc>
        <w:tc>
          <w:tcPr>
            <w:tcW w:w="8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(18,444)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(11,798)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(43,019)</w:t>
            </w:r>
          </w:p>
        </w:tc>
        <w:tc>
          <w:tcPr>
            <w:tcW w:w="0" w:type="dxa"/>
            <w:vAlign w:val="bottom"/>
          </w:tcPr>
          <w:p>
            <w:pPr>
              <w:spacing w:after="0"/>
              <w:rPr>
                <w:sz w:val="1"/>
                <w:szCs w:val="1"/>
                <w:color w:val="auto"/>
              </w:rPr>
            </w:pPr>
          </w:p>
        </w:tc>
      </w:tr>
      <w:tr>
        <w:trPr>
          <w:trHeight w:val="196"/>
        </w:trPr>
        <w:tc>
          <w:tcPr>
            <w:tcW w:w="7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Accounts receivable, net</w:t>
            </w:r>
          </w:p>
        </w:tc>
        <w:tc>
          <w:tcPr>
            <w:tcW w:w="8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(29,278)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(53,344)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(40,307)</w:t>
            </w:r>
          </w:p>
        </w:tc>
        <w:tc>
          <w:tcPr>
            <w:tcW w:w="0" w:type="dxa"/>
            <w:vAlign w:val="bottom"/>
          </w:tcPr>
          <w:p>
            <w:pPr>
              <w:spacing w:after="0"/>
              <w:rPr>
                <w:sz w:val="1"/>
                <w:szCs w:val="1"/>
                <w:color w:val="auto"/>
              </w:rPr>
            </w:pPr>
          </w:p>
        </w:tc>
      </w:tr>
      <w:tr>
        <w:trPr>
          <w:trHeight w:val="182"/>
        </w:trPr>
        <w:tc>
          <w:tcPr>
            <w:tcW w:w="714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8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(11,703)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12,198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(24,115)</w:t>
            </w:r>
          </w:p>
        </w:tc>
        <w:tc>
          <w:tcPr>
            <w:tcW w:w="0" w:type="dxa"/>
            <w:vAlign w:val="bottom"/>
          </w:tcPr>
          <w:p>
            <w:pPr>
              <w:spacing w:after="0"/>
              <w:rPr>
                <w:sz w:val="1"/>
                <w:szCs w:val="1"/>
                <w:color w:val="auto"/>
              </w:rPr>
            </w:pPr>
          </w:p>
        </w:tc>
      </w:tr>
      <w:tr>
        <w:trPr>
          <w:trHeight w:val="196"/>
        </w:trPr>
        <w:tc>
          <w:tcPr>
            <w:tcW w:w="7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Accounts payable</w:t>
            </w:r>
          </w:p>
        </w:tc>
        <w:tc>
          <w:tcPr>
            <w:tcW w:w="8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(5,960)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13,703</w:t>
            </w:r>
          </w:p>
        </w:tc>
        <w:tc>
          <w:tcPr>
            <w:tcW w:w="0" w:type="dxa"/>
            <w:vAlign w:val="bottom"/>
          </w:tcPr>
          <w:p>
            <w:pPr>
              <w:spacing w:after="0"/>
              <w:rPr>
                <w:sz w:val="1"/>
                <w:szCs w:val="1"/>
                <w:color w:val="auto"/>
              </w:rPr>
            </w:pPr>
          </w:p>
        </w:tc>
      </w:tr>
      <w:tr>
        <w:trPr>
          <w:trHeight w:val="182"/>
        </w:trPr>
        <w:tc>
          <w:tcPr>
            <w:tcW w:w="714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Accrued and other liabilities</w:t>
            </w:r>
          </w:p>
        </w:tc>
        <w:tc>
          <w:tcPr>
            <w:tcW w:w="8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(51,274)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(11,301)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33,552</w:t>
            </w:r>
          </w:p>
        </w:tc>
        <w:tc>
          <w:tcPr>
            <w:tcW w:w="0" w:type="dxa"/>
            <w:vAlign w:val="bottom"/>
          </w:tcPr>
          <w:p>
            <w:pPr>
              <w:spacing w:after="0"/>
              <w:rPr>
                <w:sz w:val="1"/>
                <w:szCs w:val="1"/>
                <w:color w:val="auto"/>
              </w:rPr>
            </w:pPr>
          </w:p>
        </w:tc>
      </w:tr>
      <w:tr>
        <w:trPr>
          <w:trHeight w:val="196"/>
        </w:trPr>
        <w:tc>
          <w:tcPr>
            <w:tcW w:w="7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8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18,095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(10,467)</w:t>
            </w:r>
          </w:p>
        </w:tc>
        <w:tc>
          <w:tcPr>
            <w:tcW w:w="0" w:type="dxa"/>
            <w:vAlign w:val="bottom"/>
          </w:tcPr>
          <w:p>
            <w:pPr>
              <w:spacing w:after="0"/>
              <w:rPr>
                <w:sz w:val="1"/>
                <w:szCs w:val="1"/>
                <w:color w:val="auto"/>
              </w:rPr>
            </w:pPr>
          </w:p>
        </w:tc>
      </w:tr>
      <w:tr>
        <w:trPr>
          <w:trHeight w:val="183"/>
        </w:trPr>
        <w:tc>
          <w:tcPr>
            <w:tcW w:w="71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3"/>
                <w:szCs w:val="13"/>
                <w:color w:val="auto"/>
              </w:rPr>
              <w:t>Settlements of the product obligation</w:t>
            </w:r>
          </w:p>
        </w:tc>
        <w:tc>
          <w:tcPr>
            <w:tcW w:w="8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(60,372)</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(76,274)</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(33,577)</w:t>
            </w:r>
          </w:p>
        </w:tc>
        <w:tc>
          <w:tcPr>
            <w:tcW w:w="0" w:type="dxa"/>
            <w:vAlign w:val="bottom"/>
          </w:tcPr>
          <w:p>
            <w:pPr>
              <w:spacing w:after="0"/>
              <w:rPr>
                <w:sz w:val="1"/>
                <w:szCs w:val="1"/>
                <w:color w:val="auto"/>
              </w:rPr>
            </w:pPr>
          </w:p>
        </w:tc>
      </w:tr>
      <w:tr>
        <w:trPr>
          <w:trHeight w:val="189"/>
        </w:trPr>
        <w:tc>
          <w:tcPr>
            <w:tcW w:w="71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Cash flows (used in) provided by operating activities</w:t>
            </w:r>
          </w:p>
        </w:tc>
        <w:tc>
          <w:tcPr>
            <w:tcW w:w="8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(434,133)</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(156,594)</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64,140</w:t>
            </w:r>
          </w:p>
        </w:tc>
        <w:tc>
          <w:tcPr>
            <w:tcW w:w="0" w:type="dxa"/>
            <w:vAlign w:val="bottom"/>
          </w:tcPr>
          <w:p>
            <w:pPr>
              <w:spacing w:after="0"/>
              <w:rPr>
                <w:sz w:val="1"/>
                <w:szCs w:val="1"/>
                <w:color w:val="auto"/>
              </w:rPr>
            </w:pPr>
          </w:p>
        </w:tc>
      </w:tr>
      <w:tr>
        <w:trPr>
          <w:trHeight w:val="164"/>
        </w:trPr>
        <w:tc>
          <w:tcPr>
            <w:tcW w:w="71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Investing activities:</w:t>
            </w: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Purchase of marketable securities</w:t>
            </w:r>
          </w:p>
        </w:tc>
        <w:tc>
          <w:tcPr>
            <w:tcW w:w="8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(426,705)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(610,669)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(497,578)</w:t>
            </w:r>
          </w:p>
        </w:tc>
        <w:tc>
          <w:tcPr>
            <w:tcW w:w="0" w:type="dxa"/>
            <w:vAlign w:val="bottom"/>
          </w:tcPr>
          <w:p>
            <w:pPr>
              <w:spacing w:after="0"/>
              <w:rPr>
                <w:sz w:val="1"/>
                <w:szCs w:val="1"/>
                <w:color w:val="auto"/>
              </w:rPr>
            </w:pPr>
          </w:p>
        </w:tc>
      </w:tr>
      <w:tr>
        <w:trPr>
          <w:trHeight w:val="182"/>
        </w:trPr>
        <w:tc>
          <w:tcPr>
            <w:tcW w:w="71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Proceeds from sales of marketable securities</w:t>
            </w:r>
          </w:p>
        </w:tc>
        <w:tc>
          <w:tcPr>
            <w:tcW w:w="88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193,201</w:t>
            </w:r>
          </w:p>
        </w:tc>
        <w:tc>
          <w:tcPr>
            <w:tcW w:w="0" w:type="dxa"/>
            <w:vAlign w:val="bottom"/>
          </w:tcPr>
          <w:p>
            <w:pPr>
              <w:spacing w:after="0"/>
              <w:rPr>
                <w:sz w:val="1"/>
                <w:szCs w:val="1"/>
                <w:color w:val="auto"/>
              </w:rPr>
            </w:pPr>
          </w:p>
        </w:tc>
      </w:tr>
      <w:tr>
        <w:trPr>
          <w:trHeight w:val="196"/>
        </w:trPr>
        <w:tc>
          <w:tcPr>
            <w:tcW w:w="7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Proceeds from maturities of marketable securities</w:t>
            </w:r>
          </w:p>
        </w:tc>
        <w:tc>
          <w:tcPr>
            <w:tcW w:w="8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650,159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805,496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508,288</w:t>
            </w:r>
          </w:p>
        </w:tc>
        <w:tc>
          <w:tcPr>
            <w:tcW w:w="0" w:type="dxa"/>
            <w:vAlign w:val="bottom"/>
          </w:tcPr>
          <w:p>
            <w:pPr>
              <w:spacing w:after="0"/>
              <w:rPr>
                <w:sz w:val="1"/>
                <w:szCs w:val="1"/>
                <w:color w:val="auto"/>
              </w:rPr>
            </w:pPr>
          </w:p>
        </w:tc>
      </w:tr>
      <w:tr>
        <w:trPr>
          <w:trHeight w:val="182"/>
        </w:trPr>
        <w:tc>
          <w:tcPr>
            <w:tcW w:w="71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Purchases of loans held for investment</w:t>
            </w:r>
          </w:p>
        </w:tc>
        <w:tc>
          <w:tcPr>
            <w:tcW w:w="88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(1,859,943)</w:t>
            </w:r>
          </w:p>
        </w:tc>
        <w:tc>
          <w:tcPr>
            <w:tcW w:w="0" w:type="dxa"/>
            <w:vAlign w:val="bottom"/>
          </w:tcPr>
          <w:p>
            <w:pPr>
              <w:spacing w:after="0"/>
              <w:rPr>
                <w:sz w:val="1"/>
                <w:szCs w:val="1"/>
                <w:color w:val="auto"/>
              </w:rPr>
            </w:pPr>
          </w:p>
        </w:tc>
      </w:tr>
      <w:tr>
        <w:trPr>
          <w:trHeight w:val="196"/>
        </w:trPr>
        <w:tc>
          <w:tcPr>
            <w:tcW w:w="7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Repayments of loans held for investment</w:t>
            </w:r>
          </w:p>
        </w:tc>
        <w:tc>
          <w:tcPr>
            <w:tcW w:w="8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1,729,496</w:t>
            </w:r>
          </w:p>
        </w:tc>
        <w:tc>
          <w:tcPr>
            <w:tcW w:w="0" w:type="dxa"/>
            <w:vAlign w:val="bottom"/>
          </w:tcPr>
          <w:p>
            <w:pPr>
              <w:spacing w:after="0"/>
              <w:rPr>
                <w:sz w:val="1"/>
                <w:szCs w:val="1"/>
                <w:color w:val="auto"/>
              </w:rPr>
            </w:pPr>
          </w:p>
        </w:tc>
      </w:tr>
      <w:tr>
        <w:trPr>
          <w:trHeight w:val="182"/>
        </w:trPr>
        <w:tc>
          <w:tcPr>
            <w:tcW w:w="71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Purchase of property, equipment and software</w:t>
            </w:r>
          </w:p>
        </w:tc>
        <w:tc>
          <w:tcPr>
            <w:tcW w:w="8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(48,728)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(10,501)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(4,812)</w:t>
            </w:r>
          </w:p>
        </w:tc>
        <w:tc>
          <w:tcPr>
            <w:tcW w:w="0" w:type="dxa"/>
            <w:vAlign w:val="bottom"/>
          </w:tcPr>
          <w:p>
            <w:pPr>
              <w:spacing w:after="0"/>
              <w:rPr>
                <w:sz w:val="1"/>
                <w:szCs w:val="1"/>
                <w:color w:val="auto"/>
              </w:rPr>
            </w:pPr>
          </w:p>
        </w:tc>
      </w:tr>
      <w:tr>
        <w:trPr>
          <w:trHeight w:val="196"/>
        </w:trPr>
        <w:tc>
          <w:tcPr>
            <w:tcW w:w="7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Capitalization of internal-use software</w:t>
            </w:r>
          </w:p>
        </w:tc>
        <w:tc>
          <w:tcPr>
            <w:tcW w:w="8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(24,185)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(17,314)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(9,657)</w:t>
            </w:r>
          </w:p>
        </w:tc>
        <w:tc>
          <w:tcPr>
            <w:tcW w:w="0" w:type="dxa"/>
            <w:vAlign w:val="bottom"/>
          </w:tcPr>
          <w:p>
            <w:pPr>
              <w:spacing w:after="0"/>
              <w:rPr>
                <w:sz w:val="1"/>
                <w:szCs w:val="1"/>
                <w:color w:val="auto"/>
              </w:rPr>
            </w:pPr>
          </w:p>
        </w:tc>
      </w:tr>
      <w:tr>
        <w:trPr>
          <w:trHeight w:val="183"/>
        </w:trPr>
        <w:tc>
          <w:tcPr>
            <w:tcW w:w="71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Acquisition of business, net of cash acquired</w:t>
            </w:r>
          </w:p>
        </w:tc>
        <w:tc>
          <w:tcPr>
            <w:tcW w:w="88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(13,336)</w:t>
            </w:r>
          </w:p>
        </w:tc>
        <w:tc>
          <w:tcPr>
            <w:tcW w:w="0" w:type="dxa"/>
            <w:vAlign w:val="bottom"/>
          </w:tcPr>
          <w:p>
            <w:pPr>
              <w:spacing w:after="0"/>
              <w:rPr>
                <w:sz w:val="1"/>
                <w:szCs w:val="1"/>
                <w:color w:val="auto"/>
              </w:rPr>
            </w:pPr>
          </w:p>
        </w:tc>
      </w:tr>
      <w:tr>
        <w:trPr>
          <w:trHeight w:val="189"/>
        </w:trPr>
        <w:tc>
          <w:tcPr>
            <w:tcW w:w="7140" w:type="dxa"/>
            <w:vAlign w:val="bottom"/>
            <w:tcBorders>
              <w:top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Cash flows provided by investing activities</w:t>
            </w:r>
          </w:p>
        </w:tc>
        <w:tc>
          <w:tcPr>
            <w:tcW w:w="880" w:type="dxa"/>
            <w:vAlign w:val="bottom"/>
            <w:tcBorders>
              <w:top w:val="single" w:sz="8" w:color="auto"/>
              <w:bottom w:val="single" w:sz="8" w:color="auto"/>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150,541</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167,012</w:t>
            </w: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45,659</w:t>
            </w:r>
          </w:p>
        </w:tc>
        <w:tc>
          <w:tcPr>
            <w:tcW w:w="0" w:type="dxa"/>
            <w:vAlign w:val="bottom"/>
          </w:tcPr>
          <w:p>
            <w:pPr>
              <w:spacing w:after="0"/>
              <w:rPr>
                <w:sz w:val="1"/>
                <w:szCs w:val="1"/>
                <w:color w:val="auto"/>
              </w:rPr>
            </w:pPr>
          </w:p>
        </w:tc>
      </w:tr>
      <w:tr>
        <w:trPr>
          <w:trHeight w:val="164"/>
        </w:trPr>
        <w:tc>
          <w:tcPr>
            <w:tcW w:w="71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Financing activities:</w:t>
            </w: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Payment of debt issuance costs related to the Credit Facility</w:t>
            </w:r>
          </w:p>
        </w:tc>
        <w:tc>
          <w:tcPr>
            <w:tcW w:w="8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2"/>
        </w:trPr>
        <w:tc>
          <w:tcPr>
            <w:tcW w:w="71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Proceeds from exercise of stock options</w:t>
            </w:r>
          </w:p>
        </w:tc>
        <w:tc>
          <w:tcPr>
            <w:tcW w:w="8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1,406</w:t>
            </w:r>
          </w:p>
        </w:tc>
        <w:tc>
          <w:tcPr>
            <w:tcW w:w="0" w:type="dxa"/>
            <w:vAlign w:val="bottom"/>
          </w:tcPr>
          <w:p>
            <w:pPr>
              <w:spacing w:after="0"/>
              <w:rPr>
                <w:sz w:val="1"/>
                <w:szCs w:val="1"/>
                <w:color w:val="auto"/>
              </w:rPr>
            </w:pPr>
          </w:p>
        </w:tc>
      </w:tr>
      <w:tr>
        <w:trPr>
          <w:trHeight w:val="196"/>
        </w:trPr>
        <w:tc>
          <w:tcPr>
            <w:tcW w:w="7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Repurchases of common stock</w:t>
            </w:r>
          </w:p>
        </w:tc>
        <w:tc>
          <w:tcPr>
            <w:tcW w:w="8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(508)</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(950)</w:t>
            </w:r>
          </w:p>
        </w:tc>
        <w:tc>
          <w:tcPr>
            <w:tcW w:w="0" w:type="dxa"/>
            <w:vAlign w:val="bottom"/>
          </w:tcPr>
          <w:p>
            <w:pPr>
              <w:spacing w:after="0"/>
              <w:rPr>
                <w:sz w:val="1"/>
                <w:szCs w:val="1"/>
                <w:color w:val="auto"/>
              </w:rPr>
            </w:pPr>
          </w:p>
        </w:tc>
      </w:tr>
      <w:tr>
        <w:trPr>
          <w:trHeight w:val="176"/>
        </w:trPr>
        <w:tc>
          <w:tcPr>
            <w:tcW w:w="714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3"/>
                <w:szCs w:val="13"/>
                <w:color w:val="auto"/>
              </w:rPr>
              <w:t>Cash flows provided by financing activities</w:t>
            </w:r>
          </w:p>
        </w:tc>
        <w:tc>
          <w:tcPr>
            <w:tcW w:w="8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1,022</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842</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456</w:t>
            </w:r>
          </w:p>
        </w:tc>
        <w:tc>
          <w:tcPr>
            <w:tcW w:w="0" w:type="dxa"/>
            <w:vAlign w:val="bottom"/>
          </w:tcPr>
          <w:p>
            <w:pPr>
              <w:spacing w:after="0"/>
              <w:rPr>
                <w:sz w:val="1"/>
                <w:szCs w:val="1"/>
                <w:color w:val="auto"/>
              </w:rPr>
            </w:pPr>
          </w:p>
        </w:tc>
      </w:tr>
      <w:tr>
        <w:trPr>
          <w:trHeight w:val="189"/>
        </w:trPr>
        <w:tc>
          <w:tcPr>
            <w:tcW w:w="71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Net (decrease) increase in cash and cash equivalents and restricted cash</w:t>
            </w:r>
          </w:p>
        </w:tc>
        <w:tc>
          <w:tcPr>
            <w:tcW w:w="8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(282,570)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11,260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110,255</w:t>
            </w:r>
          </w:p>
        </w:tc>
        <w:tc>
          <w:tcPr>
            <w:tcW w:w="0" w:type="dxa"/>
            <w:vAlign w:val="bottom"/>
          </w:tcPr>
          <w:p>
            <w:pPr>
              <w:spacing w:after="0"/>
              <w:rPr>
                <w:sz w:val="1"/>
                <w:szCs w:val="1"/>
                <w:color w:val="auto"/>
              </w:rPr>
            </w:pPr>
          </w:p>
        </w:tc>
      </w:tr>
      <w:tr>
        <w:trPr>
          <w:trHeight w:val="183"/>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beginning of period</w:t>
            </w:r>
          </w:p>
        </w:tc>
        <w:tc>
          <w:tcPr>
            <w:tcW w:w="8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511,055</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228,485</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239,745</w:t>
            </w:r>
          </w:p>
        </w:tc>
        <w:tc>
          <w:tcPr>
            <w:tcW w:w="0" w:type="dxa"/>
            <w:vAlign w:val="bottom"/>
          </w:tcPr>
          <w:p>
            <w:pPr>
              <w:spacing w:after="0"/>
              <w:rPr>
                <w:sz w:val="1"/>
                <w:szCs w:val="1"/>
                <w:color w:val="auto"/>
              </w:rPr>
            </w:pPr>
          </w:p>
        </w:tc>
      </w:tr>
      <w:tr>
        <w:trPr>
          <w:trHeight w:val="214"/>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end of period</w:t>
            </w:r>
          </w:p>
        </w:tc>
        <w:tc>
          <w:tcPr>
            <w:tcW w:w="880" w:type="dxa"/>
            <w:vAlign w:val="bottom"/>
            <w:tcBorders>
              <w:bottom w:val="single" w:sz="8" w:color="auto"/>
            </w:tcBorders>
            <w:shd w:val="clear" w:color="auto" w:fill="CCEEFF"/>
          </w:tcPr>
          <w:p>
            <w:pPr>
              <w:jc w:val="right"/>
              <w:ind w:right="733"/>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228,485</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239,745</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350,000</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Cash and cash equivalents, end of the period</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140" w:type="dxa"/>
            <w:vAlign w:val="bottom"/>
            <w:vMerge w:val="continue"/>
          </w:tcPr>
          <w:p>
            <w:pPr>
              <w:spacing w:after="0"/>
              <w:rPr>
                <w:sz w:val="13"/>
                <w:szCs w:val="13"/>
                <w:color w:val="auto"/>
              </w:rPr>
            </w:pPr>
          </w:p>
        </w:tc>
        <w:tc>
          <w:tcPr>
            <w:tcW w:w="880" w:type="dxa"/>
            <w:vAlign w:val="bottom"/>
          </w:tcPr>
          <w:p>
            <w:pPr>
              <w:jc w:val="right"/>
              <w:ind w:right="733"/>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203,364</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239,745</w:t>
            </w:r>
          </w:p>
        </w:tc>
        <w:tc>
          <w:tcPr>
            <w:tcW w:w="100" w:type="dxa"/>
            <w:vAlign w:val="bottom"/>
          </w:tcPr>
          <w:p>
            <w:pPr>
              <w:spacing w:after="0"/>
              <w:rPr>
                <w:sz w:val="13"/>
                <w:szCs w:val="13"/>
                <w:color w:val="auto"/>
              </w:rPr>
            </w:pPr>
          </w:p>
        </w:tc>
        <w:tc>
          <w:tcPr>
            <w:tcW w:w="28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337,697</w:t>
            </w:r>
          </w:p>
        </w:tc>
        <w:tc>
          <w:tcPr>
            <w:tcW w:w="0" w:type="dxa"/>
            <w:vAlign w:val="bottom"/>
          </w:tcPr>
          <w:p>
            <w:pPr>
              <w:spacing w:after="0"/>
              <w:rPr>
                <w:sz w:val="1"/>
                <w:szCs w:val="1"/>
                <w:color w:val="auto"/>
              </w:rPr>
            </w:pPr>
          </w:p>
        </w:tc>
      </w:tr>
      <w:tr>
        <w:trPr>
          <w:trHeight w:val="18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Restricted cash, end of the period</w:t>
            </w:r>
          </w:p>
        </w:tc>
        <w:tc>
          <w:tcPr>
            <w:tcW w:w="8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25,121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12,303</w:t>
            </w:r>
          </w:p>
        </w:tc>
        <w:tc>
          <w:tcPr>
            <w:tcW w:w="0" w:type="dxa"/>
            <w:vAlign w:val="bottom"/>
          </w:tcPr>
          <w:p>
            <w:pPr>
              <w:spacing w:after="0"/>
              <w:rPr>
                <w:sz w:val="1"/>
                <w:szCs w:val="1"/>
                <w:color w:val="auto"/>
              </w:rPr>
            </w:pPr>
          </w:p>
        </w:tc>
      </w:tr>
      <w:tr>
        <w:trPr>
          <w:trHeight w:val="189"/>
        </w:trPr>
        <w:tc>
          <w:tcPr>
            <w:tcW w:w="7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end of the period</w:t>
            </w:r>
          </w:p>
        </w:tc>
        <w:tc>
          <w:tcPr>
            <w:tcW w:w="880" w:type="dxa"/>
            <w:vAlign w:val="bottom"/>
            <w:tcBorders>
              <w:top w:val="single" w:sz="8" w:color="auto"/>
              <w:bottom w:val="single" w:sz="8" w:color="auto"/>
            </w:tcBorders>
          </w:tcPr>
          <w:p>
            <w:pPr>
              <w:jc w:val="right"/>
              <w:ind w:right="733"/>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228,485</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239,745</w:t>
            </w:r>
          </w:p>
        </w:tc>
        <w:tc>
          <w:tcPr>
            <w:tcW w:w="10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350,000</w:t>
            </w:r>
          </w:p>
        </w:tc>
        <w:tc>
          <w:tcPr>
            <w:tcW w:w="0" w:type="dxa"/>
            <w:vAlign w:val="bottom"/>
          </w:tcPr>
          <w:p>
            <w:pPr>
              <w:spacing w:after="0"/>
              <w:rPr>
                <w:sz w:val="1"/>
                <w:szCs w:val="1"/>
                <w:color w:val="auto"/>
              </w:rPr>
            </w:pP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Supplementary cash flow disclosure:</w:t>
            </w:r>
          </w:p>
        </w:tc>
        <w:tc>
          <w:tcPr>
            <w:tcW w:w="8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71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Cash paid for interest</w:t>
            </w:r>
          </w:p>
        </w:tc>
        <w:tc>
          <w:tcPr>
            <w:tcW w:w="880" w:type="dxa"/>
            <w:vAlign w:val="bottom"/>
          </w:tcPr>
          <w:p>
            <w:pPr>
              <w:jc w:val="right"/>
              <w:ind w:right="733"/>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00" w:type="dxa"/>
            <w:vAlign w:val="bottom"/>
          </w:tcPr>
          <w:p>
            <w:pPr>
              <w:spacing w:after="0"/>
              <w:rPr>
                <w:sz w:val="15"/>
                <w:szCs w:val="15"/>
                <w:color w:val="auto"/>
              </w:rPr>
            </w:pPr>
          </w:p>
        </w:tc>
        <w:tc>
          <w:tcPr>
            <w:tcW w:w="28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467</w:t>
            </w:r>
          </w:p>
        </w:tc>
        <w:tc>
          <w:tcPr>
            <w:tcW w:w="0" w:type="dxa"/>
            <w:vAlign w:val="bottom"/>
          </w:tcPr>
          <w:p>
            <w:pPr>
              <w:spacing w:after="0"/>
              <w:rPr>
                <w:sz w:val="1"/>
                <w:szCs w:val="1"/>
                <w:color w:val="auto"/>
              </w:rPr>
            </w:pPr>
          </w:p>
        </w:tc>
      </w:tr>
      <w:tr>
        <w:trPr>
          <w:trHeight w:val="196"/>
        </w:trPr>
        <w:tc>
          <w:tcPr>
            <w:tcW w:w="7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Cash paid for income taxes</w:t>
            </w:r>
          </w:p>
        </w:tc>
        <w:tc>
          <w:tcPr>
            <w:tcW w:w="88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2,178</w:t>
            </w:r>
          </w:p>
        </w:tc>
        <w:tc>
          <w:tcPr>
            <w:tcW w:w="0" w:type="dxa"/>
            <w:vAlign w:val="bottom"/>
          </w:tcPr>
          <w:p>
            <w:pPr>
              <w:spacing w:after="0"/>
              <w:rPr>
                <w:sz w:val="1"/>
                <w:szCs w:val="1"/>
                <w:color w:val="auto"/>
              </w:rPr>
            </w:pPr>
          </w:p>
        </w:tc>
      </w:tr>
      <w:tr>
        <w:trPr>
          <w:trHeight w:val="184"/>
        </w:trPr>
        <w:tc>
          <w:tcPr>
            <w:tcW w:w="71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disclosures of noncash investing and financing activities:</w:t>
            </w:r>
          </w:p>
        </w:tc>
        <w:tc>
          <w:tcPr>
            <w:tcW w:w="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7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Vesting of early exercised stock options</w:t>
            </w:r>
          </w:p>
        </w:tc>
        <w:tc>
          <w:tcPr>
            <w:tcW w:w="88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10,042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71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Purchases of property, equipment and software in accounts payable</w:t>
            </w:r>
          </w:p>
        </w:tc>
        <w:tc>
          <w:tcPr>
            <w:tcW w:w="880" w:type="dxa"/>
            <w:vAlign w:val="bottom"/>
          </w:tcPr>
          <w:p>
            <w:pPr>
              <w:jc w:val="right"/>
              <w:ind w:right="733"/>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100" w:type="dxa"/>
            <w:vAlign w:val="bottom"/>
          </w:tcPr>
          <w:p>
            <w:pPr>
              <w:spacing w:after="0"/>
              <w:rPr>
                <w:sz w:val="15"/>
                <w:szCs w:val="15"/>
                <w:color w:val="auto"/>
              </w:rPr>
            </w:pPr>
          </w:p>
        </w:tc>
        <w:tc>
          <w:tcPr>
            <w:tcW w:w="28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w:t>
      </w:r>
    </w:p>
    <w:p>
      <w:pPr>
        <w:sectPr>
          <w:pgSz w:w="11900" w:h="16838" w:orient="portrait"/>
          <w:cols w:equalWidth="0" w:num="1">
            <w:col w:w="11240"/>
          </w:cols>
          <w:pgMar w:left="320" w:top="124" w:right="339" w:bottom="1440" w:gutter="0" w:footer="0" w:header="0"/>
          <w:type w:val="continuous"/>
        </w:sectPr>
      </w:pPr>
    </w:p>
    <w:bookmarkStart w:id="261" w:name="page262"/>
    <w:bookmarkEnd w:id="261"/>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CHIME FINANCIAL,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ratios, or as noted)</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DESCRIPTION OF BUSINESS</w:t>
      </w:r>
    </w:p>
    <w:p>
      <w:pPr>
        <w:spacing w:after="0" w:line="175"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Chime Financial, Inc. (“Chime” or the “Company”) is a financial technology company with a mission to unite everyday people to unlock their financial progress. Through its proprietary technology platform, Chime offers a suite of products that address members’ critical financial needs. The Company partners closely with multiple third-party bank partners to offer a broad suite of products across spending, liquidity, credit building, savings, and community.</w:t>
      </w:r>
    </w:p>
    <w:p>
      <w:pPr>
        <w:spacing w:after="0" w:line="126"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The Company was incorporated in the state of Delaware in 2012 and is headquartered in San Francisco, California with offices in Chicago, Illinois, and New York, New York.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7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generally accepted accounting principles in the United States of America (“U.S. GAAP”) and include the accounts of the Company and its wholly owned subsidiaries. All intercompany balances and transactions have been eliminated. The reporting currency of the Company is the U.S. Dollar.</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7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Company operates as a single operating segment and therefore, one reportable segment. The Company’s Chief Operating Decision Maker (“CODM”) is its chief executive officer, who reviews financial information presented on a consolidated basis for purposes of making operating decisions, allocating resources and evaluating the Company’s financial performance. The CODM assesses performance for the single segment and decides how to allocate resources based on net loss as reported on the consolidated statements of operations as consolidated net loss. Revenue from external customers and significant segment expenses are presented in the Company's consolidated statements of operations. The measure of segment assets is reported on the balance sheet as total consolidated assets. Substantially all long-lived assets are located in the United States, and all revenue is generated in the United States.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75"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Business combinations are accounted for under the acquisition method of accounting. This method requires, among other things, allocation of the fair value of purchase consideration to the tangible and intangible assets acquired and liabilities assumed at their estimated fair values on the acquisition date. The excess of the fair value of purchase consideration over the values of these identifiable assets and liabilities is recorded as goodwill. When determining the fair value of assets acquired and liabilities assumed, management makes significant estimates and assumptions, especially with respect to intangible assets. Management’s estimates of fair value are based upon assumptions believed to be reasonable but which are inherently uncertain and unpredictable, and as a result, actual results may differ from estimates. During the measurement period, not to exceed one year from the date of acquisition, the Company may record adjustments to the assets acquired and liabilities assumed, with a corresponding offset to goodwill if new information is obtained related to facts and circumstances that existed as of the acquisition date. After the measurement period, any subsequent adjustments are reflected in the consolidated statements of operations. Acquisition-related expenses and post-combination integration and employee compensation costs are recognized separately from the business combination and are expensed as incurred.</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preparation of these consolidated financial statements requires management to make estimates and assumptions relating to reported amounts of assets, liabilities, revenues, and expenses. Significant estimates and assumptions include but are not limited to accrued transaction dispute losses, fair value of the product obligation, the allowance for expected credit losses, valuation of income taxes, the capitalization and estimated useful life of internal-use software, the fair value and useful lives of assets acquired and liabilities assumed through business combinations, and the fair value of equity awards and stock-based compensation. These estimates are inherently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220"/>
          </w:cols>
          <w:pgMar w:left="320" w:top="124" w:right="359" w:bottom="1440" w:gutter="0" w:footer="0" w:header="0"/>
        </w:sectPr>
      </w:pPr>
    </w:p>
    <w:bookmarkStart w:id="262" w:name="page263"/>
    <w:bookmarkEnd w:id="262"/>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CHIME FINANCIAL,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ratios, or as noted)</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judgment. Actual results could differ from these estimates, and such differences may be material to the consolidated financial statements.</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Payments Revenue</w:t>
      </w:r>
    </w:p>
    <w:p>
      <w:pPr>
        <w:spacing w:after="0" w:line="173"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The Company earns payments revenue in exchange for providing payment services for its members. Payments revenue is based on interchange fees generated from purchase transactions made by members using their Chime-branded debit and credit cards. The Company’s payments revenue reflects the gross amount of the interchange fees, which are generally determined as a percentage of the underlying transaction value plus a fixed amount per transaction based upon rates set by the card networks. Payments revenue is recognized net of refunds, which arise when members make returns to merchants.</w:t>
      </w:r>
    </w:p>
    <w:p>
      <w:pPr>
        <w:spacing w:after="0" w:line="12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To deliver payment services to members, the Company contracts with its bank partners to provide members with FDIC-insured accounts and provide card network sponsorship, as well as to oversee compliance with bank regulations and card networks for transaction routing, reporting and settlement services.</w:t>
      </w:r>
    </w:p>
    <w:p>
      <w:pPr>
        <w:spacing w:after="0" w:line="122"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The Company is the principal in providing the payment services under the Company’s contracts with its members. In collaboration with its bank partners and the card networks, the Company’s primary performance obligation in payment services is to connect members to financial institutions and merchants by enabling, authorizing, and settling each payment. Payments revenue is recognized at the point in time when the Company’s single performance obligation is satisfied, upon the authorization and settlement of the members’ payment transactions as each transaction occurs. The Company maintains control of the integrated transaction processing services before delivery to its members and records revenue on a gross basis on the consolidated statement of operations. Payments revenue is collected by and remitted to the Company through each bank partner and is generally collected monthly in arrears.</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Platform-related Revenue</w:t>
      </w:r>
    </w:p>
    <w:p>
      <w:pPr>
        <w:spacing w:after="0" w:line="173"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Company earns platform-related revenue from other products offered to its members that provide additional convenience, financial management tools, and access to liquidity. These products include access to ATMs, MyPay, high yield savings accounts, third-party partnerships, SpotMe, and cash deposits.</w:t>
      </w:r>
    </w:p>
    <w:p>
      <w:pPr>
        <w:spacing w:after="0" w:line="122" w:lineRule="exact"/>
        <w:rPr>
          <w:sz w:val="20"/>
          <w:szCs w:val="20"/>
          <w:color w:val="auto"/>
        </w:rPr>
      </w:pPr>
    </w:p>
    <w:p>
      <w:pPr>
        <w:ind w:firstLine="324"/>
        <w:spacing w:after="0" w:line="273" w:lineRule="auto"/>
        <w:rPr>
          <w:sz w:val="20"/>
          <w:szCs w:val="20"/>
          <w:color w:val="auto"/>
        </w:rPr>
      </w:pPr>
      <w:r>
        <w:rPr>
          <w:rFonts w:ascii="Times New Roman" w:cs="Times New Roman" w:eastAsia="Times New Roman" w:hAnsi="Times New Roman"/>
          <w:sz w:val="17"/>
          <w:szCs w:val="17"/>
          <w:color w:val="auto"/>
        </w:rPr>
        <w:t>The Company offers its members access to fee-free ATMs. Each time members withdraw money at certain ATMs that are not in the Company’s network of fee-free ATMs, the Company charges a fixed ATM fee in accordance with the terms and conditions in the member agreements. In collaboration with its bank partners and the card networks, the Company’s primary performance obligation in ATM transaction services is to connect members to financial institutions by enabling, authorizing, and settling each ATM transaction. ATM revenue is recognized at the point in time when its single performance obligation is satisfied, upon the authorization and settlement of the members’ ATM transactions as each transaction occurs. The Company maintains control of the integrated transaction processing services before delivery to its members and records revenue on a gross basis on the consolidated statement of operations. ATM revenue is collected by and remitted to the Company through each bank partner and is generally collected monthly in arrears.</w:t>
      </w:r>
    </w:p>
    <w:p>
      <w:pPr>
        <w:spacing w:after="0" w:line="11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Chime offers its members access to MyPay, which enables members to receive money in advance of payday up to a predetermined limit for free within 24 hours, or instantly for a flat fee. The Company recognizes the instant transfer fee net of fees paid to bank partners that are related to the product as revenue. Under agreements between the Company and its two bank partners, the bank partners are the legal lenders of the MyPay product. One of the Company’s bank partners has a contractual option to sell individual MyPay receivables to the Company once such receivables have aged two days beyond their origination date. The Company records these receivables purchased as loans held for investment, net on the consolidated balance sheets and accrues instant transfer fee revenue for these loans using the effective interest rate method. For the off-balance sheet MyPay receivables that are retained by either of the bank partners, the Company recognizes revenue based on the instant transfer fee, net of fees paid to bank partners, at an amount that approximates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220"/>
          </w:cols>
          <w:pgMar w:left="320" w:top="124" w:right="359" w:bottom="1440" w:gutter="0" w:footer="0" w:header="0"/>
        </w:sectPr>
      </w:pPr>
    </w:p>
    <w:bookmarkStart w:id="263" w:name="page264"/>
    <w:bookmarkEnd w:id="263"/>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5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CHIME FINANCIAL, INC.</w:t>
      </w:r>
    </w:p>
    <w:p>
      <w:pPr>
        <w:spacing w:after="0" w:line="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ratios, or as noted)</w:t>
      </w:r>
    </w:p>
    <w:p>
      <w:pPr>
        <w:spacing w:after="0" w:line="263"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Company offers its members access to high yield savings accounts with no minimum deposit requirements. Member savings account balances are held in interest bearing deposit accounts offered through the Company’s bank partners. Under the terms of the Company’s applicable contractual agreements with each bank partner, member deposits are either placed in the community deposit sweep program or held by the Company’s bank partners. The earned interest is passed to the Company which it recognizes as revenue net of the interest paid to its members, which is considered consideration payable to the member. The Company’s single performance obligation to its members, which is satisfied daily, is to offer access to the high yield savings account to members, which provides interest on the deposited funds.</w:t>
      </w:r>
    </w:p>
    <w:p>
      <w:pPr>
        <w:spacing w:after="0" w:line="133"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The Company also generates revenue from third-party partnership agreements through products such as Experian Boost and its Offers Marketplace, where the Company receives payment from partners that offer products and services to members on the Chime app for connecting members with the partners. Revenue is recognized at a point in time when the Company’s performance obligation is satisfied.</w:t>
      </w:r>
    </w:p>
    <w:p>
      <w:pPr>
        <w:spacing w:after="0" w:line="12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Company offers members access to SpotMe, a fee-free overdraft protection product, which allows enrolled members to overdraw their account up to a predetermined limit free of charge. Members may tip Chime, at their discretion, for the use of the feature once the overdraft is repaid and may rescind the tip during the specified refundable period as defined in the member agreement. The Company defers the recognition of revenue until the expiration of the refundable period.</w:t>
      </w:r>
    </w:p>
    <w:p>
      <w:pPr>
        <w:spacing w:after="0" w:line="12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Members can deposit cash into their accounts for free at certain retail locations, or for a fee at other retail locations. Through contracts with third-party cash deposit networks, the Company earns revenue upon each qualifying cash deposit outside its free network at a rate that varies depending on the cash deposit network and retailer. The Company does not have the primary responsibility for fulfilling its members’ cash deposit requests and the Company recognizes revenue net of fees paid to its third-party cash deposit networks upon settlement of the cash deposit in the members’ accounts.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Cost of revenue consists primarily of transaction processing and bank partner costs, and card and ATM network costs, net of incentives.</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Transaction processing and bank partner costs</w:t>
      </w:r>
    </w:p>
    <w:p>
      <w:pPr>
        <w:spacing w:after="0" w:line="173"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Transaction processing and bank partner costs include expenses incurred related to the Company’s third-party processor, which processes authorizations, settlements, payments, adjustments, and other transactions to member accounts, maintains and updates member information, and provides member reporting of accounts and transactions. These costs are generally equal to a fixed amount per transaction coupled with a large-volume discount factor. Transaction processing and bank partner costs also include hosting and software costs, including the amortization of internal-use software related to revenue generating platforms such as ChimeCore, the Company’s proprietary payment processor and ledger that launched in 2024, and the internal-use software supporting the MyPay product and others. Additionally, transaction processing and bank partner costs include fees paid to bank partners for serving as the Company’s card issuing bank and for card network sponsorship. These costs are predominantly based on a specified percentage of the dollar volume of member purchase transactions using Chime-branded debit or credit cards at each respective bank partner.</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Card and ATM network costs, net of incentives</w:t>
      </w:r>
    </w:p>
    <w:p>
      <w:pPr>
        <w:spacing w:after="0" w:line="173"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 pays card and ATM networks for providing the worldwide networks through which card payment and ATM transactions are authorized, processed, and settled. These fees are generally based on the dollar volume of member purchase transactions and the total number of transactions in the period, and vary by network and transaction type.</w:t>
      </w:r>
    </w:p>
    <w:p>
      <w:pPr>
        <w:spacing w:after="0" w:line="122"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Company also has marketing and incentive arrangements with card networks that provide it with certain incentives on a periodic basis, including quarterly and annual incentives based on transaction volumes in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180"/>
          </w:cols>
          <w:pgMar w:left="320" w:top="124" w:right="399" w:bottom="1440" w:gutter="0" w:footer="0" w:header="0"/>
        </w:sectPr>
      </w:pPr>
    </w:p>
    <w:bookmarkStart w:id="264" w:name="page265"/>
    <w:bookmarkEnd w:id="264"/>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ratios, or as noted)</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signing bonus, and other marketing incentives. The Company records these incentives as a reduction to the cost of revenue as they are earned.</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Operating expenses are recognized as incurred, as follows:</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Transaction and risk losses</w:t>
      </w:r>
    </w:p>
    <w:p>
      <w:pPr>
        <w:spacing w:after="0" w:line="173"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Transaction and risk losses consist of losses relating to credit obligations for outstanding receivables from members, both on- and off-balance sheet, and transaction dispute losses.</w:t>
      </w:r>
    </w:p>
    <w:p>
      <w:pPr>
        <w:spacing w:after="0" w:line="10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Company’s credit obligations for off-balance sheet receivables that are retained by bank partners and relate to MyPay, SpotMe, as well as other instances where a member’s account is overdrawn, are estimated at each period end and recognized on the consolidated balance sheets as product obligation. This obligation is measured at fair value, using a discounted cash flow model to calculate the present value of future cash flows based on current period data and historical trends.</w:t>
      </w:r>
    </w:p>
    <w:p>
      <w:pPr>
        <w:spacing w:after="0" w:line="126"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Company’s credit obligations for MyPay receivables purchased by the Company, which are on the Company’s consolidated balance sheet as loans held for investment, are recorded as a provision for credit losses within transaction and risk losses.</w:t>
      </w:r>
    </w:p>
    <w:p>
      <w:pPr>
        <w:spacing w:after="0" w:line="108"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Transaction and risk losses also includes transaction dispute losses, which result from member-initiated disputes with a merchant or due to processing fraudulent transactions. The Company estimates the provision for transaction dispute losses each period based on current period data points and historical trends related to loss rates.</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Member support and operations</w:t>
      </w:r>
    </w:p>
    <w:p>
      <w:pPr>
        <w:spacing w:after="0" w:line="173" w:lineRule="exact"/>
        <w:rPr>
          <w:sz w:val="20"/>
          <w:szCs w:val="20"/>
          <w:color w:val="auto"/>
        </w:rPr>
      </w:pPr>
    </w:p>
    <w:p>
      <w:pPr>
        <w:ind w:right="360" w:firstLine="324"/>
        <w:spacing w:after="0" w:line="261" w:lineRule="auto"/>
        <w:rPr>
          <w:sz w:val="20"/>
          <w:szCs w:val="20"/>
          <w:color w:val="auto"/>
        </w:rPr>
      </w:pPr>
      <w:r>
        <w:rPr>
          <w:rFonts w:ascii="Times New Roman" w:cs="Times New Roman" w:eastAsia="Times New Roman" w:hAnsi="Times New Roman"/>
          <w:sz w:val="18"/>
          <w:szCs w:val="18"/>
          <w:color w:val="auto"/>
        </w:rPr>
        <w:t>Member support and operations expenses include the costs of the third-party vendors the Company uses for certain member support and loss prevention services, the costs of physical debit and credit card issuance, software to help manage member interactions, and member onboarding and account verification expenses. Member support and operations also includes personnel-related expenses including salaries, employee benefit costs, and stock-based compensation for employees engaged in member support, risk, and operations functions, and allocated overhead.</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73"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Sales and marketing expenses consist primarily of general marketing and promotional activities, including advertising costs associated with the production and communication of advertisements in various media outlets for direct response and brand marketing, referral bonuses given to members who refer another member to Chime with certain qualifying conditions, and other marketing incentives. Sales and marketing expenses also include personnel-related expenses including salaries, employee benefit costs, and stock-based compensation for employees engaged in marketing functions and allocated overhead. Advertising costs are expensed as incurred and were $394.7 million, $394.7 million, and $456.6 million for the years ended December 31, 2022, 2023, and 2024.</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Technology and development</w:t>
      </w:r>
    </w:p>
    <w:p>
      <w:pPr>
        <w:spacing w:after="0" w:line="173"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Technology and development expenses primarily consist of personnel-related expenses including salaries, employee benefit costs, and stock-based compensation for employees engaged in the engineering, product management, data science, and design functions, and allocated overhead, as well as costs for cloud infrastructure, and other costs to support and improve the Company’s platform.</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73" w:lineRule="exact"/>
        <w:rPr>
          <w:sz w:val="20"/>
          <w:szCs w:val="20"/>
          <w:color w:val="auto"/>
        </w:rPr>
      </w:pPr>
    </w:p>
    <w:p>
      <w:pPr>
        <w:jc w:val="both"/>
        <w:ind w:right="460"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primarily consist of personnel-related expenses, including salaries, employee benefit costs, and stock-based compensation for employees engaged in the security, legal, compliance, human resources, and finance functions, and allocated overhead. General and administrative also includes professional services fees, business software, and legal and regulatory settlements. For the year ended December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240"/>
          </w:cols>
          <w:pgMar w:left="320" w:top="124" w:right="339" w:bottom="1440" w:gutter="0" w:footer="0" w:header="0"/>
        </w:sectPr>
      </w:pPr>
    </w:p>
    <w:bookmarkStart w:id="265" w:name="page266"/>
    <w:bookmarkEnd w:id="265"/>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CHIME FINANCIAL, INC.</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ratios, or as noted)</w:t>
      </w:r>
    </w:p>
    <w:p>
      <w:pPr>
        <w:spacing w:after="0" w:line="26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2022, general and administrative expenses also included $18.3 million in impairment charges related to the Company’s real estate assets, comprised of right-of-use assets and certain related fixed assets.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5"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Company measures compensation expense for all stock-based payment awards granted to employees, and nonemployee service providers, based on the estimated fair value of the awards on the date of grant.</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Fair Value of Common Stock</w:t>
      </w:r>
    </w:p>
    <w:p>
      <w:pPr>
        <w:spacing w:after="0" w:line="173"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Company determines the fair value of the common stock, underlying the Company’s stock-based awards, with input from management and contemporaneous third-party valuations. Given the absence of a public trading market for the Company’s common stock, the Board of Directors exercised reasonable judgment and considered numerous objective and subjective factors to determine the best estimate of the fair value of its common stock including:</w:t>
      </w:r>
    </w:p>
    <w:p>
      <w:pPr>
        <w:spacing w:after="0" w:line="126" w:lineRule="exact"/>
        <w:rPr>
          <w:sz w:val="20"/>
          <w:szCs w:val="20"/>
          <w:color w:val="auto"/>
        </w:rPr>
      </w:pPr>
    </w:p>
    <w:p>
      <w:pPr>
        <w:ind w:left="660" w:hanging="328"/>
        <w:spacing w:after="0"/>
        <w:tabs>
          <w:tab w:leader="none" w:pos="6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observed sales of common and redeemable convertible preferred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the Company’s principal market;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contemporaneous valuations performed at periodic intervals by unrelated third-party specialists;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preferences, and privileges of the Company’s redeemable convertible preferred stock relative to those of its common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actual operating and financial performance;</w:t>
      </w:r>
    </w:p>
    <w:p>
      <w:pPr>
        <w:spacing w:after="0" w:line="17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likelihood of achieving a liquidity event, such as an initial public offering or a sale of the Company given prevailing market conditions and the nature and history of its business;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multiples of comparable companies in its industry;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stage of development;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information such as market size and growth;</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illiquidity of stock-based awards involving securities in a private company;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w:t>
      </w:r>
    </w:p>
    <w:p>
      <w:pPr>
        <w:spacing w:after="0" w:line="17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estimating the value of the Company’s common stock, the Company evaluates any secondary transactions involving its capital stock. In its evaluation of those transactions, the Company considered the facts and circumstances of each transaction to determine the extent to which they represented a fair value exchange and assigned the transactions an appropriate weighting in the valuation of our common stock. Factors considered include the number of different buyers and sellers, transaction volume, timing relative to the valuation date, whether the transactions occurred between willing and unrelated parties, and whether the transactions involved investors with access to the Company’s financial information.</w:t>
      </w:r>
    </w:p>
    <w:p>
      <w:pPr>
        <w:spacing w:after="0" w:line="1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Company has also used both the income and the market approach valuation methods. The income approach estimates fair value based on the expectation of future cash flows that a company will generate. These future cash flows are discounted to their present values using a discount rate based on the venture capital rates of return and is adjusted to reflect the risks inherent in the Company’s cash flows. The market approach estimates fair value based on a comparison of the subject company to comparable public companies in a similar line of business.</w:t>
      </w:r>
    </w:p>
    <w:p>
      <w:pPr>
        <w:spacing w:after="0" w:line="126"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Application of these approaches involves the use of estimates, judgment, and assumptions that are highly complex and subjective, such as those regarding the Company’s expected future revenue, market multiples, and the selection of comparable companies. Changes in any or all of these estimates and assumptions or the relationships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180"/>
          </w:cols>
          <w:pgMar w:left="320" w:top="124" w:right="399" w:bottom="1440" w:gutter="0" w:footer="0" w:header="0"/>
        </w:sectPr>
      </w:pPr>
    </w:p>
    <w:bookmarkStart w:id="266" w:name="page267"/>
    <w:bookmarkEnd w:id="266"/>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5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CHIME FINANCIAL, INC.</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ratios, or as noted)</w:t>
      </w:r>
    </w:p>
    <w:p>
      <w:pPr>
        <w:spacing w:after="0" w:line="26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between those assumptions impact the Company’s valuations as of each valuation date and may have a material impact on the valuation of its common stock.</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73"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The Company measures compensation cost for stock options at fair value on grant date and recognizes compensation cost over the requisite service period. For awards with only service-based vesting conditions, the Company records compensation cost for these awards using the straight-line method. For awards with performance-based vesting conditions, the Company recognizes compensation cost on a tranche-by-tranche basis (the accelerated attribution method), based on the probability of achieving the performance criteria.</w:t>
      </w:r>
    </w:p>
    <w:p>
      <w:pPr>
        <w:spacing w:after="0" w:line="126"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Company uses the Black-Scholes option pricing model to estimate the fair value of the stock option awards. The Black-Scholes option-pricing model incorporates various assumptions in estimating the fair value of stock-based awards. In addition to the fair value of common stock, these variables include:</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Expected Term</w:t>
      </w:r>
    </w:p>
    <w:p>
      <w:pPr>
        <w:spacing w:after="0" w:line="171"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Company uses the simplified method to determine the expected term of the stock options. The expected term of the options is based on the average period the stock options are expected to remain outstanding calculated as the midpoint of the options vesting term and contractual expiration period, as the Company does not have sufficient historical information to develop expectations about future exercise patterns and post-vesting termination behavior.</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Expected Volatility</w:t>
      </w:r>
    </w:p>
    <w:p>
      <w:pPr>
        <w:spacing w:after="0" w:line="171"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As the Company does not have any trading history for its common stock, the Company estimates the volatility based on the expected volatility of publicly traded industry peers.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Risk-Free Interest Rate</w:t>
      </w:r>
    </w:p>
    <w:p>
      <w:pPr>
        <w:spacing w:after="0" w:line="171"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 Company uses the weighted average, risk-free rate based on the rate for a U.S. Treasury zero-coupon issue with a term that approximates the expected life of the option grant at the date closest to the option grant date.</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Expected Dividends</w:t>
      </w:r>
    </w:p>
    <w:p>
      <w:pPr>
        <w:spacing w:after="0" w:line="17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not paid and does not anticipate paying any cash dividends in the foreseeable future, and therefore, uses an expected dividend yield of zero.</w:t>
      </w:r>
    </w:p>
    <w:p>
      <w:pPr>
        <w:spacing w:after="0" w:line="108" w:lineRule="exact"/>
        <w:rPr>
          <w:sz w:val="20"/>
          <w:szCs w:val="20"/>
          <w:color w:val="auto"/>
        </w:rPr>
      </w:pPr>
    </w:p>
    <w:p>
      <w:pPr>
        <w:jc w:val="both"/>
        <w:ind w:right="420" w:firstLine="324"/>
        <w:spacing w:after="0" w:line="266" w:lineRule="auto"/>
        <w:rPr>
          <w:sz w:val="20"/>
          <w:szCs w:val="20"/>
          <w:color w:val="auto"/>
        </w:rPr>
      </w:pPr>
      <w:r>
        <w:rPr>
          <w:rFonts w:ascii="Times New Roman" w:cs="Times New Roman" w:eastAsia="Times New Roman" w:hAnsi="Times New Roman"/>
          <w:sz w:val="18"/>
          <w:szCs w:val="18"/>
          <w:color w:val="auto"/>
        </w:rPr>
        <w:t>As part of the fair value process, the Company assesses the impact of material nonpublic information on the Company’s share price or expected volatility, as applicable, at the time of grant. Forfeitures are accounted for as they occur. Stock-based compensation expense is allocated to operating expenses on the consolidated statements of operations based on where the associated employee’s compensation is recorded.</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RSUs</w:t>
      </w:r>
    </w:p>
    <w:p>
      <w:pPr>
        <w:spacing w:after="0" w:line="173"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The Company primarily grants service-based restricted stock units (“RSUs”) which vest upon the satisfaction of both a service condition and a liquidity condition. The service condition for these awards is generally satisfied over four years while the liquidity condition is satisfied upon the occurrence of a change in control of the Company or the consummation of an initial public offering of the Company’s equity securities, as defined in the applicable RSU agreements.</w:t>
      </w:r>
    </w:p>
    <w:p>
      <w:pPr>
        <w:spacing w:after="0" w:line="12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Company measures RSUs based on the fair value of the underlying common stock on the date of grant. For the years ended December 31, 2022, 2023, and 2024, the Company has not recognized any stock-based compensation expense related to RSUs as the liquidity condition had not been satisfied. In the period for which the liquidity condition is satisfied, the Company will record cumulative stock-based compensation expense using the accelerated attribution method for those RSUs for which the service condition has been satisfied prior to the occurrence of the liquidity event. The Company will record the remaining unrecognized stock-based compensation expense over the remainder of the requisite service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120"/>
          </w:cols>
          <w:pgMar w:left="320" w:top="124" w:right="459" w:bottom="1440" w:gutter="0" w:footer="0" w:header="0"/>
        </w:sectPr>
      </w:pPr>
    </w:p>
    <w:bookmarkStart w:id="267" w:name="page268"/>
    <w:bookmarkEnd w:id="267"/>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ratios, or as noted)</w:t>
      </w:r>
    </w:p>
    <w:p>
      <w:pPr>
        <w:spacing w:after="0" w:line="2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PSUs</w:t>
      </w:r>
    </w:p>
    <w:p>
      <w:pPr>
        <w:spacing w:after="0" w:line="173"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2024, the Company also granted restricted stock units with a service condition, a liquidity condition, and other operational performance-based vesting conditions (“PSUs”). PSUs are measured at fair value of the underlying common stock on the date of grant. The Company has not recognized any stock-based compensation expense related to PSUs as the liquidity condition had not been satisfied. In the period for which the liquidity condition is satisfied, the Company will record cumulative stock-based compensation expense using the accelerated attribution method for those PSUs that are expected to vest based on the probability of achieving the performance criteria. The Company will record the remaining unrecognized expense over the remainder of the expected achievement period for the performance conditions of the PSUs.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RSAs</w:t>
      </w:r>
    </w:p>
    <w:p>
      <w:pPr>
        <w:spacing w:after="0" w:line="173"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During 2024, the Company granted restricted stock awards (“RSAs”) to employees. The RSAs consist of awards with a service-based vesting condition and awards with both service-based and performance-based vesting conditions. RSAs are measured at fair value of the underlying common stock on the date of grant. For awards with only service-based vesting conditions, the Company records compensation cost for these awards using the straight-line method over the requisite service period. Awards with performance-based vesting conditions vest upon the achievement of designated operational metrics and continued employment at the time when the performance condition is achieved. The Company recognizes compensation cost for performance-based RSAs based on the accelerated attribution method when the performance condition is considered probable to be satisfied.</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Secondary Sales</w:t>
      </w:r>
    </w:p>
    <w:p>
      <w:pPr>
        <w:spacing w:after="0" w:line="173"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auto"/>
        </w:rPr>
        <w:t>In certain instances when the Company acquires outstanding common stock from current or former employees for a purchase price greater than the Company’s estimated fair value of its common stock, the Company records stock-based compensation expense for the excess of the price paid over the estimated fair value on the date of the transaction.</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75"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Other income, net primarily includes interest income, which consists of interest and dividends earned on the Company’s cash and cash equivalents and marketable securities.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75"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Company considers all cash held in banks and highly liquid investments, including money market funds, with an original maturity of three months or less at the date of purchase, to be cash and cash equivalents.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75"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2024, restricted cash consisted of cash restricted by an agreement with a bank partner and is required to be used to purchase loans held for investment. As of December 31, 2023, the Company did not have any restricted cash.</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Product Collateral</w:t>
      </w:r>
    </w:p>
    <w:p>
      <w:pPr>
        <w:spacing w:after="0" w:line="1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established cash collateral accounts with each respective bank partner to provide them with protection against losses from certain products. The Company funds these accounts according to requirements in the individual agreements, which vary by product type. On a monthly basis, any calculated deficit in such collateral accounts is funded by the Company, and any surplus may be remitted by the respective bank partner at the request of the Company. The amount of cash collateral funded fluctuates month-to-month and in some instances, the Company’s accounts receivable with the bank partner may be pledged to satisfy the collateral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240"/>
          </w:cols>
          <w:pgMar w:left="320" w:top="124" w:right="339" w:bottom="1440" w:gutter="0" w:footer="0" w:header="0"/>
        </w:sectPr>
      </w:pPr>
    </w:p>
    <w:bookmarkStart w:id="268" w:name="page269"/>
    <w:bookmarkEnd w:id="268"/>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CHIME FINANCIAL,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ratios, or as noted)</w:t>
      </w:r>
    </w:p>
    <w:p>
      <w:pPr>
        <w:spacing w:after="0" w:line="2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75"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The Company determines the appropriate classification of its investments in marketable securities at the time of purchase and reevaluates such designation at each balance sheet date. The Company has classified and accounted for its marketable securities as available-for-sale (“AFS”). After consideration of the Company’s capital preservation objectives, as well as its liquidity requirements, the Company may sell securities prior to their stated maturities and therefore classifies marketable securities as current assets on the consolidated balance sheets.</w:t>
      </w:r>
    </w:p>
    <w:p>
      <w:pPr>
        <w:spacing w:after="0" w:line="12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Company carries its AFS securities at fair value and reports any unrealized gain and loss, net of taxes, in accumulated other comprehensive income (loss), a component of stockholders’ deficit. The Company records any realized gains or losses on the sale of marketable securities in other income, net on the consolidated statements of operations. The cost of securities sold is based on the specific-identification method. Interest on marketable securities classified as AFS is included in other income, net on the consolidated statements of operations.</w:t>
      </w:r>
    </w:p>
    <w:p>
      <w:pPr>
        <w:spacing w:after="0" w:line="126"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Company evaluates unrealized losses on its AFS securities to determine if they are due to credit or non-credit related factors. The Company considers credit related impairments to be changes in fair value that are driven by a change in the creditor’s ability to meet its payment obligations. In those instances, an impairment charge equal to the difference between the fair value and the amortized cost basis is recognized in other income, net on the consolidated statements of operations. The Company determined that there was no credit related impairment on marketable securities during the years ended December 31, 2022, 2023, and 2024.</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75"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The Company reports all financial assets and liabilities that are recognized or disclosed at fair value on the consolidated financial statements on a recurring basis in accordance with ASC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(“ASC 820”). ASC 820 defines fair value as the price that would be received from selling an asset or paid to transfer a liability in an orderly transaction between market participants at the measurement date.</w:t>
      </w:r>
    </w:p>
    <w:p>
      <w:pPr>
        <w:spacing w:after="0" w:line="122"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ASC 820 also establishes a fair value hierarchy, which prioritizes the inputs to valuation techniques used to measure fair value into three levels. A financial instrument’s categorization within the fair value hierarchy is based upon the lowest level of input that is available and significant to the fair value measurement. ASC 820 establishes and prioritizes three levels of inputs that may be used to measure fair value:</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Inputs to the valuation methodology are quoted prices, unadjusted, for identical assets or liabilities in active markets.</w:t>
      </w:r>
    </w:p>
    <w:p>
      <w:pPr>
        <w:spacing w:after="0" w:line="171" w:lineRule="exact"/>
        <w:rPr>
          <w:sz w:val="20"/>
          <w:szCs w:val="20"/>
          <w:color w:val="auto"/>
        </w:rPr>
      </w:pPr>
    </w:p>
    <w:p>
      <w:pPr>
        <w:ind w:left="980" w:right="660" w:hanging="647"/>
        <w:spacing w:after="0" w:line="289" w:lineRule="auto"/>
        <w:rPr>
          <w:sz w:val="20"/>
          <w:szCs w:val="20"/>
          <w:color w:val="auto"/>
        </w:rPr>
      </w:pPr>
      <w:r>
        <w:rPr>
          <w:rFonts w:ascii="Times New Roman" w:cs="Times New Roman" w:eastAsia="Times New Roman" w:hAnsi="Times New Roman"/>
          <w:sz w:val="17"/>
          <w:szCs w:val="17"/>
          <w:color w:val="auto"/>
        </w:rPr>
        <w:t>Level 2: Inputs to the valuation methodology include quoted prices for similar assets or liabilities in active markets; inputs to the valuation methodology include quoted prices for identical or similar assets or liabilities in markets that are not active; or inputs to the valuation methodology that are derived principally from or can be corroborated by observable market data by correlation or other means.</w:t>
      </w:r>
    </w:p>
    <w:p>
      <w:pPr>
        <w:spacing w:after="0" w:line="104" w:lineRule="exact"/>
        <w:rPr>
          <w:sz w:val="20"/>
          <w:szCs w:val="20"/>
          <w:color w:val="auto"/>
        </w:rPr>
      </w:pPr>
    </w:p>
    <w:p>
      <w:pPr>
        <w:ind w:left="980" w:right="380" w:hanging="647"/>
        <w:spacing w:after="0" w:line="266" w:lineRule="auto"/>
        <w:rPr>
          <w:sz w:val="20"/>
          <w:szCs w:val="20"/>
          <w:color w:val="auto"/>
        </w:rPr>
      </w:pPr>
      <w:r>
        <w:rPr>
          <w:rFonts w:ascii="Times New Roman" w:cs="Times New Roman" w:eastAsia="Times New Roman" w:hAnsi="Times New Roman"/>
          <w:sz w:val="18"/>
          <w:szCs w:val="18"/>
          <w:color w:val="auto"/>
        </w:rPr>
        <w:t>Level 3: Inputs to the valuation methodology are unobservable and significant to the fair value measurement. Level 3 assets and liabilities include financial instruments whose value is determined using discounted cash flow methodologies, as well as instruments for which the determination of fair value requires significant management judgment or estimation.</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4 for additional disclosure related to fair value measurements.</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75"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Accounts receivable, net is principally comprised of interchange-based fees due from the bank partners and incentives due from card networks. These receivables are generally collected monthly or quarterly in arrears based on the remittance terms in the respective agreements with each bank partner and card network. The Company estimates an allowance for accounts receivable based on its assessment of the collectability by considering its historical accounts receivable collection experience for each counterparty, the credit quality of the counterparties, the age of the outstanding receivable, and an evaluation of current expected risk of credit loss based on current economic conditions and reasonable and supportable forecasts of future economic conditions over the life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220"/>
          </w:cols>
          <w:pgMar w:left="320" w:top="124" w:right="359" w:bottom="1440" w:gutter="0" w:footer="0" w:header="0"/>
        </w:sectPr>
      </w:pPr>
    </w:p>
    <w:bookmarkStart w:id="269" w:name="page270"/>
    <w:bookmarkEnd w:id="269"/>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ratios, or as noted)</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receivable. The Company’s allowance for credit losses on accounts receivable was not material as of December 31, 2023 and 2024.</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Accounts receivable, net consisted of the following as of the following dates: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6"/>
                <w:szCs w:val="16"/>
                <w:color w:val="auto"/>
              </w:rPr>
            </w:pPr>
          </w:p>
        </w:tc>
        <w:tc>
          <w:tcPr>
            <w:tcW w:w="142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8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Receivables due from bank partners</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97,994</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Network incentive receivable</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111,097</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7,070</w:t>
            </w:r>
          </w:p>
        </w:tc>
      </w:tr>
      <w:tr>
        <w:trPr>
          <w:trHeight w:val="223"/>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176,547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216,161</w:t>
            </w:r>
          </w:p>
        </w:tc>
      </w:tr>
      <w:tr>
        <w:trPr>
          <w:trHeight w:val="21"/>
        </w:trPr>
        <w:tc>
          <w:tcPr>
            <w:tcW w:w="8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w:t>
      </w:r>
    </w:p>
    <w:p>
      <w:pPr>
        <w:spacing w:after="0" w:line="17" w:lineRule="exact"/>
        <w:rPr>
          <w:sz w:val="20"/>
          <w:szCs w:val="20"/>
          <w:color w:val="auto"/>
        </w:rPr>
      </w:pPr>
    </w:p>
    <w:p>
      <w:pPr>
        <w:ind w:left="340" w:right="360" w:hanging="332"/>
        <w:spacing w:after="0" w:line="278" w:lineRule="auto"/>
        <w:tabs>
          <w:tab w:leader="none" w:pos="332" w:val="left"/>
        </w:tabs>
        <w:numPr>
          <w:ilvl w:val="0"/>
          <w:numId w:val="1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Receivables due from bank partners are net of bank partner and network costs. As of December 31, 2023 and 2024, $75.3 million and $42.8 million of gross receivables due from bank partners were pledged as collateral.</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Loans Held for Investment, Net</w:t>
      </w:r>
    </w:p>
    <w:p>
      <w:pPr>
        <w:spacing w:after="0" w:line="17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Upon the launch of MyPay in 2024, one of the Company’s bank partners was provided with a contractual option to sell individual MyPay receivables to the Company once such receivables have aged two days beyond their origination date. These MyPay receivables purchased by the Company are initially recognized at fair value on the date of acquisition on the consolidated balance sheets as loans held for investment when the Company makes payment to the bank partner and acquires all rights and title of the receivables. These receivables have no stated maturity date; however, are deemed to be held for investment as the Company has the intent and ability to hold them for the foreseeable future or until payoff.</w:t>
      </w:r>
    </w:p>
    <w:p>
      <w:pPr>
        <w:spacing w:after="0" w:line="129"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Loans held for investment are reported at amortized cost, which includes unpaid principal balances and any related premiums. The amortized cost is adjusted for the allowance for expected credit losses within loan held investment, net. The Company accrues MyPay instant transfer fee revenue for these loans using the effective interest method.</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Allowance for Expected Credit Losses</w:t>
      </w:r>
    </w:p>
    <w:p>
      <w:pPr>
        <w:spacing w:after="0" w:line="175" w:lineRule="exact"/>
        <w:rPr>
          <w:sz w:val="20"/>
          <w:szCs w:val="20"/>
          <w:color w:val="auto"/>
        </w:rPr>
      </w:pPr>
    </w:p>
    <w:p>
      <w:pPr>
        <w:jc w:val="both"/>
        <w:ind w:right="440" w:firstLine="324"/>
        <w:spacing w:after="0" w:line="266" w:lineRule="auto"/>
        <w:rPr>
          <w:sz w:val="20"/>
          <w:szCs w:val="20"/>
          <w:color w:val="auto"/>
        </w:rPr>
      </w:pPr>
      <w:r>
        <w:rPr>
          <w:rFonts w:ascii="Times New Roman" w:cs="Times New Roman" w:eastAsia="Times New Roman" w:hAnsi="Times New Roman"/>
          <w:sz w:val="18"/>
          <w:szCs w:val="18"/>
          <w:color w:val="auto"/>
        </w:rPr>
        <w:t>The amount of the allowance for credit losses represents management’s estimate of expected credit losses over the remaining expected life of the Company’s financial assets measured at amortized cost considering available information from internal and external sources. The allowance for credit losses is primarily related to expected losses on the Company’s loans held for investment.</w:t>
      </w:r>
    </w:p>
    <w:p>
      <w:pPr>
        <w:spacing w:after="0" w:line="122"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The allowance for expected credit losses on loans held for investment reflects the Company’s estimate of uncollectible balances resulting from credit losses and is based on the determination of the amount of lifetime expected credit losses inherent in the loans held for investment as of the reporting date. The Company measures the allowance for expected credit losses based on a discounted cash flow method, where future cash flows estimated using the roll rate method are discounted. Historical data is categorized into pools with similar risk characteristics and roll rates are calculated based on the vintage loans held for investment origination, defined as by month. This results in an expected loss rate for each vintage. The Company considers whether the current conditions and reasonable and supportable forecasts about future conditions indicate that expected loss rates derived based on historical experience merit adjustment. In assessing such adjustments, the Company evaluates factors such as unemployment rates, short-term economic trends and cash collections subsequent to the balance sheet date. The expected loss rate is then applied to the outstanding principal balance of each vintage at the end of the period, resulting in the recognition of the expected loss at period-end. The allowance for expected credit loss is recorded against loans held for investment, along with a corresponding charge recorded within transaction and risk losses in the consolidated statement of operations. In general, loans held for investment are charged-off after 365 days of non-payment. At each reporting period the Company adjusts the allowance for changes in the estimate of lifetime expected credit losses and reverses the allowance upon either payment of the loans held for investment or upon charge-off.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240"/>
          </w:cols>
          <w:pgMar w:left="320" w:top="124" w:right="339" w:bottom="1440" w:gutter="0" w:footer="0" w:header="0"/>
        </w:sectPr>
      </w:pPr>
    </w:p>
    <w:bookmarkStart w:id="270" w:name="page271"/>
    <w:bookmarkEnd w:id="270"/>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ratios, or as noted)</w:t>
      </w:r>
    </w:p>
    <w:p>
      <w:pPr>
        <w:spacing w:after="0" w:line="2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Property, Equipment, and Software, Net</w:t>
      </w:r>
    </w:p>
    <w:p>
      <w:pPr>
        <w:spacing w:after="0" w:line="175"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Property, equipment, and software, net is stated at cost, less accumulated depreciation and amortization. Depreciation is computed using the straight-line method over the estimated useful life of the respective asset, which is generally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Equipment and Software</w:t>
            </w:r>
          </w:p>
        </w:tc>
        <w:tc>
          <w:tcPr>
            <w:tcW w:w="5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23"/>
        </w:trPr>
        <w:tc>
          <w:tcPr>
            <w:tcW w:w="5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purchased software</w:t>
            </w:r>
          </w:p>
        </w:tc>
        <w:tc>
          <w:tcPr>
            <w:tcW w:w="100" w:type="dxa"/>
            <w:vAlign w:val="bottom"/>
            <w:shd w:val="clear" w:color="auto" w:fill="CCEEFF"/>
          </w:tcPr>
          <w:p>
            <w:pPr>
              <w:spacing w:after="0"/>
              <w:rPr>
                <w:sz w:val="19"/>
                <w:szCs w:val="19"/>
                <w:color w:val="auto"/>
              </w:rPr>
            </w:pPr>
          </w:p>
        </w:tc>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 to 7 years</w:t>
            </w:r>
          </w:p>
        </w:tc>
      </w:tr>
      <w:tr>
        <w:trPr>
          <w:trHeight w:val="230"/>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 years</w:t>
            </w:r>
          </w:p>
        </w:tc>
      </w:tr>
      <w:tr>
        <w:trPr>
          <w:trHeight w:val="229"/>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Shorter of estimated useful life or remaining lease term</w:t>
            </w:r>
          </w:p>
        </w:tc>
      </w:tr>
      <w:tr>
        <w:trPr>
          <w:trHeight w:val="234"/>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Internal-use software</w:t>
            </w: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 years</w:t>
            </w:r>
          </w:p>
        </w:tc>
      </w:tr>
    </w:tbl>
    <w:p>
      <w:pPr>
        <w:spacing w:after="0" w:line="233"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Expenditures for repairs and maintenance are expensed as incurred. Upon disposal, the cost and related accumulated depreciation are removed from the accounts and the resulting gain or loss is reflected in other income, net on the consolidated statements of operations. For the years ended December 31, 2022, 2023, and 2024, there were no material gains or losses on the disposal of assets.</w:t>
      </w:r>
    </w:p>
    <w:p>
      <w:pPr>
        <w:spacing w:after="0" w:line="122" w:lineRule="exact"/>
        <w:rPr>
          <w:sz w:val="20"/>
          <w:szCs w:val="20"/>
          <w:color w:val="auto"/>
        </w:rPr>
      </w:pPr>
    </w:p>
    <w:p>
      <w:pPr>
        <w:ind w:right="240" w:firstLine="324"/>
        <w:spacing w:after="0" w:line="256" w:lineRule="auto"/>
        <w:rPr>
          <w:sz w:val="20"/>
          <w:szCs w:val="20"/>
          <w:color w:val="auto"/>
        </w:rPr>
      </w:pPr>
      <w:r>
        <w:rPr>
          <w:rFonts w:ascii="Times New Roman" w:cs="Times New Roman" w:eastAsia="Times New Roman" w:hAnsi="Times New Roman"/>
          <w:sz w:val="18"/>
          <w:szCs w:val="18"/>
          <w:color w:val="auto"/>
        </w:rPr>
        <w:t>The Company capitalizes its costs relating to internal-use software projects when preliminary development efforts are successfully completed, management has authorized and committed project funding, it is probable that the project will be completed, and the software will be used as intended. Capitalized costs primarily consist of salaries and compensation costs for employees, fees paid to third-party consultants who are directly involved in development efforts and costs incurred for upgrades and functionality enhancements. Other costs are expensed as incurred. Internal-use software is amortized on a straight-line basis over the estimated useful life of the related asset, which is generally three years from when the software is ready for its intended use.</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 including Goodwill</w:t>
      </w:r>
    </w:p>
    <w:p>
      <w:pPr>
        <w:spacing w:after="0" w:line="17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Company reviews its property and equipment and finite-lived intangible assets for impairment whenever events or changes in circumstances indicate that the carrying amount of an asset may not be recoverable. Recoverability of assets to be held and used is measured first by a comparison of the carrying amount of an asset to future undiscounted net cash flows expected to be generated by the asset. If the carrying amount is not recoverable and exceeds the asset’s fair value, such assets are considered to be impaired and an impairment loss is recognized based on the excess of the carrying amount of the asset above the fair value of the asset.</w:t>
      </w:r>
    </w:p>
    <w:p>
      <w:pPr>
        <w:spacing w:after="0" w:line="1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net assets acquired in a business combination and is allocated to reporting units expected to benefit from the business combination. We operate and report financial information in one operating segment. The Company performs a goodwill impairment test annually and more frequently if events and circumstances indicate that the asset might be impaired. The Company first assesses qualitative factors to determine whether events or circumstances indicate that it is more likely than not that the fair value of a reporting unit is less than its carrying amount and determine whether further action is needed. If, after assessing the totality of events or circumstances, the Company determines it is not more likely than not that the fair value of a reporting unit is less than its carrying amount, then additional impairment testing is not required. However, if the Company concludes otherwise, it performs a quantitative assessment to compare the estimated value of a reporting unit to its book value. If the book value exceeds its fair value, an impairment loss will be recognized in an amount equal to that excess, limited to the total amount of goodwill allocated to that reporting unit. The Company recognized $27.5 million in goodwill in other assets on the consolidated balance sheets as of December 31, 2024. The Company did not recognize goodwill as of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240"/>
          </w:cols>
          <w:pgMar w:left="320" w:top="124" w:right="339" w:bottom="1440" w:gutter="0" w:footer="0" w:header="0"/>
        </w:sectPr>
      </w:pPr>
    </w:p>
    <w:bookmarkStart w:id="271" w:name="page272"/>
    <w:bookmarkEnd w:id="271"/>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ratios, or as noted)</w:t>
      </w:r>
    </w:p>
    <w:p>
      <w:pPr>
        <w:spacing w:after="0" w:line="2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year ended December 31, 2022, the Company recognized the following impairment charges: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Impaired asset</w:t>
            </w:r>
          </w:p>
        </w:tc>
        <w:tc>
          <w:tcPr>
            <w:tcW w:w="3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Statement of Operations line item</w:t>
            </w:r>
          </w:p>
        </w:tc>
        <w:tc>
          <w:tcPr>
            <w:tcW w:w="140" w:type="dxa"/>
            <w:vAlign w:val="bottom"/>
          </w:tcPr>
          <w:p>
            <w:pPr>
              <w:spacing w:after="0"/>
              <w:rPr>
                <w:sz w:val="16"/>
                <w:szCs w:val="16"/>
                <w:color w:val="auto"/>
              </w:rPr>
            </w:pPr>
          </w:p>
        </w:tc>
        <w:tc>
          <w:tcPr>
            <w:tcW w:w="142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Impairment charge</w:t>
            </w:r>
          </w:p>
        </w:tc>
      </w:tr>
      <w:tr>
        <w:trPr>
          <w:trHeight w:val="23"/>
        </w:trPr>
        <w:tc>
          <w:tcPr>
            <w:tcW w:w="6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64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Right-of-use asset</w:t>
            </w:r>
            <w:r>
              <w:rPr>
                <w:rFonts w:ascii="Times New Roman" w:cs="Times New Roman" w:eastAsia="Times New Roman" w:hAnsi="Times New Roman"/>
                <w:sz w:val="23"/>
                <w:szCs w:val="23"/>
                <w:color w:val="auto"/>
                <w:vertAlign w:val="superscript"/>
              </w:rPr>
              <w:t>(1)</w:t>
            </w:r>
          </w:p>
        </w:tc>
        <w:tc>
          <w:tcPr>
            <w:tcW w:w="100" w:type="dxa"/>
            <w:vAlign w:val="bottom"/>
            <w:shd w:val="clear" w:color="auto" w:fill="CCEEFF"/>
          </w:tcPr>
          <w:p>
            <w:pPr>
              <w:spacing w:after="0"/>
              <w:rPr>
                <w:sz w:val="19"/>
                <w:szCs w:val="19"/>
                <w:color w:val="auto"/>
              </w:rPr>
            </w:pPr>
          </w:p>
        </w:tc>
        <w:tc>
          <w:tcPr>
            <w:tcW w:w="3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15,735</w:t>
            </w:r>
          </w:p>
        </w:tc>
      </w:tr>
      <w:tr>
        <w:trPr>
          <w:trHeight w:val="229"/>
        </w:trPr>
        <w:tc>
          <w:tcPr>
            <w:tcW w:w="65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Property and equipment</w:t>
            </w:r>
            <w:r>
              <w:rPr>
                <w:rFonts w:ascii="Times New Roman" w:cs="Times New Roman" w:eastAsia="Times New Roman" w:hAnsi="Times New Roman"/>
                <w:sz w:val="23"/>
                <w:szCs w:val="23"/>
                <w:color w:val="auto"/>
                <w:vertAlign w:val="superscript"/>
              </w:rPr>
              <w:t>(1)</w:t>
            </w:r>
          </w:p>
        </w:tc>
        <w:tc>
          <w:tcPr>
            <w:tcW w:w="3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w:t>
            </w:r>
          </w:p>
        </w:tc>
      </w:tr>
      <w:tr>
        <w:trPr>
          <w:trHeight w:val="229"/>
        </w:trPr>
        <w:tc>
          <w:tcPr>
            <w:tcW w:w="65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Internal-use software</w:t>
            </w:r>
            <w:r>
              <w:rPr>
                <w:rFonts w:ascii="Times New Roman" w:cs="Times New Roman" w:eastAsia="Times New Roman" w:hAnsi="Times New Roman"/>
                <w:sz w:val="23"/>
                <w:szCs w:val="23"/>
                <w:color w:val="auto"/>
                <w:vertAlign w:val="superscript"/>
              </w:rPr>
              <w:t>(2)</w:t>
            </w:r>
          </w:p>
        </w:tc>
        <w:tc>
          <w:tcPr>
            <w:tcW w:w="3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Technology and development</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w:t>
            </w:r>
          </w:p>
        </w:tc>
      </w:tr>
      <w:tr>
        <w:trPr>
          <w:trHeight w:val="223"/>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20,827</w:t>
            </w:r>
          </w:p>
        </w:tc>
      </w:tr>
      <w:tr>
        <w:trPr>
          <w:trHeight w:val="21"/>
        </w:trPr>
        <w:tc>
          <w:tcPr>
            <w:tcW w:w="6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impaired its right-of-use asset and associated property and equipment at its former headquarters. See Note 18 for additional details.</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See Note 16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Restructuring</w:t>
      </w:r>
      <w:r>
        <w:rPr>
          <w:rFonts w:ascii="Times New Roman" w:cs="Times New Roman" w:eastAsia="Times New Roman" w:hAnsi="Times New Roman"/>
          <w:sz w:val="14"/>
          <w:szCs w:val="14"/>
          <w:color w:val="auto"/>
        </w:rPr>
        <w:t xml:space="preserve"> for further details.</w:t>
      </w:r>
    </w:p>
    <w:p>
      <w:pPr>
        <w:spacing w:after="0" w:line="174"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No impairment charges were recognized during the year ended December 31, 2023 and impairment charges were not material for the year ended December 31, 2024.</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75" w:lineRule="exact"/>
        <w:rPr>
          <w:sz w:val="20"/>
          <w:szCs w:val="20"/>
          <w:color w:val="auto"/>
        </w:rPr>
      </w:pPr>
    </w:p>
    <w:p>
      <w:pPr>
        <w:ind w:right="520" w:firstLine="324"/>
        <w:spacing w:after="0" w:line="261" w:lineRule="auto"/>
        <w:rPr>
          <w:sz w:val="20"/>
          <w:szCs w:val="20"/>
          <w:color w:val="auto"/>
        </w:rPr>
      </w:pPr>
      <w:r>
        <w:rPr>
          <w:rFonts w:ascii="Times New Roman" w:cs="Times New Roman" w:eastAsia="Times New Roman" w:hAnsi="Times New Roman"/>
          <w:sz w:val="18"/>
          <w:szCs w:val="18"/>
          <w:color w:val="auto"/>
        </w:rPr>
        <w:t>Deferred offering costs, which consist of direct incremental legal, consulting, accounting, and other fees related to the anticipated sale of the Company’s common stock in its initial public offering, are capitalized and will be recognized as a reduction of proceeds from the offering upon the consummation of the offering. As of December 31, 2023, the Company had not incurred such costs. As of December 31, 2024, these costs were $5.6 million and are recorded in prepaid expenses and other current assets on the Company’s consolidated balance sheets.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Accrued Transaction Dispute Losses</w:t>
      </w:r>
    </w:p>
    <w:p>
      <w:pPr>
        <w:spacing w:after="0" w:line="17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Company establishes an accrual for estimated losses due to transaction disputes, which represent a potential loss due to member-initiated transaction disputes or due to processing a fraudulent transaction. The accrual is estimated based on available data as of the reporting date, including expected disputes on processed transactions, and historical loss rates. Additions to the accrual are reflected in transaction and risk losses in the consolidated statements of operations while realized losses are offset against the accrual. The accrual for estimated transaction dispute losses is included within accrued and other current liabilities in the consolidated balance sheets.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Product Obligation</w:t>
      </w:r>
    </w:p>
    <w:p>
      <w:pPr>
        <w:spacing w:after="0" w:line="17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Company accounts for the product obligation as a derivative. The product obligation is initially measured at fair value and subsequently remeasured at each reporting period end for any incremental increases or decreases in its fair value. The product obligation represents the Company’s expected remaining future cash flows at period end from the off-balance sheet MyPay receivables, SpotMe, as well as other instances where a member’s account is overdrawn. The cash flows are inclusive of expected credit losses and revenue based on MyPay instant transfer fees, net which approximates fair value.</w:t>
      </w:r>
    </w:p>
    <w:p>
      <w:pPr>
        <w:spacing w:after="0" w:line="129"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Under the terms of its agreements with its bank partners, the Company is required to collateralize this product obligation. Cash collateral on the product obligation is recorded in product collateral on the consolidated balance sheets, and collateral in the form of accounts receivable, due from bank partners, is recorded in accounts receivable on the Company’s consolidated balance sheets.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Network Incentive Obligation</w:t>
      </w:r>
    </w:p>
    <w:p>
      <w:pPr>
        <w:spacing w:after="0" w:line="175"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The Company records a network incentive obligation when the card network provides upfront incentive payments for the Company meeting certain future milestones. The incentives are deferred and recognized as a reduction to cost of revenue over the life of the contract. The portion of network incentive obligation which is expected to be recognized in the next twelve months is included within accrued and other current liabilities in the consolidated balance sheets, while the remainder is included within other non-current liabilities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240"/>
          </w:cols>
          <w:pgMar w:left="320" w:top="124" w:right="339" w:bottom="1440" w:gutter="0" w:footer="0" w:header="0"/>
        </w:sectPr>
      </w:pPr>
    </w:p>
    <w:bookmarkStart w:id="272" w:name="page273"/>
    <w:bookmarkEnd w:id="272"/>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ratios, or as noted)</w:t>
      </w:r>
    </w:p>
    <w:p>
      <w:pPr>
        <w:spacing w:after="0" w:line="2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75" w:lineRule="exact"/>
        <w:rPr>
          <w:sz w:val="20"/>
          <w:szCs w:val="20"/>
          <w:color w:val="auto"/>
        </w:rPr>
      </w:pPr>
    </w:p>
    <w:p>
      <w:pPr>
        <w:jc w:val="both"/>
        <w:ind w:right="540" w:firstLine="324"/>
        <w:spacing w:after="0" w:line="266" w:lineRule="auto"/>
        <w:rPr>
          <w:sz w:val="20"/>
          <w:szCs w:val="20"/>
          <w:color w:val="auto"/>
        </w:rPr>
      </w:pPr>
      <w:r>
        <w:rPr>
          <w:rFonts w:ascii="Times New Roman" w:cs="Times New Roman" w:eastAsia="Times New Roman" w:hAnsi="Times New Roman"/>
          <w:sz w:val="18"/>
          <w:szCs w:val="18"/>
          <w:color w:val="auto"/>
        </w:rPr>
        <w:t>The Company measures lease liabilities based on the present value of the total lease payments not yet paid discounted based on the Company’s incremental borrowing rate, which is the estimated rate the Company would be required to pay for a collateralized borrowing equal to the total lease payments over the term of the lease.</w:t>
      </w:r>
    </w:p>
    <w:p>
      <w:pPr>
        <w:spacing w:after="0" w:line="12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Company measures right-of-use assets based on the corresponding lease liability adjusted for (i) payments made to the lessor at or before the commencement date, (ii) initial direct costs the Company incurs, and (iii) tenant incentives under the lease. The Company begins to recognize rent expense when the lessor makes the underlying asset available to the Company.</w:t>
      </w:r>
    </w:p>
    <w:p>
      <w:pPr>
        <w:spacing w:after="0" w:line="12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Company’s lease agreements generally contain lease and non-lease components. The Company elected to apply the practical expedient to combine non-lease components, which primarily include payments for maintenance and utilities, with lease payments and account for them as a single lease component. The Company includes the fixed non-lease components in the determination of the right-of-use assets and operating lease liabilities. The Company records the amortization of the right of use asset and the accretion of lease liability as rent expense and allocates the amounts as overhead on the consolidated statement of operations.</w:t>
      </w:r>
    </w:p>
    <w:p>
      <w:pPr>
        <w:spacing w:after="0" w:line="12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Lease terms may include renewal or extension options to the extent they are reasonably certain to be exercised. The assessment of whether lease renewal or extension options are reasonably certain to be exercised is made at lease commencement. Factors considered in determining whether an option is reasonably certain to be exercised include, but are not limited to, the value of any leasehold improvements, the value of renewal rates compared to market rates, and the presence of factors that would cause a significant economic penalty to the Company if the option were not exercised.</w:t>
      </w:r>
    </w:p>
    <w:p>
      <w:pPr>
        <w:spacing w:after="0" w:line="126"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Company elected to apply the short-term lease measurement and recognition practical expedient to its leases where applicable, thus leases with an initial term of 12 months or less are not recorded on the consolidated balance sheets. The Company records rent expense for short-term leases on the consolidated statements of operations on a straight-line basis over the lease term. The Company has no finance leases.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175"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Company has a 401(k)-tax deferred savings plan under which eligible employees may elect to have a portion of their salary deferred and contributed to the plan. Employees may also contribute to a Roth 401(k) plan using post-tax dollars. During the years ended December 31, 2022, 2023, and 2024, the Company contributed approximately $6.2 million, $8.4 million, and $8.5 million to the 401(k) plan.</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Company recognizes deferred tax assets to the extent that it believes these assets are more likely than not to be realized. In making such a determination, the Company considers the available positive and negative evidence, including future reversals of existing taxable temporary differences, projected future taxable income, tax-planning strategies, and results of recent operations. A valuation allowance may be established to reduce the deferred tax asset to the level at which it is more likely than not that the tax asset or benefits will be realized. If the Company determines that it is able to realize its deferred tax assets in the future in excess of the net recorded amount, the Company decreases the deferred tax asset valuation allowance, which reduces the income tax expense. Realization of tax benefits of deductible temporary differences, operating loss carryforwards and tax credit carryforwards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220"/>
          </w:cols>
          <w:pgMar w:left="320" w:top="124" w:right="359" w:bottom="1440" w:gutter="0" w:footer="0" w:header="0"/>
        </w:sectPr>
      </w:pPr>
    </w:p>
    <w:bookmarkStart w:id="273" w:name="page274"/>
    <w:bookmarkEnd w:id="273"/>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CHIME FINANCIAL,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ratios, or as noted)</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depends on having sufficient taxable income of an appropriate character within the carryback or carryforward periods.</w:t>
      </w:r>
    </w:p>
    <w:p>
      <w:pPr>
        <w:spacing w:after="0" w:line="171"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recognizes the effect of income tax positions only if those positions are more likely than not to be sustained upon review by the taxing authority. Recognized income tax positions are measured at the largest amount that is greater than 50% likelihood of being realized. Changes in recognition or measurement are reflected in the period in which the change in judgment occurs. Interest and penalties related to income taxes are reported in the provision (benefit) for income taxes on the consolidated statements of operations, if applicable.</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75"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 of credit risk consist of cash and cash equivalents, product collateral, marketable securities, and accounts receivable. The Company’s cash equivalents are invested in interest-bearing money market funds that invest in a portfolio of short-term U.S. government obligations, which include U.S. Treasuries and other securities issued or guaranteed by the U.S. government. The Company does not hold or issue financial instruments for trading purposes. Cash on deposit with financial institutions may, at times, exceed federally insured limits. Management believes that these financial institutions are financially sound and, accordingly, minimal credit risk exists.</w:t>
      </w:r>
    </w:p>
    <w:p>
      <w:pPr>
        <w:spacing w:after="0" w:line="129"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2023 and 2024, the Company had 100% of its product collateral with two bank partners based on contractual agreements with each bank partner.</w:t>
      </w:r>
    </w:p>
    <w:p>
      <w:pPr>
        <w:spacing w:after="0" w:line="108"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2023 and 2024, there were no concentrations of investments in securities of the same issuer, except for U.S. government securities, which amounted to $235.4 million and $352.6 million or 42% and 96% of the investments in marketable securities. All debt securities within the Company’s portfolio are investment-grade securities.</w:t>
      </w:r>
    </w:p>
    <w:p>
      <w:pPr>
        <w:spacing w:after="0" w:line="122"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2023, the Company had receivables outstanding from two bank partners, that represent 38% of receivables collectively (18% and 20% for each respective bank partner), and one card network partner that represented 58% of receivables. As of December 31, 2024, the Company had receivables outstanding from two bank partners, that represent 45% of receivables collectively (25% and 20% for each respective bank partner), and one card network partner that represented 50% of receivables.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173" w:lineRule="exact"/>
        <w:rPr>
          <w:sz w:val="20"/>
          <w:szCs w:val="20"/>
          <w:color w:val="auto"/>
        </w:rPr>
      </w:pPr>
    </w:p>
    <w:p>
      <w:pPr>
        <w:ind w:right="40" w:firstLine="324"/>
        <w:spacing w:after="0" w:line="267"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This guidance updates reportable segment disclosure requirements, primarily through enhanced disclosures about significant segment expenses and information used to assess segment performance. The Company adopted this guidance effective January 1, 2024 and has included disclosures under the guidance.</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73"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FASB issued ASU 2023-09, </w:t>
      </w:r>
      <w:r>
        <w:rPr>
          <w:rFonts w:ascii="Times New Roman" w:cs="Times New Roman" w:eastAsia="Times New Roman" w:hAnsi="Times New Roman"/>
          <w:sz w:val="18"/>
          <w:szCs w:val="18"/>
          <w:i w:val="1"/>
          <w:iCs w:val="1"/>
          <w:color w:val="auto"/>
        </w:rPr>
        <w:t>Income Taxes (Topic 740): Improvements to Tax Disclosures.</w:t>
      </w:r>
      <w:r>
        <w:rPr>
          <w:rFonts w:ascii="Times New Roman" w:cs="Times New Roman" w:eastAsia="Times New Roman" w:hAnsi="Times New Roman"/>
          <w:sz w:val="18"/>
          <w:szCs w:val="18"/>
          <w:color w:val="auto"/>
        </w:rPr>
        <w:t xml:space="preserve"> This ASU expands disclosures in an entity’s income tax rate reconciliation table and regarding cash taxes paid. The update will be effective on a prospective basis for annual periods beginning after December 15, 2024. Upon adoption of this ASU, the Company expects to include certain additional disclosures in the effective income tax rate reconciliation in the notes to the consolidated financial statements.</w:t>
      </w:r>
    </w:p>
    <w:p>
      <w:pPr>
        <w:spacing w:after="0" w:line="126"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w:t>
      </w:r>
      <w:r>
        <w:rPr>
          <w:rFonts w:ascii="Times New Roman" w:cs="Times New Roman" w:eastAsia="Times New Roman" w:hAnsi="Times New Roman"/>
          <w:sz w:val="18"/>
          <w:szCs w:val="18"/>
          <w:i w:val="1"/>
          <w:iCs w:val="1"/>
          <w:color w:val="auto"/>
        </w:rPr>
        <w:t>ASU 2024-03, 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(Topic 220): Disaggregation of Income Statement Expenses, </w:t>
      </w:r>
      <w:r>
        <w:rPr>
          <w:rFonts w:ascii="Times New Roman" w:cs="Times New Roman" w:eastAsia="Times New Roman" w:hAnsi="Times New Roman"/>
          <w:sz w:val="18"/>
          <w:szCs w:val="18"/>
          <w:color w:val="auto"/>
        </w:rPr>
        <w:t>which requires disclosure of additional information about specific expense categories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underlying certain income statement expense line items. Additionally, in January 2025, the FASB issued ASU 2025-01 to clarify the effective date of ASU 2024-03. This ASU is effective for annual periods beginning after December 15, 2026 and requires either prospective or retrospective application. The Company is currently evaluating the impact of the ASU on its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200"/>
          </w:cols>
          <w:pgMar w:left="320" w:top="124" w:right="379" w:bottom="1440" w:gutter="0" w:footer="0" w:header="0"/>
        </w:sectPr>
      </w:pPr>
    </w:p>
    <w:bookmarkStart w:id="274" w:name="page275"/>
    <w:bookmarkEnd w:id="274"/>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ratios, or as noted)</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products and services are offered only to members within the United States. The following table provides information about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disaggregated revenue streams:</w:t>
      </w:r>
    </w:p>
    <w:p>
      <w:pPr>
        <w:spacing w:after="0" w:line="187" w:lineRule="exact"/>
        <w:rPr>
          <w:sz w:val="20"/>
          <w:szCs w:val="20"/>
          <w:color w:val="auto"/>
        </w:rPr>
      </w:pPr>
    </w:p>
    <w:p>
      <w:pPr>
        <w:jc w:val="center"/>
        <w:ind w:left="634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jc w:val="center"/>
        <w:ind w:left="63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36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revenue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806,929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1,021,158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1,276,601</w:t>
            </w:r>
          </w:p>
        </w:tc>
      </w:tr>
      <w:tr>
        <w:trPr>
          <w:trHeight w:val="230"/>
        </w:trPr>
        <w:tc>
          <w:tcPr>
            <w:tcW w:w="63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Platform-related revenue </w:t>
            </w:r>
            <w:r>
              <w:rPr>
                <w:rFonts w:ascii="Times New Roman" w:cs="Times New Roman" w:eastAsia="Times New Roman" w:hAnsi="Times New Roman"/>
                <w:sz w:val="23"/>
                <w:szCs w:val="23"/>
                <w:color w:val="auto"/>
                <w:vertAlign w:val="superscript"/>
              </w:rPr>
              <w:t>(1)(2)</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201,909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257,297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396,668</w:t>
            </w:r>
          </w:p>
        </w:tc>
      </w:tr>
      <w:tr>
        <w:trPr>
          <w:trHeight w:val="248"/>
        </w:trPr>
        <w:tc>
          <w:tcPr>
            <w:tcW w:w="63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1,008,838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1,278,455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1,673,269</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520" w:hanging="332"/>
        <w:spacing w:after="0" w:line="278" w:lineRule="auto"/>
        <w:tabs>
          <w:tab w:leader="none" w:pos="332" w:val="left"/>
        </w:tabs>
        <w:numPr>
          <w:ilvl w:val="0"/>
          <w:numId w:val="1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years ended December 31, 2022, 2023, and 2024, platform-related revenue included $15.7 million, $21.8 million, and $145.3 million that was not derived from contracts with customers.</w:t>
      </w:r>
    </w:p>
    <w:p>
      <w:pPr>
        <w:spacing w:after="0" w:line="124" w:lineRule="exact"/>
        <w:rPr>
          <w:rFonts w:ascii="Times New Roman" w:cs="Times New Roman" w:eastAsia="Times New Roman" w:hAnsi="Times New Roman"/>
          <w:sz w:val="14"/>
          <w:szCs w:val="14"/>
          <w:color w:val="auto"/>
        </w:rPr>
      </w:pPr>
    </w:p>
    <w:p>
      <w:pPr>
        <w:ind w:left="340" w:right="60" w:hanging="332"/>
        <w:spacing w:after="0" w:line="281" w:lineRule="auto"/>
        <w:tabs>
          <w:tab w:leader="none" w:pos="332" w:val="left"/>
        </w:tabs>
        <w:numPr>
          <w:ilvl w:val="0"/>
          <w:numId w:val="1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years ended December 31, 2022 and 2023, platform-related revenue included nil and $15.0 million related to off-balance sheet MyPay receivables. In the year ended December 31, 2024, platform-related revenue included $121.0 million related to MyPay receivables, which is comprised of $76.2 million related to off-balance sheet MyPay receivables and $44.8 million related to on-balance sheet MyPay receivables.</w:t>
      </w:r>
    </w:p>
    <w:p>
      <w:pPr>
        <w:spacing w:after="0" w:line="1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175"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The Company records deferred revenue for member-paid tips received prior to the expiration of the contractual refundable period. The deferred revenue balances were as follows:</w:t>
      </w:r>
    </w:p>
    <w:p>
      <w:pPr>
        <w:spacing w:after="0" w:line="142" w:lineRule="exact"/>
        <w:rPr>
          <w:sz w:val="20"/>
          <w:szCs w:val="20"/>
          <w:color w:val="auto"/>
        </w:rPr>
      </w:pPr>
    </w:p>
    <w:p>
      <w:pPr>
        <w:jc w:val="center"/>
        <w:ind w:left="800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jc w:val="center"/>
        <w:ind w:left="80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020" w:type="dxa"/>
            <w:vAlign w:val="bottom"/>
            <w:tcBorders>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4,064</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deferred revenue during the period</w:t>
            </w: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Company recognized materially all revenue from amounts included in the opening deferred revenue balances for the years ended December 31, 2023 and 2024. Changes in deferred revenue during the periods are driven by the increase in the amount of tips paid by members for using SpotMe.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FAIR VALUE MEASUREMENT</w:t>
      </w:r>
    </w:p>
    <w:p>
      <w:pPr>
        <w:spacing w:after="0" w:line="175"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The Company’s financial instruments consist primarily of cash equivalents, marketable securities, accounts receivable, prepaid and other current assets, accounts payable, accrued and other current liabilities, and the product obligation. Accounts receivable, prepaid and other current assets, accounts payable, and accrued and other current liabilities are stated at their carrying value, which approximates fair value due to the short time to the expected receipt or payment date. Cash equivalents, marketable securities, and the product obligation are carried at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240"/>
          </w:cols>
          <w:pgMar w:left="320" w:top="124" w:right="339" w:bottom="1440" w:gutter="0" w:footer="0" w:header="0"/>
        </w:sectPr>
      </w:pPr>
    </w:p>
    <w:bookmarkStart w:id="275" w:name="page276"/>
    <w:bookmarkEnd w:id="275"/>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ratios, or as noted)</w:t>
      </w:r>
    </w:p>
    <w:p>
      <w:pPr>
        <w:spacing w:after="0" w:line="2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assets and liabilities measured at fair value on a recurring basis by level within the fair value hierarchy:</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24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6"/>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agency securities</w:t>
            </w: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bonds</w:t>
            </w: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406,734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325,483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3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Product obligation</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88,600</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88,600</w:t>
            </w:r>
          </w:p>
        </w:tc>
        <w:tc>
          <w:tcPr>
            <w:tcW w:w="0" w:type="dxa"/>
            <w:vAlign w:val="bottom"/>
          </w:tcPr>
          <w:p>
            <w:pPr>
              <w:spacing w:after="0"/>
              <w:rPr>
                <w:sz w:val="1"/>
                <w:szCs w:val="1"/>
                <w:color w:val="auto"/>
              </w:rPr>
            </w:pPr>
          </w:p>
        </w:tc>
      </w:tr>
      <w:tr>
        <w:trPr>
          <w:trHeight w:val="21"/>
        </w:trPr>
        <w:tc>
          <w:tcPr>
            <w:tcW w:w="6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6"/>
        </w:trPr>
        <w:tc>
          <w:tcPr>
            <w:tcW w:w="6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24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6"/>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government securities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352,627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agency securities</w:t>
            </w: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620,629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3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obligation</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114,377</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114,377</w:t>
            </w:r>
          </w:p>
        </w:tc>
        <w:tc>
          <w:tcPr>
            <w:tcW w:w="0" w:type="dxa"/>
            <w:vAlign w:val="bottom"/>
          </w:tcPr>
          <w:p>
            <w:pPr>
              <w:spacing w:after="0"/>
              <w:rPr>
                <w:sz w:val="1"/>
                <w:szCs w:val="1"/>
                <w:color w:val="auto"/>
              </w:rPr>
            </w:pPr>
          </w:p>
        </w:tc>
      </w:tr>
      <w:tr>
        <w:trPr>
          <w:trHeight w:val="21"/>
        </w:trPr>
        <w:tc>
          <w:tcPr>
            <w:tcW w:w="6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Company classifies money market funds, asset-back securities, corporate bonds, U.S. government securities, U.S. agency securities, commercial paper, and foreign bonds within Level 1 or Level 2 of the fair value hierarchy as the Company determined the fair value of these instruments using quoted market prices or alternative pricing sources and models utilizing market observable inputs.</w:t>
      </w:r>
    </w:p>
    <w:p>
      <w:pPr>
        <w:spacing w:after="0" w:line="122" w:lineRule="exact"/>
        <w:rPr>
          <w:sz w:val="20"/>
          <w:szCs w:val="20"/>
          <w:color w:val="auto"/>
        </w:rPr>
      </w:pPr>
    </w:p>
    <w:p>
      <w:pPr>
        <w:ind w:right="160" w:firstLine="324"/>
        <w:spacing w:after="0" w:line="289" w:lineRule="auto"/>
        <w:rPr>
          <w:sz w:val="20"/>
          <w:szCs w:val="20"/>
          <w:color w:val="auto"/>
        </w:rPr>
      </w:pPr>
      <w:r>
        <w:rPr>
          <w:rFonts w:ascii="Times New Roman" w:cs="Times New Roman" w:eastAsia="Times New Roman" w:hAnsi="Times New Roman"/>
          <w:sz w:val="17"/>
          <w:szCs w:val="17"/>
          <w:color w:val="auto"/>
        </w:rPr>
        <w:t>The Company’s product obligation is measured at fair value on a recurring basis using unobservable inputs at each reporting period and are classified within Level 3. The fair value is derived using the discounted cash flow method. The key estimates and assumptions impacting the fair value include the Company’s expectation that the historical cash flows are indicative of future cash flows; that historical losses realized on the product obligation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240"/>
          </w:cols>
          <w:pgMar w:left="320" w:top="124" w:right="339" w:bottom="1440" w:gutter="0" w:footer="0" w:header="0"/>
        </w:sectPr>
      </w:pPr>
    </w:p>
    <w:bookmarkStart w:id="276" w:name="page277"/>
    <w:bookmarkEnd w:id="276"/>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ratios, or as noted)</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indicative of future losses, adjusted, where applicable, for seasonality and new information about future expectations; and the expected recovery rate.</w:t>
      </w:r>
    </w:p>
    <w:p>
      <w:pPr>
        <w:spacing w:after="0" w:line="171"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the significant unobservable inputs for the product obligation measured at fair value on a recurring basis, weighted by the total unrecovered balance:</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Significant Unobservable Inputs</w:t>
            </w:r>
          </w:p>
        </w:tc>
        <w:tc>
          <w:tcPr>
            <w:tcW w:w="3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40" w:type="dxa"/>
            <w:vAlign w:val="bottom"/>
            <w:tcBorders>
              <w:top w:val="single" w:sz="8" w:color="auto"/>
            </w:tcBorders>
            <w:gridSpan w:val="2"/>
          </w:tcPr>
          <w:p>
            <w:pPr>
              <w:ind w:left="88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2280" w:type="dxa"/>
            <w:vAlign w:val="bottom"/>
            <w:tcBorders>
              <w:top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Weighted Average Rate</w:t>
            </w:r>
          </w:p>
        </w:tc>
      </w:tr>
      <w:tr>
        <w:trPr>
          <w:trHeight w:val="229"/>
        </w:trPr>
        <w:tc>
          <w:tcPr>
            <w:tcW w:w="3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3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4.79%-4.81%</w:t>
            </w:r>
          </w:p>
        </w:tc>
        <w:tc>
          <w:tcPr>
            <w:tcW w:w="10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4.79 %</w:t>
            </w:r>
          </w:p>
        </w:tc>
      </w:tr>
      <w:tr>
        <w:trPr>
          <w:trHeight w:val="234"/>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loss rate</w:t>
            </w:r>
          </w:p>
        </w:tc>
        <w:tc>
          <w:tcPr>
            <w:tcW w:w="5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0.33% -100%</w:t>
            </w:r>
          </w:p>
        </w:tc>
        <w:tc>
          <w:tcPr>
            <w:tcW w:w="100" w:type="dxa"/>
            <w:vAlign w:val="bottom"/>
          </w:tcPr>
          <w:p>
            <w:pPr>
              <w:spacing w:after="0"/>
              <w:rPr>
                <w:sz w:val="20"/>
                <w:szCs w:val="20"/>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21.14 %</w:t>
            </w:r>
          </w:p>
        </w:tc>
      </w:tr>
      <w:tr>
        <w:trPr>
          <w:trHeight w:val="296"/>
        </w:trPr>
        <w:tc>
          <w:tcPr>
            <w:tcW w:w="3520" w:type="dxa"/>
            <w:vAlign w:val="bottom"/>
          </w:tcPr>
          <w:p>
            <w:pPr>
              <w:spacing w:after="0"/>
              <w:rPr>
                <w:sz w:val="24"/>
                <w:szCs w:val="24"/>
                <w:color w:val="auto"/>
              </w:rPr>
            </w:pPr>
          </w:p>
        </w:tc>
        <w:tc>
          <w:tcPr>
            <w:tcW w:w="5440" w:type="dxa"/>
            <w:vAlign w:val="bottom"/>
            <w:gridSpan w:val="4"/>
          </w:tcPr>
          <w:p>
            <w:pPr>
              <w:ind w:left="15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80" w:type="dxa"/>
            <w:vAlign w:val="bottom"/>
          </w:tcPr>
          <w:p>
            <w:pPr>
              <w:spacing w:after="0"/>
              <w:rPr>
                <w:sz w:val="24"/>
                <w:szCs w:val="24"/>
                <w:color w:val="auto"/>
              </w:rPr>
            </w:pPr>
          </w:p>
        </w:tc>
      </w:tr>
      <w:tr>
        <w:trPr>
          <w:trHeight w:val="23"/>
        </w:trPr>
        <w:tc>
          <w:tcPr>
            <w:tcW w:w="352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2"/>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190"/>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Significant Unobservable Inputs</w:t>
            </w:r>
          </w:p>
        </w:tc>
        <w:tc>
          <w:tcPr>
            <w:tcW w:w="3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gridSpan w:val="2"/>
          </w:tcPr>
          <w:p>
            <w:pPr>
              <w:ind w:left="88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228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Weighted Average Rate</w:t>
            </w:r>
          </w:p>
        </w:tc>
      </w:tr>
      <w:tr>
        <w:trPr>
          <w:trHeight w:val="229"/>
        </w:trPr>
        <w:tc>
          <w:tcPr>
            <w:tcW w:w="3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3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4.16%-5.16%</w:t>
            </w:r>
          </w:p>
        </w:tc>
        <w:tc>
          <w:tcPr>
            <w:tcW w:w="10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4.17 %</w:t>
            </w:r>
          </w:p>
        </w:tc>
      </w:tr>
      <w:tr>
        <w:trPr>
          <w:trHeight w:val="234"/>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loss rate</w:t>
            </w:r>
          </w:p>
        </w:tc>
        <w:tc>
          <w:tcPr>
            <w:tcW w:w="5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0.27% -100%</w:t>
            </w:r>
          </w:p>
        </w:tc>
        <w:tc>
          <w:tcPr>
            <w:tcW w:w="100" w:type="dxa"/>
            <w:vAlign w:val="bottom"/>
          </w:tcPr>
          <w:p>
            <w:pPr>
              <w:spacing w:after="0"/>
              <w:rPr>
                <w:sz w:val="20"/>
                <w:szCs w:val="20"/>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9.46 %</w:t>
            </w:r>
          </w:p>
        </w:tc>
      </w:tr>
    </w:tbl>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Refer to Note 7 - Credit Obligations for more information on the product obligation.</w:t>
      </w:r>
    </w:p>
    <w:p>
      <w:pPr>
        <w:spacing w:after="0" w:line="171"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and 2024 the Company did not have any transfers between Level 1, Level 2, and Level 3 assets or liabilities.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MARKETABLE SECURITIES</w:t>
      </w:r>
    </w:p>
    <w:p>
      <w:pPr>
        <w:spacing w:after="0" w:line="175"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amortized cost, gross unrealized gains and losses, and fair value of the Company’s AFS securities aggregated by investment category:</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40" w:type="dxa"/>
            <w:vAlign w:val="bottom"/>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700" w:type="dxa"/>
            <w:vAlign w:val="bottom"/>
          </w:tcPr>
          <w:p>
            <w:pPr>
              <w:spacing w:after="0"/>
              <w:rPr>
                <w:sz w:val="11"/>
                <w:szCs w:val="11"/>
                <w:color w:val="auto"/>
              </w:rPr>
            </w:pPr>
          </w:p>
        </w:tc>
        <w:tc>
          <w:tcPr>
            <w:tcW w:w="16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Cost or Amortized Cost</w:t>
            </w:r>
          </w:p>
        </w:tc>
        <w:tc>
          <w:tcPr>
            <w:tcW w:w="180" w:type="dxa"/>
            <w:vAlign w:val="bottom"/>
          </w:tcPr>
          <w:p>
            <w:pPr>
              <w:spacing w:after="0"/>
              <w:rPr>
                <w:sz w:val="11"/>
                <w:szCs w:val="11"/>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60" w:type="dxa"/>
            <w:vAlign w:val="bottom"/>
          </w:tcPr>
          <w:p>
            <w:pPr>
              <w:spacing w:after="0"/>
              <w:rPr>
                <w:sz w:val="11"/>
                <w:szCs w:val="11"/>
                <w:color w:val="auto"/>
              </w:rPr>
            </w:pPr>
          </w:p>
        </w:tc>
        <w:tc>
          <w:tcPr>
            <w:tcW w:w="15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20" w:type="dxa"/>
            <w:vAlign w:val="bottom"/>
          </w:tcPr>
          <w:p>
            <w:pPr>
              <w:spacing w:after="0"/>
              <w:rPr>
                <w:sz w:val="11"/>
                <w:szCs w:val="11"/>
                <w:color w:val="auto"/>
              </w:rPr>
            </w:pPr>
          </w:p>
        </w:tc>
        <w:tc>
          <w:tcPr>
            <w:tcW w:w="1440" w:type="dxa"/>
            <w:vAlign w:val="bottom"/>
          </w:tcPr>
          <w:p>
            <w:pPr>
              <w:jc w:val="center"/>
              <w:ind w:right="35"/>
              <w:spacing w:after="0" w:line="131" w:lineRule="exact"/>
              <w:rPr>
                <w:sz w:val="20"/>
                <w:szCs w:val="20"/>
                <w:color w:val="auto"/>
              </w:rPr>
            </w:pPr>
            <w:r>
              <w:rPr>
                <w:rFonts w:ascii="Times New Roman" w:cs="Times New Roman" w:eastAsia="Times New Roman" w:hAnsi="Times New Roman"/>
                <w:sz w:val="14"/>
                <w:szCs w:val="14"/>
                <w:b w:val="1"/>
                <w:bCs w:val="1"/>
                <w:color w:val="auto"/>
              </w:rPr>
              <w:t>Total Estimated Fair</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166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4"/>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5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500" w:type="dxa"/>
            <w:vAlign w:val="bottom"/>
          </w:tcPr>
          <w:p>
            <w:pPr>
              <w:jc w:val="right"/>
              <w:ind w:right="31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235,031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235,400</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agency securities</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101,858</w:t>
            </w: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22,845</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126,549</w:t>
            </w: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71,423</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bonds</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50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560,170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560,883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6"/>
        </w:trPr>
        <w:tc>
          <w:tcPr>
            <w:tcW w:w="4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40" w:type="dxa"/>
            <w:vAlign w:val="bottom"/>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700" w:type="dxa"/>
            <w:vAlign w:val="bottom"/>
          </w:tcPr>
          <w:p>
            <w:pPr>
              <w:spacing w:after="0"/>
              <w:rPr>
                <w:sz w:val="11"/>
                <w:szCs w:val="11"/>
                <w:color w:val="auto"/>
              </w:rPr>
            </w:pPr>
          </w:p>
        </w:tc>
        <w:tc>
          <w:tcPr>
            <w:tcW w:w="16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Cost or Amortized Cost</w:t>
            </w:r>
          </w:p>
        </w:tc>
        <w:tc>
          <w:tcPr>
            <w:tcW w:w="180" w:type="dxa"/>
            <w:vAlign w:val="bottom"/>
          </w:tcPr>
          <w:p>
            <w:pPr>
              <w:spacing w:after="0"/>
              <w:rPr>
                <w:sz w:val="11"/>
                <w:szCs w:val="11"/>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60" w:type="dxa"/>
            <w:vAlign w:val="bottom"/>
          </w:tcPr>
          <w:p>
            <w:pPr>
              <w:spacing w:after="0"/>
              <w:rPr>
                <w:sz w:val="11"/>
                <w:szCs w:val="11"/>
                <w:color w:val="auto"/>
              </w:rPr>
            </w:pPr>
          </w:p>
        </w:tc>
        <w:tc>
          <w:tcPr>
            <w:tcW w:w="15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20" w:type="dxa"/>
            <w:vAlign w:val="bottom"/>
          </w:tcPr>
          <w:p>
            <w:pPr>
              <w:spacing w:after="0"/>
              <w:rPr>
                <w:sz w:val="11"/>
                <w:szCs w:val="11"/>
                <w:color w:val="auto"/>
              </w:rPr>
            </w:pPr>
          </w:p>
        </w:tc>
        <w:tc>
          <w:tcPr>
            <w:tcW w:w="1440" w:type="dxa"/>
            <w:vAlign w:val="bottom"/>
          </w:tcPr>
          <w:p>
            <w:pPr>
              <w:jc w:val="center"/>
              <w:ind w:right="35"/>
              <w:spacing w:after="0" w:line="131" w:lineRule="exact"/>
              <w:rPr>
                <w:sz w:val="20"/>
                <w:szCs w:val="20"/>
                <w:color w:val="auto"/>
              </w:rPr>
            </w:pPr>
            <w:r>
              <w:rPr>
                <w:rFonts w:ascii="Times New Roman" w:cs="Times New Roman" w:eastAsia="Times New Roman" w:hAnsi="Times New Roman"/>
                <w:sz w:val="14"/>
                <w:szCs w:val="14"/>
                <w:b w:val="1"/>
                <w:bCs w:val="1"/>
                <w:color w:val="auto"/>
              </w:rPr>
              <w:t>Total Estimated Fair</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166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5"/>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5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500" w:type="dxa"/>
            <w:vAlign w:val="bottom"/>
          </w:tcPr>
          <w:p>
            <w:pPr>
              <w:jc w:val="right"/>
              <w:ind w:right="31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351,930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352,627</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agency securities</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16,262</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50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368,119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368,889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2023 and 2024, the Company had 21 and 4 investment positions in an unrealized loss position. The unrealized losses above were as a consequence of interest rate changes. The Company does not intend to sell nor anticipate that it will be required to sell these securities before recovery of the amortized cost basis. Unrealized losses on available-for-sale debt securities were determined not to be related to credit related losses, therefore, no allowance for credit losses was recorded. There were no material realized gains or losses from marketable securities that were reclassified out of accumulated other comprehensive income for the years ended December 31, 2023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240"/>
          </w:cols>
          <w:pgMar w:left="320" w:top="124" w:right="339" w:bottom="1440" w:gutter="0" w:footer="0" w:header="0"/>
        </w:sectPr>
      </w:pPr>
    </w:p>
    <w:bookmarkStart w:id="277" w:name="page278"/>
    <w:bookmarkEnd w:id="277"/>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ratios, or as noted)</w:t>
      </w:r>
    </w:p>
    <w:p>
      <w:pPr>
        <w:spacing w:after="0" w:line="263" w:lineRule="exact"/>
        <w:rPr>
          <w:sz w:val="20"/>
          <w:szCs w:val="20"/>
          <w:color w:val="auto"/>
        </w:rPr>
      </w:pPr>
    </w:p>
    <w:p>
      <w:pPr>
        <w:ind w:right="780" w:firstLine="324"/>
        <w:spacing w:after="0" w:line="282" w:lineRule="auto"/>
        <w:rPr>
          <w:sz w:val="20"/>
          <w:szCs w:val="20"/>
          <w:color w:val="auto"/>
        </w:rPr>
      </w:pPr>
      <w:r>
        <w:rPr>
          <w:rFonts w:ascii="Times New Roman" w:cs="Times New Roman" w:eastAsia="Times New Roman" w:hAnsi="Times New Roman"/>
          <w:sz w:val="18"/>
          <w:szCs w:val="18"/>
          <w:color w:val="auto"/>
        </w:rPr>
        <w:t>The gross unrealized losses and fair values for those investments that were in an unrealized loss position as of December 31, 2023 and 2024, aggregated by investment category and the length of time that individual securities have been in a continuous loss position are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80" w:type="dxa"/>
            <w:vAlign w:val="bottom"/>
            <w:gridSpan w:val="7"/>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5"/>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8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00" w:type="dxa"/>
            <w:vAlign w:val="bottom"/>
          </w:tcPr>
          <w:p>
            <w:pPr>
              <w:spacing w:after="0"/>
              <w:rPr>
                <w:sz w:val="16"/>
                <w:szCs w:val="16"/>
                <w:color w:val="auto"/>
              </w:rPr>
            </w:pPr>
          </w:p>
        </w:tc>
        <w:tc>
          <w:tcPr>
            <w:tcW w:w="2580" w:type="dxa"/>
            <w:vAlign w:val="bottom"/>
            <w:gridSpan w:val="7"/>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Greater than 12 months</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9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right="17"/>
              <w:spacing w:after="0" w:line="137"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center"/>
              <w:ind w:right="52"/>
              <w:spacing w:after="0" w:line="137"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right="15"/>
              <w:spacing w:after="0" w:line="137"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0" w:type="dxa"/>
            <w:vAlign w:val="bottom"/>
          </w:tcPr>
          <w:p>
            <w:pPr>
              <w:spacing w:after="0"/>
              <w:rPr>
                <w:sz w:val="1"/>
                <w:szCs w:val="1"/>
                <w:color w:val="auto"/>
              </w:rPr>
            </w:pPr>
          </w:p>
        </w:tc>
      </w:tr>
      <w:tr>
        <w:trPr>
          <w:trHeight w:val="195"/>
        </w:trPr>
        <w:tc>
          <w:tcPr>
            <w:tcW w:w="2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14"/>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84,546</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spacing w:after="0"/>
              <w:rPr>
                <w:sz w:val="19"/>
                <w:szCs w:val="19"/>
                <w:color w:val="auto"/>
              </w:rPr>
            </w:pP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84,546</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agency securities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83,699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83,699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29"/>
        </w:trPr>
        <w:tc>
          <w:tcPr>
            <w:tcW w:w="2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41,685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41,685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239,387</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239,387</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1"/>
        </w:trPr>
        <w:tc>
          <w:tcPr>
            <w:tcW w:w="2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gridSpan w:val="3"/>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6"/>
        </w:trPr>
        <w:tc>
          <w:tcPr>
            <w:tcW w:w="2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80" w:type="dxa"/>
            <w:vAlign w:val="bottom"/>
            <w:gridSpan w:val="7"/>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5"/>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8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00" w:type="dxa"/>
            <w:vAlign w:val="bottom"/>
          </w:tcPr>
          <w:p>
            <w:pPr>
              <w:spacing w:after="0"/>
              <w:rPr>
                <w:sz w:val="16"/>
                <w:szCs w:val="16"/>
                <w:color w:val="auto"/>
              </w:rPr>
            </w:pPr>
          </w:p>
        </w:tc>
        <w:tc>
          <w:tcPr>
            <w:tcW w:w="2580" w:type="dxa"/>
            <w:vAlign w:val="bottom"/>
            <w:gridSpan w:val="7"/>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Greater than 12 months</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right="17"/>
              <w:spacing w:after="0" w:line="135"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center"/>
              <w:ind w:right="52"/>
              <w:spacing w:after="0" w:line="135"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right="15"/>
              <w:spacing w:after="0" w:line="135"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0" w:type="dxa"/>
            <w:vAlign w:val="bottom"/>
          </w:tcPr>
          <w:p>
            <w:pPr>
              <w:spacing w:after="0"/>
              <w:rPr>
                <w:sz w:val="1"/>
                <w:szCs w:val="1"/>
                <w:color w:val="auto"/>
              </w:rPr>
            </w:pPr>
          </w:p>
        </w:tc>
      </w:tr>
      <w:tr>
        <w:trPr>
          <w:trHeight w:val="196"/>
        </w:trPr>
        <w:tc>
          <w:tcPr>
            <w:tcW w:w="2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7"/>
                <w:szCs w:val="17"/>
                <w:color w:val="auto"/>
              </w:rPr>
            </w:pPr>
          </w:p>
        </w:tc>
        <w:tc>
          <w:tcPr>
            <w:tcW w:w="120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16"/>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19,951</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spacing w:after="0"/>
              <w:rPr>
                <w:sz w:val="19"/>
                <w:szCs w:val="19"/>
                <w:color w:val="auto"/>
              </w:rPr>
            </w:pP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19,951</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8"/>
        </w:trPr>
        <w:tc>
          <w:tcPr>
            <w:tcW w:w="2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7140" w:type="dxa"/>
            <w:vAlign w:val="bottom"/>
            <w:gridSpan w:val="11"/>
          </w:tcPr>
          <w:p>
            <w:pPr>
              <w:ind w:left="340"/>
              <w:spacing w:after="0"/>
              <w:rPr>
                <w:sz w:val="20"/>
                <w:szCs w:val="20"/>
                <w:color w:val="auto"/>
              </w:rPr>
            </w:pPr>
            <w:r>
              <w:rPr>
                <w:rFonts w:ascii="Times New Roman" w:cs="Times New Roman" w:eastAsia="Times New Roman" w:hAnsi="Times New Roman"/>
                <w:sz w:val="18"/>
                <w:szCs w:val="18"/>
                <w:color w:val="auto"/>
                <w:w w:val="99"/>
              </w:rPr>
              <w:t>The following table summarizes the Company’s marketable securities by contractual maturity:</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gridSpan w:val="8"/>
          </w:tcPr>
          <w:p>
            <w:pPr>
              <w:ind w:left="1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0" w:type="dxa"/>
            <w:vAlign w:val="bottom"/>
          </w:tcPr>
          <w:p>
            <w:pPr>
              <w:spacing w:after="0"/>
              <w:rPr>
                <w:sz w:val="1"/>
                <w:szCs w:val="1"/>
                <w:color w:val="auto"/>
              </w:rPr>
            </w:pPr>
          </w:p>
        </w:tc>
      </w:tr>
      <w:tr>
        <w:trPr>
          <w:trHeight w:val="23"/>
        </w:trPr>
        <w:tc>
          <w:tcPr>
            <w:tcW w:w="2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60" w:type="dxa"/>
            <w:vAlign w:val="bottom"/>
            <w:tcBorders>
              <w:bottom w:val="single" w:sz="8" w:color="auto"/>
            </w:tcBorders>
            <w:gridSpan w:val="4"/>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92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Within one year</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256,681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257,129</w:t>
            </w:r>
          </w:p>
        </w:tc>
        <w:tc>
          <w:tcPr>
            <w:tcW w:w="0" w:type="dxa"/>
            <w:vAlign w:val="bottom"/>
          </w:tcPr>
          <w:p>
            <w:pPr>
              <w:spacing w:after="0"/>
              <w:rPr>
                <w:sz w:val="1"/>
                <w:szCs w:val="1"/>
                <w:color w:val="auto"/>
              </w:rPr>
            </w:pPr>
          </w:p>
        </w:tc>
      </w:tr>
      <w:tr>
        <w:trPr>
          <w:trHeight w:val="230"/>
        </w:trPr>
        <w:tc>
          <w:tcPr>
            <w:tcW w:w="2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After one year to five years</w:t>
            </w:r>
          </w:p>
        </w:tc>
        <w:tc>
          <w:tcPr>
            <w:tcW w:w="2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111,438</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111,760</w:t>
            </w:r>
          </w:p>
        </w:tc>
        <w:tc>
          <w:tcPr>
            <w:tcW w:w="0" w:type="dxa"/>
            <w:vAlign w:val="bottom"/>
          </w:tcPr>
          <w:p>
            <w:pPr>
              <w:spacing w:after="0"/>
              <w:rPr>
                <w:sz w:val="1"/>
                <w:szCs w:val="1"/>
                <w:color w:val="auto"/>
              </w:rPr>
            </w:pPr>
          </w:p>
        </w:tc>
      </w:tr>
      <w:tr>
        <w:trPr>
          <w:trHeight w:val="248"/>
        </w:trPr>
        <w:tc>
          <w:tcPr>
            <w:tcW w:w="2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368,119</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368,889</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6 - LOANS HELD FOR INVESTMENT, NET</w:t>
            </w: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4320" w:type="dxa"/>
            <w:vAlign w:val="bottom"/>
            <w:gridSpan w:val="4"/>
            <w:vMerge w:val="continue"/>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740" w:type="dxa"/>
            <w:vAlign w:val="bottom"/>
            <w:gridSpan w:val="7"/>
          </w:tcPr>
          <w:p>
            <w:pPr>
              <w:ind w:left="340"/>
              <w:spacing w:after="0"/>
              <w:rPr>
                <w:sz w:val="20"/>
                <w:szCs w:val="20"/>
                <w:color w:val="auto"/>
              </w:rPr>
            </w:pPr>
            <w:r>
              <w:rPr>
                <w:rFonts w:ascii="Times New Roman" w:cs="Times New Roman" w:eastAsia="Times New Roman" w:hAnsi="Times New Roman"/>
                <w:sz w:val="18"/>
                <w:szCs w:val="18"/>
                <w:color w:val="auto"/>
              </w:rPr>
              <w:t>Loans held for investment, net consisted of the following:</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00" w:type="dxa"/>
            <w:vAlign w:val="bottom"/>
            <w:gridSpan w:val="6"/>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29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 for investment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130,447</w:t>
            </w:r>
          </w:p>
        </w:tc>
        <w:tc>
          <w:tcPr>
            <w:tcW w:w="0" w:type="dxa"/>
            <w:vAlign w:val="bottom"/>
          </w:tcPr>
          <w:p>
            <w:pPr>
              <w:spacing w:after="0"/>
              <w:rPr>
                <w:sz w:val="1"/>
                <w:szCs w:val="1"/>
                <w:color w:val="auto"/>
              </w:rPr>
            </w:pPr>
          </w:p>
        </w:tc>
      </w:tr>
      <w:tr>
        <w:trPr>
          <w:trHeight w:val="230"/>
        </w:trPr>
        <w:tc>
          <w:tcPr>
            <w:tcW w:w="3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allowance for expected credit losses</w:t>
            </w:r>
          </w:p>
        </w:tc>
        <w:tc>
          <w:tcPr>
            <w:tcW w:w="10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(30,649)</w:t>
            </w:r>
          </w:p>
        </w:tc>
        <w:tc>
          <w:tcPr>
            <w:tcW w:w="0" w:type="dxa"/>
            <w:vAlign w:val="bottom"/>
          </w:tcPr>
          <w:p>
            <w:pPr>
              <w:spacing w:after="0"/>
              <w:rPr>
                <w:sz w:val="1"/>
                <w:szCs w:val="1"/>
                <w:color w:val="auto"/>
              </w:rPr>
            </w:pPr>
          </w:p>
        </w:tc>
      </w:tr>
      <w:tr>
        <w:trPr>
          <w:trHeight w:val="248"/>
        </w:trPr>
        <w:tc>
          <w:tcPr>
            <w:tcW w:w="2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loans held for investment, net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99,798</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240"/>
          </w:cols>
          <w:pgMar w:left="320" w:top="124" w:right="339" w:bottom="1440" w:gutter="0" w:footer="0" w:header="0"/>
        </w:sectPr>
      </w:pPr>
    </w:p>
    <w:bookmarkStart w:id="278" w:name="page279"/>
    <w:bookmarkEnd w:id="278"/>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ratios, or as noted)</w:t>
      </w:r>
    </w:p>
    <w:p>
      <w:pPr>
        <w:spacing w:after="0" w:line="2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Credit Quality Information</w:t>
      </w:r>
    </w:p>
    <w:p>
      <w:pPr>
        <w:spacing w:after="0" w:line="175"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The Company analyzes its loans held for investment based on the aging of unpaid principal. This is the credit quality indicator management uses to evaluate the allowance for expected credit losses on loans held for investment. Below is a summary of the loans held for investment, net by vintage as of December 31, 2024:</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Days from origination</w:t>
            </w:r>
          </w:p>
        </w:tc>
        <w:tc>
          <w:tcPr>
            <w:tcW w:w="220" w:type="dxa"/>
            <w:vAlign w:val="bottom"/>
          </w:tcPr>
          <w:p>
            <w:pPr>
              <w:spacing w:after="0"/>
              <w:rPr>
                <w:sz w:val="13"/>
                <w:szCs w:val="13"/>
                <w:color w:val="auto"/>
              </w:rPr>
            </w:pPr>
          </w:p>
        </w:tc>
        <w:tc>
          <w:tcPr>
            <w:tcW w:w="134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Loans held for</w:t>
            </w:r>
          </w:p>
        </w:tc>
        <w:tc>
          <w:tcPr>
            <w:tcW w:w="0" w:type="dxa"/>
            <w:vAlign w:val="bottom"/>
          </w:tcPr>
          <w:p>
            <w:pPr>
              <w:spacing w:after="0"/>
              <w:rPr>
                <w:sz w:val="1"/>
                <w:szCs w:val="1"/>
                <w:color w:val="auto"/>
              </w:rPr>
            </w:pPr>
          </w:p>
        </w:tc>
      </w:tr>
      <w:tr>
        <w:trPr>
          <w:trHeight w:val="195"/>
        </w:trPr>
        <w:tc>
          <w:tcPr>
            <w:tcW w:w="968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0" w:type="dxa"/>
            <w:vAlign w:val="bottom"/>
          </w:tcPr>
          <w:p>
            <w:pPr>
              <w:spacing w:after="0"/>
              <w:rPr>
                <w:sz w:val="1"/>
                <w:szCs w:val="1"/>
                <w:color w:val="auto"/>
              </w:rPr>
            </w:pPr>
          </w:p>
        </w:tc>
      </w:tr>
      <w:tr>
        <w:trPr>
          <w:trHeight w:val="228"/>
        </w:trPr>
        <w:tc>
          <w:tcPr>
            <w:tcW w:w="95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1 - 30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98,451</w:t>
            </w:r>
          </w:p>
        </w:tc>
        <w:tc>
          <w:tcPr>
            <w:tcW w:w="0" w:type="dxa"/>
            <w:vAlign w:val="bottom"/>
          </w:tcPr>
          <w:p>
            <w:pPr>
              <w:spacing w:after="0"/>
              <w:rPr>
                <w:sz w:val="1"/>
                <w:szCs w:val="1"/>
                <w:color w:val="auto"/>
              </w:rPr>
            </w:pPr>
          </w:p>
        </w:tc>
      </w:tr>
      <w:tr>
        <w:trPr>
          <w:trHeight w:val="229"/>
        </w:trPr>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31</w:t>
            </w:r>
          </w:p>
        </w:tc>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10,451</w:t>
            </w:r>
          </w:p>
        </w:tc>
        <w:tc>
          <w:tcPr>
            <w:tcW w:w="0" w:type="dxa"/>
            <w:vAlign w:val="bottom"/>
          </w:tcPr>
          <w:p>
            <w:pPr>
              <w:spacing w:after="0"/>
              <w:rPr>
                <w:sz w:val="1"/>
                <w:szCs w:val="1"/>
                <w:color w:val="auto"/>
              </w:rPr>
            </w:pPr>
          </w:p>
        </w:tc>
      </w:tr>
      <w:tr>
        <w:trPr>
          <w:trHeight w:val="230"/>
        </w:trPr>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61</w:t>
            </w:r>
          </w:p>
        </w:tc>
        <w:tc>
          <w:tcPr>
            <w:tcW w:w="9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7,697</w:t>
            </w:r>
          </w:p>
        </w:tc>
        <w:tc>
          <w:tcPr>
            <w:tcW w:w="0" w:type="dxa"/>
            <w:vAlign w:val="bottom"/>
          </w:tcPr>
          <w:p>
            <w:pPr>
              <w:spacing w:after="0"/>
              <w:rPr>
                <w:sz w:val="1"/>
                <w:szCs w:val="1"/>
                <w:color w:val="auto"/>
              </w:rPr>
            </w:pPr>
          </w:p>
        </w:tc>
      </w:tr>
      <w:tr>
        <w:trPr>
          <w:trHeight w:val="229"/>
        </w:trPr>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91</w:t>
            </w:r>
          </w:p>
        </w:tc>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- 120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5,705</w:t>
            </w:r>
          </w:p>
        </w:tc>
        <w:tc>
          <w:tcPr>
            <w:tcW w:w="0" w:type="dxa"/>
            <w:vAlign w:val="bottom"/>
          </w:tcPr>
          <w:p>
            <w:pPr>
              <w:spacing w:after="0"/>
              <w:rPr>
                <w:sz w:val="1"/>
                <w:szCs w:val="1"/>
                <w:color w:val="auto"/>
              </w:rPr>
            </w:pPr>
          </w:p>
        </w:tc>
      </w:tr>
      <w:tr>
        <w:trPr>
          <w:trHeight w:val="229"/>
        </w:trPr>
        <w:tc>
          <w:tcPr>
            <w:tcW w:w="9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Greater than 120</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8,143</w:t>
            </w:r>
          </w:p>
        </w:tc>
        <w:tc>
          <w:tcPr>
            <w:tcW w:w="0" w:type="dxa"/>
            <w:vAlign w:val="bottom"/>
          </w:tcPr>
          <w:p>
            <w:pPr>
              <w:spacing w:after="0"/>
              <w:rPr>
                <w:sz w:val="1"/>
                <w:szCs w:val="1"/>
                <w:color w:val="auto"/>
              </w:rPr>
            </w:pPr>
          </w:p>
        </w:tc>
      </w:tr>
      <w:tr>
        <w:trPr>
          <w:trHeight w:val="223"/>
        </w:trPr>
        <w:tc>
          <w:tcPr>
            <w:tcW w:w="9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130,447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CREDIT OBLIGATIONS</w:t>
      </w:r>
    </w:p>
    <w:p>
      <w:pPr>
        <w:spacing w:after="0" w:line="175"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The Company has credit obligations related to both on- and off-balance sheet receivables from members. Credit obligations related to MyPay loans held for investment on the Company’s balance sheets are recorded as an allowance for expected credit losses. Future expected cash flows, including credit obligations related to MyPay receivables retained by the bank partners, SpotMe, and other instances where a member’s account is overdrawn are recorded as a product obligation on the consolidated balance sheets.</w:t>
      </w:r>
    </w:p>
    <w:p>
      <w:pPr>
        <w:spacing w:after="0" w:line="126"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MyPay receivables on the Company’s balance sheet have the risks and characteristics similar to the off-balance sheet balances retained by the bank partners and similar risk characteristics were applied consistently for the products during underwriting. Accordingly, the credit exposure is expected to be similar for these obligations.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Allowance for Expected Credit Losses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Below is a summary of the changes in allowance for expected credit losses on MyPay loans held for investment:</w:t>
      </w:r>
    </w:p>
    <w:p>
      <w:pPr>
        <w:spacing w:after="0" w:line="197" w:lineRule="exact"/>
        <w:rPr>
          <w:sz w:val="20"/>
          <w:szCs w:val="20"/>
          <w:color w:val="auto"/>
        </w:rPr>
      </w:pPr>
    </w:p>
    <w:p>
      <w:pPr>
        <w:jc w:val="center"/>
        <w:ind w:left="930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9300"/>
        <w:spacing w:after="0"/>
        <w:rPr>
          <w:sz w:val="20"/>
          <w:szCs w:val="20"/>
          <w:color w:val="auto"/>
        </w:rPr>
      </w:pPr>
      <w:r>
        <w:rPr>
          <w:rFonts w:ascii="Times New Roman" w:cs="Times New Roman" w:eastAsia="Times New Roman" w:hAnsi="Times New Roman"/>
          <w:sz w:val="14"/>
          <w:szCs w:val="14"/>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15175" cy="1543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beginning of the period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Provision for expected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60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Amounts written off</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Recoveries collected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714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end of the period</w:t>
      </w:r>
    </w:p>
    <w:p>
      <w:pPr>
        <w:spacing w:after="0" w:line="2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Product Obligation</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presents a reconciliation of the Company’s product obligation:</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jc w:val="both"/>
        <w:ind w:left="700"/>
        <w:spacing w:after="0"/>
        <w:tabs>
          <w:tab w:leader="none" w:pos="22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(30,649)</w:t>
      </w:r>
    </w:p>
    <w:p>
      <w:pPr>
        <w:spacing w:after="0" w:line="23"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1920" w:hanging="1212"/>
        <w:spacing w:after="0"/>
        <w:tabs>
          <w:tab w:leader="none" w:pos="1920" w:val="left"/>
        </w:tabs>
        <w:numPr>
          <w:ilvl w:val="0"/>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(30,649)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50165</wp:posOffset>
            </wp:positionV>
            <wp:extent cx="118300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wp:posOffset>
            </wp:positionH>
            <wp:positionV relativeFrom="paragraph">
              <wp:posOffset>13335</wp:posOffset>
            </wp:positionV>
            <wp:extent cx="204851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4"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33" w:lineRule="exact"/>
        <w:rPr>
          <w:sz w:val="20"/>
          <w:szCs w:val="20"/>
          <w:color w:val="auto"/>
        </w:rPr>
      </w:pPr>
    </w:p>
    <w:p>
      <w:pPr>
        <w:sectPr>
          <w:pgSz w:w="11900" w:h="16838" w:orient="portrait"/>
          <w:cols w:equalWidth="0" w:num="2">
            <w:col w:w="7940" w:space="720"/>
            <w:col w:w="2580"/>
          </w:cols>
          <w:pgMar w:left="320" w:top="124"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the period</w:t>
            </w: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6"/>
              </w:rPr>
              <w:t>79,878</w:t>
            </w:r>
          </w:p>
        </w:tc>
        <w:tc>
          <w:tcPr>
            <w:tcW w:w="10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88,600</w:t>
            </w:r>
          </w:p>
        </w:tc>
      </w:tr>
      <w:tr>
        <w:trPr>
          <w:trHeight w:val="230"/>
        </w:trPr>
        <w:tc>
          <w:tcPr>
            <w:tcW w:w="802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Change in fair value of product obligation</w:t>
            </w:r>
            <w:r>
              <w:rPr>
                <w:rFonts w:ascii="Times New Roman" w:cs="Times New Roman" w:eastAsia="Times New Roman" w:hAnsi="Times New Roman"/>
                <w:sz w:val="23"/>
                <w:szCs w:val="23"/>
                <w:color w:val="auto"/>
                <w:vertAlign w:val="superscript"/>
              </w:rPr>
              <w:t>(1)</w:t>
            </w:r>
          </w:p>
        </w:tc>
        <w:tc>
          <w:tcPr>
            <w:tcW w:w="500" w:type="dxa"/>
            <w:vAlign w:val="bottom"/>
          </w:tcPr>
          <w:p>
            <w:pPr>
              <w:spacing w:after="0"/>
              <w:rPr>
                <w:sz w:val="19"/>
                <w:szCs w:val="19"/>
                <w:color w:val="auto"/>
              </w:rPr>
            </w:pPr>
          </w:p>
        </w:tc>
        <w:tc>
          <w:tcPr>
            <w:tcW w:w="10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6"/>
              </w:rPr>
              <w:t>84,996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59,354</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Settlements</w:t>
            </w: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rPr>
              <w:t>(76,274)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(33,577)</w:t>
            </w:r>
          </w:p>
        </w:tc>
      </w:tr>
      <w:tr>
        <w:trPr>
          <w:trHeight w:val="223"/>
        </w:trPr>
        <w:tc>
          <w:tcPr>
            <w:tcW w:w="802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Balance, end of the period</w:t>
            </w:r>
            <w:r>
              <w:rPr>
                <w:rFonts w:ascii="Times New Roman" w:cs="Times New Roman" w:eastAsia="Times New Roman" w:hAnsi="Times New Roman"/>
                <w:sz w:val="23"/>
                <w:szCs w:val="23"/>
                <w:color w:val="auto"/>
                <w:vertAlign w:val="superscript"/>
              </w:rPr>
              <w:t>(2)</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w w:val="96"/>
              </w:rPr>
              <w:t>88,600</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114,377</w:t>
            </w:r>
          </w:p>
        </w:tc>
      </w:tr>
      <w:tr>
        <w:trPr>
          <w:trHeight w:val="20"/>
        </w:trPr>
        <w:tc>
          <w:tcPr>
            <w:tcW w:w="80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40" w:right="100" w:hanging="332"/>
        <w:spacing w:after="0" w:line="262" w:lineRule="auto"/>
        <w:tabs>
          <w:tab w:leader="none" w:pos="332"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year ended December 31, 2023, the change in fair value of the product obligation was recorded as transaction and risk losses on the consolidated statements of operations. In the year ended December 31, 2024, $85.1 million was recorded as transaction and risk losses for SpotMe and other member negative balances, $50.4 million was recorded as transaction and risk losses for off-balance sheet MyPay</w:t>
      </w:r>
    </w:p>
    <w:p>
      <w:pPr>
        <w:sectPr>
          <w:pgSz w:w="11900" w:h="16838" w:orient="portrait"/>
          <w:cols w:equalWidth="0" w:num="1">
            <w:col w:w="11240"/>
          </w:cols>
          <w:pgMar w:left="320" w:top="12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F-27</w:t>
      </w:r>
    </w:p>
    <w:p>
      <w:pPr>
        <w:sectPr>
          <w:pgSz w:w="11900" w:h="16838" w:orient="portrait"/>
          <w:cols w:equalWidth="0" w:num="1">
            <w:col w:w="11240"/>
          </w:cols>
          <w:pgMar w:left="320" w:top="124" w:right="339" w:bottom="1440" w:gutter="0" w:footer="0" w:header="0"/>
          <w:type w:val="continuous"/>
        </w:sectPr>
      </w:pPr>
    </w:p>
    <w:bookmarkStart w:id="279" w:name="page280"/>
    <w:bookmarkEnd w:id="279"/>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ratios, or as noted)</w:t>
      </w:r>
    </w:p>
    <w:p>
      <w:pPr>
        <w:spacing w:after="0" w:line="258" w:lineRule="exact"/>
        <w:rPr>
          <w:sz w:val="20"/>
          <w:szCs w:val="20"/>
          <w:color w:val="auto"/>
        </w:rPr>
      </w:pPr>
    </w:p>
    <w:p>
      <w:pPr>
        <w:ind w:left="340" w:right="40"/>
        <w:spacing w:after="0" w:line="271" w:lineRule="auto"/>
        <w:rPr>
          <w:sz w:val="20"/>
          <w:szCs w:val="20"/>
          <w:color w:val="auto"/>
        </w:rPr>
      </w:pPr>
      <w:r>
        <w:rPr>
          <w:rFonts w:ascii="Times New Roman" w:cs="Times New Roman" w:eastAsia="Times New Roman" w:hAnsi="Times New Roman"/>
          <w:sz w:val="14"/>
          <w:szCs w:val="14"/>
          <w:color w:val="auto"/>
        </w:rPr>
        <w:t>receivables, and $76.2 million of the change in fair value of the product obligation was recorded as revenue related to off-balance sheet MyPay receivables on the consolidated statements of operations.</w:t>
      </w:r>
    </w:p>
    <w:p>
      <w:pPr>
        <w:ind w:left="320" w:hanging="312"/>
        <w:spacing w:after="0"/>
        <w:tabs>
          <w:tab w:leader="none" w:pos="320"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maximum exposure to losses was $212.6 million and $454.3 million as of December 31, 2023 and 2024.</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PROPERTY, EQUIPMENT, AND SOFTWARE, NET</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2023 and 2024, property, equipment, and software, net consisted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equipment, and software: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 and purchased software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3,734</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9,177</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58,884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61,736</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internal-use software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55,523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63,565</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equipment, and software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126,063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138,212</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(45,512)</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equipment, and software, net</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104,406</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92,700</w:t>
            </w:r>
          </w:p>
        </w:tc>
      </w:tr>
      <w:tr>
        <w:trPr>
          <w:trHeight w:val="21"/>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Depreciation expense on property, equipment, and software was $3.9 million, $7.2 million, and $8.8 million for the years ended December 31, 2022, 2023, and 2024.</w:t>
      </w:r>
    </w:p>
    <w:p>
      <w:pPr>
        <w:spacing w:after="0" w:line="108"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Amortization expense on internal-use software was $3.4 million, $5.7 million, and $16.5 million for the years ended December 31, 2022, 2023, and 2024, which includes nil, $1.3 million, and $10.5 million recorded in cost of revenue in the statements of operations.</w:t>
      </w:r>
    </w:p>
    <w:p>
      <w:pPr>
        <w:spacing w:after="0" w:line="108"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2022, 2023, and 2024 the Company recorded impairment charges of $2.5 million, nil, and $0.6 million related to its property, equipment and software in connection with the termination of certain real estate leases and $2.6 million, nil, and $1.3 million in impairments of internal-use software.</w:t>
      </w:r>
    </w:p>
    <w:p>
      <w:pPr>
        <w:spacing w:after="0" w:line="122"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2024, the estimated aggregate amortization expense related to internal-use software for each of the succeeding fiscal years was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shd w:val="clear" w:color="auto" w:fill="CCEEFF"/>
          </w:tcPr>
          <w:p>
            <w:pPr>
              <w:jc w:val="right"/>
              <w:ind w:right="9210"/>
              <w:spacing w:after="0"/>
              <w:rPr>
                <w:sz w:val="20"/>
                <w:szCs w:val="20"/>
                <w:color w:val="auto"/>
              </w:rPr>
            </w:pPr>
            <w:r>
              <w:rPr>
                <w:rFonts w:ascii="Times New Roman" w:cs="Times New Roman" w:eastAsia="Times New Roman" w:hAnsi="Times New Roman"/>
                <w:sz w:val="18"/>
                <w:szCs w:val="18"/>
                <w:color w:val="auto"/>
                <w:w w:val="99"/>
              </w:rPr>
              <w:t>2025</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17,540</w:t>
            </w:r>
          </w:p>
        </w:tc>
      </w:tr>
      <w:tr>
        <w:trPr>
          <w:trHeight w:val="230"/>
        </w:trPr>
        <w:tc>
          <w:tcPr>
            <w:tcW w:w="9680" w:type="dxa"/>
            <w:vAlign w:val="bottom"/>
          </w:tcPr>
          <w:p>
            <w:pPr>
              <w:jc w:val="right"/>
              <w:ind w:right="9210"/>
              <w:spacing w:after="0"/>
              <w:rPr>
                <w:sz w:val="20"/>
                <w:szCs w:val="20"/>
                <w:color w:val="auto"/>
              </w:rPr>
            </w:pPr>
            <w:r>
              <w:rPr>
                <w:rFonts w:ascii="Times New Roman" w:cs="Times New Roman" w:eastAsia="Times New Roman" w:hAnsi="Times New Roman"/>
                <w:sz w:val="18"/>
                <w:szCs w:val="18"/>
                <w:color w:val="auto"/>
                <w:w w:val="99"/>
              </w:rPr>
              <w:t>2026</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14,997</w:t>
            </w:r>
          </w:p>
        </w:tc>
      </w:tr>
      <w:tr>
        <w:trPr>
          <w:trHeight w:val="230"/>
        </w:trPr>
        <w:tc>
          <w:tcPr>
            <w:tcW w:w="9680" w:type="dxa"/>
            <w:vAlign w:val="bottom"/>
            <w:shd w:val="clear" w:color="auto" w:fill="CCEEFF"/>
          </w:tcPr>
          <w:p>
            <w:pPr>
              <w:jc w:val="right"/>
              <w:ind w:right="9210"/>
              <w:spacing w:after="0"/>
              <w:rPr>
                <w:sz w:val="20"/>
                <w:szCs w:val="20"/>
                <w:color w:val="auto"/>
              </w:rPr>
            </w:pPr>
            <w:r>
              <w:rPr>
                <w:rFonts w:ascii="Times New Roman" w:cs="Times New Roman" w:eastAsia="Times New Roman" w:hAnsi="Times New Roman"/>
                <w:sz w:val="18"/>
                <w:szCs w:val="18"/>
                <w:color w:val="auto"/>
                <w:w w:val="99"/>
              </w:rPr>
              <w:t>2027</w:t>
            </w: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3,906</w:t>
            </w:r>
          </w:p>
        </w:tc>
      </w:tr>
      <w:tr>
        <w:trPr>
          <w:trHeight w:val="223"/>
        </w:trPr>
        <w:tc>
          <w:tcPr>
            <w:tcW w:w="9680" w:type="dxa"/>
            <w:vAlign w:val="bottom"/>
          </w:tcPr>
          <w:p>
            <w:pPr>
              <w:jc w:val="right"/>
              <w:ind w:right="899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36,443</w:t>
            </w:r>
          </w:p>
        </w:tc>
      </w:tr>
      <w:tr>
        <w:trPr>
          <w:trHeight w:val="20"/>
        </w:trPr>
        <w:tc>
          <w:tcPr>
            <w:tcW w:w="96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BUSINESS COMBINATIONS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Salt Labs Acquisition</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acquired a 100% ownership interest (“Acquisition”) in Salt Labs, Inc. (“Salt Labs”), an employee rewards company, on June 26,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Date”). The purpose of the Acquisition was to create a new channel to grow the Company’s member base. The purchase consideration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$43.3 million, which consisted of (i) $23.6 million in cash, (ii) $4.7 million from the issuance of shares of the Company’s common stock, (iii) $13.8 million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to the deemed vested component of outstanding employee awards, based on the ratio of time served in relation to the vesting term of each award,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unvested portion being replaced with the Company’s unvested replacement awards comprising of restricted stock awards, and (iv) $1.2 million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paid for transaction costs on behalf of Salt Labs. The fair value of Company’s common stock and restricted stock awards are determined based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of the Company’s common stock on the Acquisition Date. The purchase consideration excludes $19.8 million related to the restricted stock awards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is subject to certain service-based and performance-based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240"/>
          </w:cols>
          <w:pgMar w:left="320" w:top="124" w:right="339" w:bottom="1440" w:gutter="0" w:footer="0" w:header="0"/>
        </w:sectPr>
      </w:pPr>
    </w:p>
    <w:bookmarkStart w:id="280" w:name="page281"/>
    <w:bookmarkEnd w:id="280"/>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ratios, or as noted)</w:t>
      </w:r>
    </w:p>
    <w:p>
      <w:pPr>
        <w:spacing w:after="0" w:line="26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conditions and will be recognized as postcombination compensation expense over the requisite vesting period. Postcombination expense recognized was $3.3 million for the year ended December 31, 2024.</w:t>
      </w:r>
    </w:p>
    <w:p>
      <w:pPr>
        <w:spacing w:after="0" w:line="108"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Acquisition, certain retained employees of Salt Labs are eligible to earn earn-out performance-based restricted stock units based on achievement of designated operational metrics. These PSUs are recognized as postcombination compensation expense - see Note 13 - Stock-based Compensation for further details.</w:t>
      </w:r>
    </w:p>
    <w:p>
      <w:pPr>
        <w:spacing w:after="0" w:line="122"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The Acquisition met the criteria to be accounted for as a business combination in accordance with ASC 805, Business Combinations (“ASC 805”). This method requires, among other things, that assets acquired and liabilities assumed be recognized at their fair values as of the acquisition date and that the difference between the fair value of the consideration paid for the acquired entity and the fair value of the net assets acquired be recorded as goodwill, which is not amortized but is tested at least annually for impairment.</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final purchase consideration of $43.3 million was allocated to the fair value of assets acquired and liabilities assumed as of the Acquisition Date: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11,415</w:t>
            </w:r>
          </w:p>
        </w:tc>
      </w:tr>
      <w:tr>
        <w:trPr>
          <w:trHeight w:val="229"/>
        </w:trPr>
        <w:tc>
          <w:tcPr>
            <w:tcW w:w="9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current assets</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29"/>
        </w:trPr>
        <w:tc>
          <w:tcPr>
            <w:tcW w:w="9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Developed technology intangible asset</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r>
      <w:tr>
        <w:trPr>
          <w:trHeight w:val="230"/>
        </w:trPr>
        <w:tc>
          <w:tcPr>
            <w:tcW w:w="96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Current liabilities</w:t>
            </w: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23"/>
        </w:trPr>
        <w:tc>
          <w:tcPr>
            <w:tcW w:w="9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identifiable net assets acquired</w:t>
            </w: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15,765</w:t>
            </w:r>
          </w:p>
        </w:tc>
      </w:tr>
      <w:tr>
        <w:trPr>
          <w:trHeight w:val="223"/>
        </w:trPr>
        <w:tc>
          <w:tcPr>
            <w:tcW w:w="96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Goodwill</w:t>
            </w: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27,493</w:t>
            </w:r>
          </w:p>
        </w:tc>
      </w:tr>
      <w:tr>
        <w:trPr>
          <w:trHeight w:val="223"/>
        </w:trPr>
        <w:tc>
          <w:tcPr>
            <w:tcW w:w="9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net assets acquired</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43,258</w:t>
            </w:r>
          </w:p>
        </w:tc>
      </w:tr>
    </w:tbl>
    <w:p>
      <w:pPr>
        <w:spacing w:after="0" w:line="238"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excess of the purchase price over the fair value of the net tangible and identifiable intangible assets acquired was recorded as goodwill, which is primarily attributed to the opportunities from the Company’s current and future offerings and the value of the assembled workforce. Goodwill recognized from the Acquisition is not deductible for tax purposes.</w:t>
      </w:r>
    </w:p>
    <w:p>
      <w:pPr>
        <w:spacing w:after="0" w:line="122"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Company identified an intangible asset of developed technology with a fair value of $4.5 million to be amortized over an estimated useful life of 3 years. Intangible assets are amortized over the estimated useful lives in a pattern that most closely matches the timing of their economic benefits.</w:t>
      </w:r>
    </w:p>
    <w:p>
      <w:pPr>
        <w:spacing w:after="0" w:line="108"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The estimated fair values of the developed technology was determined using the cost to recreate method under the cost approach. The valuation analysis involved estimating the current cost of replacing the asset with an asset of nearest equivalent utility, considering factors such as:</w:t>
      </w:r>
    </w:p>
    <w:p>
      <w:pPr>
        <w:spacing w:after="0" w:line="108" w:lineRule="exact"/>
        <w:rPr>
          <w:sz w:val="20"/>
          <w:szCs w:val="20"/>
          <w:color w:val="auto"/>
        </w:rPr>
      </w:pPr>
    </w:p>
    <w:p>
      <w:pPr>
        <w:ind w:left="660" w:hanging="328"/>
        <w:spacing w:after="0"/>
        <w:tabs>
          <w:tab w:leader="none" w:pos="66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cost per year associated with recreating the asset;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required to develop the asset;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 mark-up associated with the costs;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Opportunity cost (e.g. financing or earnings foregone) for the reproduction period.</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Goodwill and the acquired developed technology are recorded on the consolidated balance sheets as other assets as of December 31, 2024.</w:t>
      </w:r>
    </w:p>
    <w:p>
      <w:pPr>
        <w:spacing w:after="0" w:line="171"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The financial results of Salt Labs are included in the Company’s consolidated financial statements from the date of Acquisition. Separate operating results and pro forma results of operations for Salt Labs have not been presented as the effect of this Acquisition was not material to the Company’s financial results. Acquisition-related third-party transaction costs were $1.3 million for the year ended December 31, 2024 and are included in general and administrative expenses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240"/>
          </w:cols>
          <w:pgMar w:left="320" w:top="124" w:right="339" w:bottom="1440" w:gutter="0" w:footer="0" w:header="0"/>
        </w:sectPr>
      </w:pPr>
    </w:p>
    <w:bookmarkStart w:id="281" w:name="page282"/>
    <w:bookmarkEnd w:id="281"/>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ratios, or as noted)</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SIGNIFICANT BALANCE SHEET COMPONENTS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Accrued and Other Current Liabilities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2023 and 2024, accrued and other current liabilities consisted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0" w:type="dxa"/>
            <w:vAlign w:val="bottom"/>
          </w:tcPr>
          <w:p>
            <w:pPr>
              <w:spacing w:after="0"/>
              <w:rPr>
                <w:sz w:val="16"/>
                <w:szCs w:val="16"/>
                <w:color w:val="auto"/>
              </w:rPr>
            </w:pPr>
          </w:p>
        </w:tc>
        <w:tc>
          <w:tcPr>
            <w:tcW w:w="7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40" w:type="dxa"/>
            <w:vAlign w:val="bottom"/>
            <w:gridSpan w:val="6"/>
          </w:tcPr>
          <w:p>
            <w:pPr>
              <w:jc w:val="right"/>
              <w:ind w:right="1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3"/>
        </w:trPr>
        <w:tc>
          <w:tcPr>
            <w:tcW w:w="340" w:type="dxa"/>
            <w:vAlign w:val="bottom"/>
          </w:tcPr>
          <w:p>
            <w:pPr>
              <w:spacing w:after="0"/>
              <w:rPr>
                <w:sz w:val="2"/>
                <w:szCs w:val="2"/>
                <w:color w:val="auto"/>
              </w:rPr>
            </w:pPr>
          </w:p>
        </w:tc>
        <w:tc>
          <w:tcPr>
            <w:tcW w:w="7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40" w:type="dxa"/>
            <w:vAlign w:val="bottom"/>
            <w:tcBorders>
              <w:bottom w:val="single" w:sz="8" w:color="CCEEFF"/>
            </w:tcBorders>
          </w:tcPr>
          <w:p>
            <w:pPr>
              <w:spacing w:after="0"/>
              <w:rPr>
                <w:sz w:val="16"/>
                <w:szCs w:val="16"/>
                <w:color w:val="auto"/>
              </w:rPr>
            </w:pPr>
          </w:p>
        </w:tc>
        <w:tc>
          <w:tcPr>
            <w:tcW w:w="734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100,486</w:t>
            </w:r>
          </w:p>
        </w:tc>
        <w:tc>
          <w:tcPr>
            <w:tcW w:w="0" w:type="dxa"/>
            <w:vAlign w:val="bottom"/>
          </w:tcPr>
          <w:p>
            <w:pPr>
              <w:spacing w:after="0"/>
              <w:rPr>
                <w:sz w:val="1"/>
                <w:szCs w:val="1"/>
                <w:color w:val="auto"/>
              </w:rPr>
            </w:pPr>
          </w:p>
        </w:tc>
      </w:tr>
      <w:tr>
        <w:trPr>
          <w:trHeight w:val="230"/>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bonus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46,894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53,344</w:t>
            </w:r>
          </w:p>
        </w:tc>
        <w:tc>
          <w:tcPr>
            <w:tcW w:w="0" w:type="dxa"/>
            <w:vAlign w:val="bottom"/>
          </w:tcPr>
          <w:p>
            <w:pPr>
              <w:spacing w:after="0"/>
              <w:rPr>
                <w:sz w:val="1"/>
                <w:szCs w:val="1"/>
                <w:color w:val="auto"/>
              </w:rPr>
            </w:pPr>
          </w:p>
        </w:tc>
      </w:tr>
      <w:tr>
        <w:trPr>
          <w:trHeight w:val="229"/>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lease liability</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15,746</w:t>
            </w:r>
          </w:p>
        </w:tc>
        <w:tc>
          <w:tcPr>
            <w:tcW w:w="0" w:type="dxa"/>
            <w:vAlign w:val="bottom"/>
          </w:tcPr>
          <w:p>
            <w:pPr>
              <w:spacing w:after="0"/>
              <w:rPr>
                <w:sz w:val="1"/>
                <w:szCs w:val="1"/>
                <w:color w:val="auto"/>
              </w:rPr>
            </w:pPr>
          </w:p>
        </w:tc>
      </w:tr>
      <w:tr>
        <w:trPr>
          <w:trHeight w:val="229"/>
        </w:trPr>
        <w:tc>
          <w:tcPr>
            <w:tcW w:w="76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Accrued transaction dispute losses</w:t>
            </w:r>
            <w:r>
              <w:rPr>
                <w:rFonts w:ascii="Times New Roman" w:cs="Times New Roman" w:eastAsia="Times New Roman" w:hAnsi="Times New Roman"/>
                <w:sz w:val="23"/>
                <w:szCs w:val="23"/>
                <w:color w:val="auto"/>
                <w:vertAlign w:val="superscript"/>
              </w:rPr>
              <w:t>(i)</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7,759</w:t>
            </w:r>
          </w:p>
        </w:tc>
        <w:tc>
          <w:tcPr>
            <w:tcW w:w="0" w:type="dxa"/>
            <w:vAlign w:val="bottom"/>
          </w:tcPr>
          <w:p>
            <w:pPr>
              <w:spacing w:after="0"/>
              <w:rPr>
                <w:sz w:val="1"/>
                <w:szCs w:val="1"/>
                <w:color w:val="auto"/>
              </w:rPr>
            </w:pPr>
          </w:p>
        </w:tc>
      </w:tr>
      <w:tr>
        <w:trPr>
          <w:trHeight w:val="230"/>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Network incentive obligation</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27,147</w:t>
            </w:r>
          </w:p>
        </w:tc>
        <w:tc>
          <w:tcPr>
            <w:tcW w:w="0" w:type="dxa"/>
            <w:vAlign w:val="bottom"/>
          </w:tcPr>
          <w:p>
            <w:pPr>
              <w:spacing w:after="0"/>
              <w:rPr>
                <w:sz w:val="1"/>
                <w:szCs w:val="1"/>
                <w:color w:val="auto"/>
              </w:rPr>
            </w:pPr>
          </w:p>
        </w:tc>
      </w:tr>
      <w:tr>
        <w:trPr>
          <w:trHeight w:val="229"/>
        </w:trPr>
        <w:tc>
          <w:tcPr>
            <w:tcW w:w="7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19,756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20,112</w:t>
            </w:r>
          </w:p>
        </w:tc>
        <w:tc>
          <w:tcPr>
            <w:tcW w:w="0" w:type="dxa"/>
            <w:vAlign w:val="bottom"/>
          </w:tcPr>
          <w:p>
            <w:pPr>
              <w:spacing w:after="0"/>
              <w:rPr>
                <w:sz w:val="1"/>
                <w:szCs w:val="1"/>
                <w:color w:val="auto"/>
              </w:rPr>
            </w:pPr>
          </w:p>
        </w:tc>
      </w:tr>
      <w:tr>
        <w:trPr>
          <w:trHeight w:val="248"/>
        </w:trPr>
        <w:tc>
          <w:tcPr>
            <w:tcW w:w="76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224,594</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_________________</w:t>
            </w: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6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7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  The reconciliation of the beginning and ending accrued transaction dispute losses is as follows:</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6"/>
        </w:trPr>
        <w:tc>
          <w:tcPr>
            <w:tcW w:w="34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4"/>
          </w:tcPr>
          <w:p>
            <w:pPr>
              <w:jc w:val="center"/>
              <w:ind w:left="5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7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73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transaction dispute losses, beginning of the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4,385</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7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transaction dispute losses</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67,379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50,614</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Realized losses</w:t>
            </w:r>
          </w:p>
        </w:tc>
        <w:tc>
          <w:tcPr>
            <w:tcW w:w="1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(66,330)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(47,240)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7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transaction dispute losses, end of the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4,385</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7,759</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3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Non-Current Liabilities</w:t>
            </w: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340" w:type="dxa"/>
            <w:vAlign w:val="bottom"/>
          </w:tcPr>
          <w:p>
            <w:pPr>
              <w:spacing w:after="0"/>
              <w:rPr>
                <w:sz w:val="24"/>
                <w:szCs w:val="24"/>
                <w:color w:val="auto"/>
              </w:rPr>
            </w:pPr>
          </w:p>
        </w:tc>
        <w:tc>
          <w:tcPr>
            <w:tcW w:w="73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40" w:type="dxa"/>
            <w:vAlign w:val="bottom"/>
          </w:tcPr>
          <w:p>
            <w:pPr>
              <w:spacing w:after="0"/>
              <w:rPr>
                <w:sz w:val="24"/>
                <w:szCs w:val="24"/>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2023 and 2024, other non-current liabilities consisted of the following:</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40" w:type="dxa"/>
            <w:vAlign w:val="bottom"/>
          </w:tcPr>
          <w:p>
            <w:pPr>
              <w:spacing w:after="0"/>
              <w:rPr>
                <w:sz w:val="17"/>
                <w:szCs w:val="17"/>
                <w:color w:val="auto"/>
              </w:rPr>
            </w:pPr>
          </w:p>
        </w:tc>
        <w:tc>
          <w:tcPr>
            <w:tcW w:w="7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20" w:type="dxa"/>
            <w:vAlign w:val="bottom"/>
            <w:gridSpan w:val="7"/>
          </w:tcPr>
          <w:p>
            <w:pPr>
              <w:jc w:val="right"/>
              <w:ind w:right="1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3"/>
        </w:trPr>
        <w:tc>
          <w:tcPr>
            <w:tcW w:w="340" w:type="dxa"/>
            <w:vAlign w:val="bottom"/>
          </w:tcPr>
          <w:p>
            <w:pPr>
              <w:spacing w:after="0"/>
              <w:rPr>
                <w:sz w:val="2"/>
                <w:szCs w:val="2"/>
                <w:color w:val="auto"/>
              </w:rPr>
            </w:pPr>
          </w:p>
        </w:tc>
        <w:tc>
          <w:tcPr>
            <w:tcW w:w="7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40" w:type="dxa"/>
            <w:vAlign w:val="bottom"/>
            <w:tcBorders>
              <w:bottom w:val="single" w:sz="8" w:color="CCEEFF"/>
            </w:tcBorders>
          </w:tcPr>
          <w:p>
            <w:pPr>
              <w:spacing w:after="0"/>
              <w:rPr>
                <w:sz w:val="16"/>
                <w:szCs w:val="16"/>
                <w:color w:val="auto"/>
              </w:rPr>
            </w:pPr>
          </w:p>
        </w:tc>
        <w:tc>
          <w:tcPr>
            <w:tcW w:w="734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Network incentive obligation, net of current portion</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43,826</w:t>
            </w:r>
          </w:p>
        </w:tc>
        <w:tc>
          <w:tcPr>
            <w:tcW w:w="0" w:type="dxa"/>
            <w:vAlign w:val="bottom"/>
          </w:tcPr>
          <w:p>
            <w:pPr>
              <w:spacing w:after="0"/>
              <w:rPr>
                <w:sz w:val="1"/>
                <w:szCs w:val="1"/>
                <w:color w:val="auto"/>
              </w:rPr>
            </w:pPr>
          </w:p>
        </w:tc>
      </w:tr>
      <w:tr>
        <w:trPr>
          <w:trHeight w:val="230"/>
        </w:trPr>
        <w:tc>
          <w:tcPr>
            <w:tcW w:w="7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2,283</w:t>
            </w:r>
          </w:p>
        </w:tc>
        <w:tc>
          <w:tcPr>
            <w:tcW w:w="0" w:type="dxa"/>
            <w:vAlign w:val="bottom"/>
          </w:tcPr>
          <w:p>
            <w:pPr>
              <w:spacing w:after="0"/>
              <w:rPr>
                <w:sz w:val="1"/>
                <w:szCs w:val="1"/>
                <w:color w:val="auto"/>
              </w:rPr>
            </w:pPr>
          </w:p>
        </w:tc>
      </w:tr>
      <w:tr>
        <w:trPr>
          <w:trHeight w:val="248"/>
        </w:trPr>
        <w:tc>
          <w:tcPr>
            <w:tcW w:w="76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non-current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46,109</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7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INDEBTEDNESS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175"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On June 5, 2023 the Company entered into a revolving credit agreement (the “Credit Agreement”), which provides for a $125.0 million secured revolving credit facility maturing on June 5, 2028 (the “Credit Facility”). As of December 31, 2024, the Company had letters of credit outstanding under the Credit Facility in a face amount of $20.1 million, which resulted in remaining borrowing capacity under the Credit Facility of $104.9 million. As of December 31, 2024, no funds have been drawn under the Credit Facility. Debt issuance costs incurred for the Credit Agreement totaled $0.8 million, which is amortized to other income, net on the consolidated statements of operations on a straight-line basis over the term of the agreement.</w:t>
      </w:r>
    </w:p>
    <w:p>
      <w:pPr>
        <w:spacing w:after="0" w:line="129" w:lineRule="exact"/>
        <w:rPr>
          <w:sz w:val="20"/>
          <w:szCs w:val="20"/>
          <w:color w:val="auto"/>
        </w:rPr>
      </w:pPr>
    </w:p>
    <w:p>
      <w:pPr>
        <w:ind w:right="40" w:firstLine="324"/>
        <w:spacing w:after="0" w:line="281" w:lineRule="auto"/>
        <w:rPr>
          <w:sz w:val="20"/>
          <w:szCs w:val="20"/>
          <w:color w:val="auto"/>
        </w:rPr>
      </w:pPr>
      <w:r>
        <w:rPr>
          <w:rFonts w:ascii="Times New Roman" w:cs="Times New Roman" w:eastAsia="Times New Roman" w:hAnsi="Times New Roman"/>
          <w:sz w:val="17"/>
          <w:szCs w:val="17"/>
          <w:color w:val="auto"/>
        </w:rPr>
        <w:t>Loans under the Credit Facility bear interest at the Company’s option of (i) an annual rate based on the forward-looking term rate based on the Secured Overnight Financing Rate (“Term SOFR”), based on an interest period of one, three, or six months, plus a credit spread adjustment of 0.10%, subject to a floor of 1.00%, and plus an applicable margin of 1.00% or (ii) a base rate equal to the highest of (A) the prime rate, (B) the effective federal funds rate plus 0.50%, and (C) Term SOFR for a one-month interest period plus a credit spread adjustment of 0.10%, plus 1.00%, in each case, subject to a floor of 2.00%.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240"/>
          </w:cols>
          <w:pgMar w:left="320" w:top="124" w:right="339" w:bottom="1440" w:gutter="0" w:footer="0" w:header="0"/>
        </w:sectPr>
      </w:pPr>
    </w:p>
    <w:bookmarkStart w:id="282" w:name="page283"/>
    <w:bookmarkEnd w:id="282"/>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5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CHIME FINANCIAL, INC.</w:t>
      </w:r>
    </w:p>
    <w:p>
      <w:pPr>
        <w:spacing w:after="0" w:line="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ratios, or as noted)</w:t>
      </w:r>
    </w:p>
    <w:p>
      <w:pPr>
        <w:spacing w:after="0" w:line="26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Company is obligated to pay other customary fees for a credit facility of this size and type, including letter of credit fees, an upfront fee, and an unused commitment fee. The Credit Agreement also contains customary affirmative and negative covenants typical for a financing of this type that, among other things, limits the Company’s ability to incur additional indebtedness, incur liens, or make certain investments and acquisitions. As of December 31, 2024, the Company is in compliance with all covenants.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REDEEMABLE CONVERTIBLE PREFERRED STOCK, COMMON STOCK, AND STOCKHOLDERS’ DEFICIT</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is authorized to issue two classes of stock to be designated common stock and redeemable convertible preferred stock.</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75" w:lineRule="exact"/>
        <w:rPr>
          <w:sz w:val="20"/>
          <w:szCs w:val="20"/>
          <w:color w:val="auto"/>
        </w:rPr>
      </w:pPr>
    </w:p>
    <w:p>
      <w:pPr>
        <w:ind w:right="74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has authorized 416,094,141 shares of common stock, par value $0.0001. As of December 31, 2024, 66,950,736 of these shares are outstanding.</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rights, preferences, and privileges for Company’s common stockholders are as follows: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Voting Rights - General</w:t>
      </w:r>
    </w:p>
    <w:p>
      <w:pPr>
        <w:spacing w:after="0" w:line="171"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The holder of each share of common stock shall have the right to one vote for each such share. The holders of outstanding common stock shall be entitled to elect two members of the Board of Directors.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Dividend Rights</w:t>
      </w:r>
    </w:p>
    <w:p>
      <w:pPr>
        <w:spacing w:after="0" w:line="171"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Subject to the prior rights of holders of all classes of stock at the time outstanding having prior rights as to dividends, the holders of the common stock shall be entitled to receive, when, as and if declared by the Board of Directors, out of any assets of the Company, any dividends as may be declared from time to time by the Board of Directors.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Liquidation Rights</w:t>
      </w:r>
    </w:p>
    <w:p>
      <w:pPr>
        <w:spacing w:after="0" w:line="171" w:lineRule="exact"/>
        <w:rPr>
          <w:sz w:val="20"/>
          <w:szCs w:val="20"/>
          <w:color w:val="auto"/>
        </w:rPr>
      </w:pPr>
    </w:p>
    <w:p>
      <w:pPr>
        <w:ind w:right="780" w:firstLine="324"/>
        <w:spacing w:after="0" w:line="282" w:lineRule="auto"/>
        <w:rPr>
          <w:sz w:val="20"/>
          <w:szCs w:val="20"/>
          <w:color w:val="auto"/>
        </w:rPr>
      </w:pPr>
      <w:r>
        <w:rPr>
          <w:rFonts w:ascii="Times New Roman" w:cs="Times New Roman" w:eastAsia="Times New Roman" w:hAnsi="Times New Roman"/>
          <w:sz w:val="18"/>
          <w:szCs w:val="18"/>
          <w:color w:val="auto"/>
        </w:rPr>
        <w:t>Upon the liquidation, dissolution or winding up of the Company, the assets of the Company shall be distributed after payment of liquidation preferences on any outstanding shares of the redeemable convertible preferred stock.</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Redemption</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common stock is not redeemable at the option of the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180"/>
          </w:cols>
          <w:pgMar w:left="320" w:top="124" w:right="399" w:bottom="1440" w:gutter="0" w:footer="0" w:header="0"/>
        </w:sectPr>
      </w:pPr>
    </w:p>
    <w:bookmarkStart w:id="283" w:name="page284"/>
    <w:bookmarkEnd w:id="283"/>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ratios, or as noted)</w:t>
      </w:r>
    </w:p>
    <w:p>
      <w:pPr>
        <w:spacing w:after="0" w:line="2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Redeemable Convertible Preferred Stock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and 2024, redeemable convertible preferred stock comprised the following: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15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Shares Authorized</w:t>
            </w:r>
          </w:p>
        </w:tc>
        <w:tc>
          <w:tcPr>
            <w:tcW w:w="144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Shares Issued and</w:t>
            </w:r>
          </w:p>
        </w:tc>
        <w:tc>
          <w:tcPr>
            <w:tcW w:w="100" w:type="dxa"/>
            <w:vAlign w:val="bottom"/>
          </w:tcPr>
          <w:p>
            <w:pPr>
              <w:spacing w:after="0"/>
              <w:rPr>
                <w:sz w:val="13"/>
                <w:szCs w:val="13"/>
                <w:color w:val="auto"/>
              </w:rPr>
            </w:pPr>
          </w:p>
        </w:tc>
        <w:tc>
          <w:tcPr>
            <w:tcW w:w="15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 Liquidation</w:t>
            </w: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Aggregate Liquidation</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 Share Dividend</w:t>
            </w: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Value, Net of</w:t>
            </w:r>
          </w:p>
        </w:tc>
        <w:tc>
          <w:tcPr>
            <w:tcW w:w="0" w:type="dxa"/>
            <w:vAlign w:val="bottom"/>
          </w:tcPr>
          <w:p>
            <w:pPr>
              <w:spacing w:after="0"/>
              <w:rPr>
                <w:sz w:val="1"/>
                <w:szCs w:val="1"/>
                <w:color w:val="auto"/>
              </w:rPr>
            </w:pPr>
          </w:p>
        </w:tc>
      </w:tr>
      <w:tr>
        <w:trPr>
          <w:trHeight w:val="196"/>
        </w:trPr>
        <w:tc>
          <w:tcPr>
            <w:tcW w:w="2180" w:type="dxa"/>
            <w:vAlign w:val="bottom"/>
            <w:gridSpan w:val="2"/>
            <w:vMerge w:val="continue"/>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14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240" w:type="dxa"/>
            <w:vAlign w:val="bottom"/>
          </w:tcPr>
          <w:p>
            <w:pPr>
              <w:spacing w:after="0"/>
              <w:rPr>
                <w:sz w:val="17"/>
                <w:szCs w:val="17"/>
                <w:color w:val="auto"/>
              </w:rPr>
            </w:pPr>
          </w:p>
        </w:tc>
        <w:tc>
          <w:tcPr>
            <w:tcW w:w="118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 Annum</w:t>
            </w:r>
          </w:p>
        </w:tc>
        <w:tc>
          <w:tcPr>
            <w:tcW w:w="200" w:type="dxa"/>
            <w:vAlign w:val="bottom"/>
          </w:tcPr>
          <w:p>
            <w:pPr>
              <w:spacing w:after="0"/>
              <w:rPr>
                <w:sz w:val="17"/>
                <w:szCs w:val="17"/>
                <w:color w:val="auto"/>
              </w:rPr>
            </w:pPr>
          </w:p>
        </w:tc>
        <w:tc>
          <w:tcPr>
            <w:tcW w:w="124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Issuance Costs</w:t>
            </w:r>
          </w:p>
        </w:tc>
        <w:tc>
          <w:tcPr>
            <w:tcW w:w="0" w:type="dxa"/>
            <w:vAlign w:val="bottom"/>
          </w:tcPr>
          <w:p>
            <w:pPr>
              <w:spacing w:after="0"/>
              <w:rPr>
                <w:sz w:val="1"/>
                <w:szCs w:val="1"/>
                <w:color w:val="auto"/>
              </w:rPr>
            </w:pPr>
          </w:p>
        </w:tc>
      </w:tr>
      <w:tr>
        <w:trPr>
          <w:trHeight w:val="229"/>
        </w:trPr>
        <w:tc>
          <w:tcPr>
            <w:tcW w:w="2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Seed</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8,447,522</w:t>
            </w: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8,447,522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0.172000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0.01032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0" w:type="dxa"/>
            <w:vAlign w:val="bottom"/>
          </w:tcPr>
          <w:p>
            <w:pPr>
              <w:spacing w:after="0"/>
              <w:rPr>
                <w:sz w:val="1"/>
                <w:szCs w:val="1"/>
                <w:color w:val="auto"/>
              </w:rPr>
            </w:pPr>
          </w:p>
        </w:tc>
      </w:tr>
      <w:tr>
        <w:trPr>
          <w:trHeight w:val="230"/>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Series A</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22,879,812</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22,879,812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0.272000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0.01632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6,109</w:t>
            </w:r>
          </w:p>
        </w:tc>
        <w:tc>
          <w:tcPr>
            <w:tcW w:w="0" w:type="dxa"/>
            <w:vAlign w:val="bottom"/>
          </w:tcPr>
          <w:p>
            <w:pPr>
              <w:spacing w:after="0"/>
              <w:rPr>
                <w:sz w:val="1"/>
                <w:szCs w:val="1"/>
                <w:color w:val="auto"/>
              </w:rPr>
            </w:pPr>
          </w:p>
        </w:tc>
      </w:tr>
      <w:tr>
        <w:trPr>
          <w:trHeight w:val="229"/>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A-2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18,051,770</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18,051,770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0.259180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0.01555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4,604</w:t>
            </w:r>
          </w:p>
        </w:tc>
        <w:tc>
          <w:tcPr>
            <w:tcW w:w="0" w:type="dxa"/>
            <w:vAlign w:val="bottom"/>
          </w:tcPr>
          <w:p>
            <w:pPr>
              <w:spacing w:after="0"/>
              <w:rPr>
                <w:sz w:val="1"/>
                <w:szCs w:val="1"/>
                <w:color w:val="auto"/>
              </w:rPr>
            </w:pPr>
          </w:p>
        </w:tc>
      </w:tr>
      <w:tr>
        <w:trPr>
          <w:trHeight w:val="230"/>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Series B</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28,863,992</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28,863,992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0.470340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0.02822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12,615</w:t>
            </w:r>
          </w:p>
        </w:tc>
        <w:tc>
          <w:tcPr>
            <w:tcW w:w="0" w:type="dxa"/>
            <w:vAlign w:val="bottom"/>
          </w:tcPr>
          <w:p>
            <w:pPr>
              <w:spacing w:after="0"/>
              <w:rPr>
                <w:sz w:val="1"/>
                <w:szCs w:val="1"/>
                <w:color w:val="auto"/>
              </w:rPr>
            </w:pPr>
          </w:p>
        </w:tc>
      </w:tr>
      <w:tr>
        <w:trPr>
          <w:trHeight w:val="229"/>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C</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31,700,221</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31,700,221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2.125790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0.17006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67,266</w:t>
            </w:r>
          </w:p>
        </w:tc>
        <w:tc>
          <w:tcPr>
            <w:tcW w:w="0" w:type="dxa"/>
            <w:vAlign w:val="bottom"/>
          </w:tcPr>
          <w:p>
            <w:pPr>
              <w:spacing w:after="0"/>
              <w:rPr>
                <w:sz w:val="1"/>
                <w:szCs w:val="1"/>
                <w:color w:val="auto"/>
              </w:rPr>
            </w:pPr>
          </w:p>
        </w:tc>
      </w:tr>
      <w:tr>
        <w:trPr>
          <w:trHeight w:val="229"/>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Series C-1</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770,230</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770,230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2.125790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0.17006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0"/>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76,687,100</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76,687,100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5.224700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400,667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0.41798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400,420</w:t>
            </w:r>
          </w:p>
        </w:tc>
        <w:tc>
          <w:tcPr>
            <w:tcW w:w="0" w:type="dxa"/>
            <w:vAlign w:val="bottom"/>
          </w:tcPr>
          <w:p>
            <w:pPr>
              <w:spacing w:after="0"/>
              <w:rPr>
                <w:sz w:val="1"/>
                <w:szCs w:val="1"/>
                <w:color w:val="auto"/>
              </w:rPr>
            </w:pPr>
          </w:p>
        </w:tc>
      </w:tr>
      <w:tr>
        <w:trPr>
          <w:trHeight w:val="229"/>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Series 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40,551,970</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40,551,970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17.261800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1.38090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699,674</w:t>
            </w:r>
          </w:p>
        </w:tc>
        <w:tc>
          <w:tcPr>
            <w:tcW w:w="0" w:type="dxa"/>
            <w:vAlign w:val="bottom"/>
          </w:tcPr>
          <w:p>
            <w:pPr>
              <w:spacing w:after="0"/>
              <w:rPr>
                <w:sz w:val="1"/>
                <w:szCs w:val="1"/>
                <w:color w:val="auto"/>
              </w:rPr>
            </w:pPr>
          </w:p>
        </w:tc>
      </w:tr>
      <w:tr>
        <w:trPr>
          <w:trHeight w:val="229"/>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F</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14,662,469</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14,513,241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40.920800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593,893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3.27370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593,608</w:t>
            </w:r>
          </w:p>
        </w:tc>
        <w:tc>
          <w:tcPr>
            <w:tcW w:w="0" w:type="dxa"/>
            <w:vAlign w:val="bottom"/>
          </w:tcPr>
          <w:p>
            <w:pPr>
              <w:spacing w:after="0"/>
              <w:rPr>
                <w:sz w:val="1"/>
                <w:szCs w:val="1"/>
                <w:color w:val="auto"/>
              </w:rPr>
            </w:pPr>
          </w:p>
        </w:tc>
      </w:tr>
      <w:tr>
        <w:trPr>
          <w:trHeight w:val="230"/>
        </w:trPr>
        <w:tc>
          <w:tcPr>
            <w:tcW w:w="2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Series G</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15,998,308</w:t>
            </w:r>
          </w:p>
        </w:tc>
        <w:tc>
          <w:tcPr>
            <w:tcW w:w="8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15,998,298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69.069800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1,104,999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5.52560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1,104,352</w:t>
            </w:r>
          </w:p>
        </w:tc>
        <w:tc>
          <w:tcPr>
            <w:tcW w:w="0" w:type="dxa"/>
            <w:vAlign w:val="bottom"/>
          </w:tcPr>
          <w:p>
            <w:pPr>
              <w:spacing w:after="0"/>
              <w:rPr>
                <w:sz w:val="1"/>
                <w:szCs w:val="1"/>
                <w:color w:val="auto"/>
              </w:rPr>
            </w:pPr>
          </w:p>
        </w:tc>
      </w:tr>
      <w:tr>
        <w:trPr>
          <w:trHeight w:val="248"/>
        </w:trPr>
        <w:tc>
          <w:tcPr>
            <w:tcW w:w="2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258,613,394</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258,464,156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2,894,515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2,890,121</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rights, preferences, and privileges for Company’s redeemable convertible preferred stockholders are as follows: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Voting Rights - General</w:t>
      </w:r>
    </w:p>
    <w:p>
      <w:pPr>
        <w:spacing w:after="0" w:line="171"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holder of each share of redeemable convertible preferred stock shall have the right to one vote for each share of common stock into which such redeemable convertible preferred stock could then be converted into common stock and with respect to such vote, such holder shall have full voting rights and powers equal to the voting rights and powers of the holders of common stock.</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Voting for the Election of Directors</w:t>
      </w:r>
    </w:p>
    <w:p>
      <w:pPr>
        <w:spacing w:after="0" w:line="171" w:lineRule="exact"/>
        <w:rPr>
          <w:sz w:val="20"/>
          <w:szCs w:val="20"/>
          <w:color w:val="auto"/>
        </w:rPr>
      </w:pPr>
    </w:p>
    <w:p>
      <w:pPr>
        <w:ind w:right="320" w:firstLine="324"/>
        <w:spacing w:after="0" w:line="258" w:lineRule="auto"/>
        <w:rPr>
          <w:sz w:val="20"/>
          <w:szCs w:val="20"/>
          <w:color w:val="auto"/>
        </w:rPr>
      </w:pPr>
      <w:r>
        <w:rPr>
          <w:rFonts w:ascii="Times New Roman" w:cs="Times New Roman" w:eastAsia="Times New Roman" w:hAnsi="Times New Roman"/>
          <w:sz w:val="18"/>
          <w:szCs w:val="18"/>
          <w:color w:val="auto"/>
        </w:rPr>
        <w:t>The holders of Series A and Series C redeemable convertible preferred stock, voting as separate series, are each entitled to elect one member of the Board of Directors. The holders of redeemable convertible preferred stock and common stock, voting as separate classes, and solely with respect to the redeemable convertible preferred stock, voting together as a single class and not as separate series (with Series E, F, and G redeemable convertible preferred stock subject to the voting restrictions described below), and on an as-converted to common stock basis are entitled to elect any remaining members of the Board of Directors.</w:t>
      </w:r>
    </w:p>
    <w:p>
      <w:pPr>
        <w:spacing w:after="0" w:line="129"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The holders of the Series E, Series F, and Series G redeemable convertible preferred stock have no voting rights on any matter relating to the election of the members of the Board of Directors. This restriction shall not apply upon the earlier to occur of (i) the consummation of the Company’s first underwritten public offering of its common stock, (ii) a direct listing, or (iii) a liquidation event, except, in each case, to the extent that any governmental filings would be triggered by such cessation; such cessation would not take effect until the parties have submitted any required filings (to be made at the discretion of each holder of Series E, F and G redeemable convertible preferred stock) and observed any required waiting periods.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Dividend Rights</w:t>
      </w:r>
    </w:p>
    <w:p>
      <w:pPr>
        <w:spacing w:after="0" w:line="171"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holders of shares of redeemable convertible preferred stock are entitled to receive dividends, out of any assets legally available prior and in preference to any declaration or payment of any dividend on the common stock of the Company, at the applicable dividend rate as and if declared by the Board of Directors. Such dividends are not cumulative and accrue dividends on a pari passu basis and in preference to any dividends on the common stock. As of December 31, 2023 and 2024, no dividends have been declared, or paid, to any redeemable convertible preferred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240"/>
          </w:cols>
          <w:pgMar w:left="320" w:top="124" w:right="339" w:bottom="1440" w:gutter="0" w:footer="0" w:header="0"/>
        </w:sectPr>
      </w:pPr>
    </w:p>
    <w:bookmarkStart w:id="284" w:name="page285"/>
    <w:bookmarkEnd w:id="284"/>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ratios, or as noted)</w:t>
      </w:r>
    </w:p>
    <w:p>
      <w:pPr>
        <w:spacing w:after="0" w:line="263" w:lineRule="exact"/>
        <w:rPr>
          <w:sz w:val="20"/>
          <w:szCs w:val="20"/>
          <w:color w:val="auto"/>
        </w:rPr>
      </w:pPr>
    </w:p>
    <w:p>
      <w:pPr>
        <w:ind w:right="380" w:firstLine="324"/>
        <w:spacing w:after="0" w:line="266" w:lineRule="auto"/>
        <w:rPr>
          <w:sz w:val="20"/>
          <w:szCs w:val="20"/>
          <w:color w:val="auto"/>
        </w:rPr>
      </w:pPr>
      <w:r>
        <w:rPr>
          <w:rFonts w:ascii="Times New Roman" w:cs="Times New Roman" w:eastAsia="Times New Roman" w:hAnsi="Times New Roman"/>
          <w:sz w:val="18"/>
          <w:szCs w:val="18"/>
          <w:color w:val="auto"/>
        </w:rPr>
        <w:t>Any additional dividends or distributions shall be distributed among all holders of common stock and redeemable convertible preferred stock in proportion to the number of shares of common stock that would be held by each such holder if all shares of redeemable convertible preferred stock are converted to common stock at the then effective conversion rate.</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Liquidation Rights</w:t>
      </w:r>
    </w:p>
    <w:p>
      <w:pPr>
        <w:spacing w:after="0" w:line="17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case of any voluntary or involuntary liquidation, dissolution, or winding up of the Company, all the assets available shall be distributed on a pari passu basis with each other series of redeemable convertible preferred stock, prior and in preference to any distribution of the proceeds to the holders of Common Stock, in an amount per share equal to the sum of the applicable Original Issue Price for such series of redeemable convertible preferred stock as follows: $0.172000 per share for each share of Series Seed redeemable convertible preferred stock, $0.272000 per share for each share of Series A redeemable convertible preferred stock, $0.259180 per share for each share of Series A-2 redeemable convertible preferred stock, $0.470340 per share for each share of Series B redeemable convertible preferred stock, $2.125790 per share for each share of Series C redeemable convertible preferred stock, $2.125790 per share for each share of Series C-1 redeemable convertible preferred stock, $5.224700 per share for each share of Series D redeemable convertible preferred stock, $17.261800 per share for each share of Series E redeemable convertible preferred stock, $40.920800 per share for each share of Series F redeemable convertible preferred stock, and $69.069800 per share for each share of Series G redeemable convertible preferred stock (each as may be adjusted for any stock splits, stock dividends, combinations, subdivisions, recapitalizations, or the like with respect to such series of redeemable convertible preferred stock plus in each case declared but unpaid dividends). If the available funds are insufficient to permit the payment to such holders of the full aforesaid preferential amounts, then the entire funds available for distribution shall be distributed ratably among the holders of the redeemable convertible preferred stock in proportion to the full preferential amount that each such holder is otherwise entitled to receive.</w:t>
      </w:r>
    </w:p>
    <w:p>
      <w:pPr>
        <w:spacing w:after="0" w:line="133"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Upon completion of this distribution, all of the remaining proceeds of such liquidation event available for distribution to stockholders shall be distributed among the holders of common stock pro rata based on the number of shares of common stock held by each such holder.</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Redemption</w:t>
      </w:r>
    </w:p>
    <w:p>
      <w:pPr>
        <w:spacing w:after="0" w:line="171"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redeemable convertible preferred stock is not redeemable at the option of the holder. The redeemable convertible preferred stock has deemed liquidation provisions which require the shares to be redeemed upon a change in control or other deemed liquidation events. Although the redeemable convertible preferred stock is not mandatorily or currently redeemable, a deemed liquidation event would constitute a redemption event outside the Company’s control. As a result of these liquidation features, all shares of redeemable convertible preferred stock have been classified outside of stockholders’ deficit on the consolidated balance sheets at their respective issuance price less issuance costs on the dates of issuance. Given the Company’s performance and financial condition, the Company currently does not believe a liquidation event is probable, thus the carrying values of the Company’s redeemable convertible preferred stock have not been accreted to their redemption values. Subsequent adjustments of the carrying values to redemption values will be made only if and when it becomes probable the shares will become redeemable.</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Conversion</w:t>
      </w:r>
    </w:p>
    <w:p>
      <w:pPr>
        <w:spacing w:after="0" w:line="169" w:lineRule="exact"/>
        <w:rPr>
          <w:sz w:val="20"/>
          <w:szCs w:val="20"/>
          <w:color w:val="auto"/>
        </w:rPr>
      </w:pPr>
    </w:p>
    <w:p>
      <w:pPr>
        <w:ind w:left="660" w:right="120" w:hanging="328"/>
        <w:spacing w:after="0" w:line="257" w:lineRule="auto"/>
        <w:tabs>
          <w:tab w:leader="none" w:pos="655"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Optional Conversion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Each share of redeemable convertible preferred stock shall be convertible at the option of the holder, at any time into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of fully paid and non-assessable shares of common stock as determined by dividing the applicable Original Issue Price for such series by the applicable conversion price for such series. The conversion price of redeemable convertible preferred stock may be adjusted for certain dilutive issuance events, stock splits, combinations, subdivisions, recapitalizations, or the like. The initial conversion price per share for each series of redeemable convertible preferred stock shall be the Original Issue Price applicable to such series, except for the Conversion Price per share for the Series A redeemable convertible preferred stock, which shall be $0.26960.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220"/>
          </w:cols>
          <w:pgMar w:left="320" w:top="124" w:right="359" w:bottom="1440" w:gutter="0" w:footer="0" w:header="0"/>
        </w:sectPr>
      </w:pPr>
    </w:p>
    <w:bookmarkStart w:id="285" w:name="page286"/>
    <w:bookmarkEnd w:id="285"/>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ratios, or as noted)</w:t>
      </w:r>
    </w:p>
    <w:p>
      <w:pPr>
        <w:spacing w:after="0" w:line="261" w:lineRule="exact"/>
        <w:rPr>
          <w:sz w:val="20"/>
          <w:szCs w:val="20"/>
          <w:color w:val="auto"/>
        </w:rPr>
      </w:pPr>
    </w:p>
    <w:p>
      <w:pPr>
        <w:ind w:left="660" w:right="40" w:hanging="328"/>
        <w:spacing w:after="0" w:line="258" w:lineRule="auto"/>
        <w:tabs>
          <w:tab w:leader="none" w:pos="655"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Automatic Conversion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Each share of redeemable convertible preferred stock shall automatically be converted into shares of common stock,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earlier of (A) the consummation of the Company’s first underwritten public offering of its common stock with not less than $17.26180 per share (as adjusted for any stock splits, stock dividends, combinations, subdivisions, recapitalizations, or the like) and net proceeds to the Company of more than $200 million in the aggregate, (B) a direct listing or, (C) the election of the majority of holders of the then outstanding shares of redeemable convertible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-692785</wp:posOffset>
            </wp:positionV>
            <wp:extent cx="68580" cy="1289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128905"/>
                    </a:xfrm>
                    <a:prstGeom prst="rect">
                      <a:avLst/>
                    </a:prstGeom>
                    <a:noFill/>
                  </pic:spPr>
                </pic:pic>
              </a:graphicData>
            </a:graphic>
          </wp:anchor>
        </w:drawing>
      </w:r>
    </w:p>
    <w:p>
      <w:pPr>
        <w:spacing w:after="0" w:line="1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175"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 Company has issued warrants to purchase its common stock to non-employee service providers and others in connection with debt financings, credit facilities, and promissory notes. The Company recorded the warrants within stockholders’ equity.</w:t>
      </w:r>
    </w:p>
    <w:p>
      <w:pPr>
        <w:spacing w:after="0" w:line="108"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2023 and 2024, there were 787,840 warrants outstanding and exercisable with a weighted average exercise price of $0.10. The weighted average remaining life as of December 31, 2023 and 2024 was 3.03 and 2.03 years. There was no warrant activity in the year ended December 31,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STOCK-BASED COMPENSATION</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2012 Stock Option and Grant Plan</w:t>
      </w:r>
    </w:p>
    <w:p>
      <w:pPr>
        <w:spacing w:after="0" w:line="1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2012 Stock Option and Grant Plan, as amended (the “2012 Plan”) was adopted, approved, and became effective in August 2012. Under the 2012 Plan, the Company is authorized to grant to eligible participants incentive stock options (“ISOs”), non-qualified stock options (“NSOs”), RSAs, unrestricted stock awards, RSUs (including PSUs). The number of shares of common stock available for issuance under the 2012 Plan can only be increased by an amount determined by the Board of Directors. ISOs may only be granted to employees of the Company. All other awards may be granted to officers, employees, directors, consultants, and other key persons of the Company.</w:t>
      </w:r>
    </w:p>
    <w:p>
      <w:pPr>
        <w:spacing w:after="0" w:line="129"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ISOs, NSOs, RSAs, unrestricted stock awards, and RSUs may be granted with vesting terms as determined by the Board of Directors, or a committee thereof, and expire no more than 10 years after the date of grant or earlier if employment or service is terminated. As of December 31, 2023 and 2024, the Company has stock options (ISOs and NSOs), RSAs, RSUs and PSUs issued under the 2012 Plan, as further described below.</w:t>
      </w:r>
    </w:p>
    <w:p>
      <w:pPr>
        <w:spacing w:after="0" w:line="122"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2024, the 2012 Plan authorized 141,399,801 shares of common stock to be reserved for issuance on the exercise or settlement of equity awards, of which 186,299 remained available for issuance.</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75"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Company awards stock options with service-based vesting conditions to employees, generally vesting over a four-year period and contingent upon continued employment on each vesting date (“service-based stock options). In 2024, the Company also granted stock options with performance-based vesting conditions to certain executives.</w:t>
      </w:r>
    </w:p>
    <w:p>
      <w:pPr>
        <w:spacing w:after="0" w:line="122"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Stock options are granted with an exercise price of at least 100% of the fair market value of the Company’s stock at the date of grant and are exercisable when vested. In the event that an employee owns greater than 10% of the total combined voting power of all classes of stock of the Company, the exercise price must not be less than 110% of the fair market value of the Company’s stock at the date of grant.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stock options granted were estimated using the following weighted average assumptions:</w:t>
      </w:r>
    </w:p>
    <w:p>
      <w:pPr>
        <w:spacing w:after="0" w:line="205" w:lineRule="exact"/>
        <w:rPr>
          <w:sz w:val="20"/>
          <w:szCs w:val="20"/>
          <w:color w:val="auto"/>
        </w:rPr>
      </w:pPr>
    </w:p>
    <w:p>
      <w:pPr>
        <w:jc w:val="center"/>
        <w:ind w:left="776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jc w:val="center"/>
        <w:ind w:left="77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780" w:type="dxa"/>
            <w:vAlign w:val="bottom"/>
            <w:tcBorders>
              <w:bottom w:val="single" w:sz="8" w:color="CCEEFF"/>
            </w:tcBorders>
          </w:tcPr>
          <w:p>
            <w:pPr>
              <w:spacing w:after="0"/>
              <w:rPr>
                <w:sz w:val="17"/>
                <w:szCs w:val="17"/>
                <w:color w:val="auto"/>
              </w:rPr>
            </w:pPr>
          </w:p>
        </w:tc>
        <w:tc>
          <w:tcPr>
            <w:tcW w:w="1680" w:type="dxa"/>
            <w:vAlign w:val="bottom"/>
            <w:tcBorders>
              <w:top w:val="single" w:sz="8" w:color="auto"/>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1680" w:type="dxa"/>
            <w:vAlign w:val="bottom"/>
            <w:tcBorders>
              <w:top w:val="single" w:sz="8" w:color="auto"/>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 years</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 years</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56.26 %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56.88 %</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4.22 %</w:t>
            </w:r>
          </w:p>
        </w:tc>
      </w:tr>
      <w:tr>
        <w:trPr>
          <w:trHeight w:val="234"/>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dividends</w:t>
            </w: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240"/>
          </w:cols>
          <w:pgMar w:left="320" w:top="124" w:right="339" w:bottom="1440" w:gutter="0" w:footer="0" w:header="0"/>
        </w:sectPr>
      </w:pPr>
    </w:p>
    <w:bookmarkStart w:id="286" w:name="page287"/>
    <w:bookmarkEnd w:id="286"/>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ratios, or as noted)</w:t>
      </w:r>
    </w:p>
    <w:p>
      <w:pPr>
        <w:spacing w:after="0" w:line="26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 value of stock options granted was $10.00 and $11.90 for the years ended December 31, 2023 and 2024. No stock options were granted during 2022.</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Service-based stock options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the Company’s service-based stock option activity for the year ended December 31, 2024 is as follows:</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16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 Stock</w:t>
            </w:r>
          </w:p>
        </w:tc>
        <w:tc>
          <w:tcPr>
            <w:tcW w:w="160" w:type="dxa"/>
            <w:vAlign w:val="bottom"/>
          </w:tcPr>
          <w:p>
            <w:pPr>
              <w:spacing w:after="0"/>
              <w:rPr>
                <w:sz w:val="13"/>
                <w:szCs w:val="13"/>
                <w:color w:val="auto"/>
              </w:rPr>
            </w:pPr>
          </w:p>
        </w:tc>
        <w:tc>
          <w:tcPr>
            <w:tcW w:w="14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40" w:type="dxa"/>
            <w:vAlign w:val="bottom"/>
          </w:tcPr>
          <w:p>
            <w:pPr>
              <w:spacing w:after="0"/>
              <w:rPr>
                <w:sz w:val="13"/>
                <w:szCs w:val="13"/>
                <w:color w:val="auto"/>
              </w:rPr>
            </w:pPr>
          </w:p>
        </w:tc>
        <w:tc>
          <w:tcPr>
            <w:tcW w:w="140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6"/>
        </w:trPr>
        <w:tc>
          <w:tcPr>
            <w:tcW w:w="472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6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4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720" w:type="dxa"/>
            <w:vAlign w:val="bottom"/>
          </w:tcPr>
          <w:p>
            <w:pPr>
              <w:spacing w:after="0"/>
              <w:rPr>
                <w:sz w:val="17"/>
                <w:szCs w:val="17"/>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 ($)</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40" w:type="dxa"/>
            <w:vAlign w:val="bottom"/>
          </w:tcPr>
          <w:p>
            <w:pPr>
              <w:spacing w:after="0"/>
              <w:rPr>
                <w:sz w:val="17"/>
                <w:szCs w:val="17"/>
                <w:color w:val="auto"/>
              </w:rPr>
            </w:pPr>
          </w:p>
        </w:tc>
        <w:tc>
          <w:tcPr>
            <w:tcW w:w="140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8"/>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29,776,972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368,998</w:t>
            </w:r>
          </w:p>
        </w:tc>
        <w:tc>
          <w:tcPr>
            <w:tcW w:w="0" w:type="dxa"/>
            <w:vAlign w:val="bottom"/>
          </w:tcPr>
          <w:p>
            <w:pPr>
              <w:spacing w:after="0"/>
              <w:rPr>
                <w:sz w:val="1"/>
                <w:szCs w:val="1"/>
                <w:color w:val="auto"/>
              </w:rPr>
            </w:pPr>
          </w:p>
        </w:tc>
      </w:tr>
      <w:tr>
        <w:trPr>
          <w:trHeight w:val="223"/>
        </w:trPr>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2,852,000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(952,866)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Forfeited/Cancelled</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(213,091)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31,463,015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567,641</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Vested and expected to vest as of December 31, 2024</w:t>
            </w:r>
          </w:p>
        </w:tc>
        <w:tc>
          <w:tcPr>
            <w:tcW w:w="15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31,463,015</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6.87</w:t>
            </w:r>
          </w:p>
        </w:tc>
        <w:tc>
          <w:tcPr>
            <w:tcW w:w="100" w:type="dxa"/>
            <w:vAlign w:val="bottom"/>
          </w:tcPr>
          <w:p>
            <w:pPr>
              <w:spacing w:after="0"/>
              <w:rPr>
                <w:sz w:val="17"/>
                <w:szCs w:val="17"/>
                <w:color w:val="auto"/>
              </w:rPr>
            </w:pPr>
          </w:p>
        </w:tc>
        <w:tc>
          <w:tcPr>
            <w:tcW w:w="15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5.42</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567,641</w:t>
            </w:r>
          </w:p>
        </w:tc>
        <w:tc>
          <w:tcPr>
            <w:tcW w:w="0" w:type="dxa"/>
            <w:vAlign w:val="bottom"/>
          </w:tcPr>
          <w:p>
            <w:pPr>
              <w:spacing w:after="0"/>
              <w:rPr>
                <w:sz w:val="1"/>
                <w:szCs w:val="1"/>
                <w:color w:val="auto"/>
              </w:rPr>
            </w:pP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as of December 31, 2024</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25,525,994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517,946</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540" w:firstLine="324"/>
        <w:spacing w:after="0" w:line="266" w:lineRule="auto"/>
        <w:rPr>
          <w:sz w:val="20"/>
          <w:szCs w:val="20"/>
          <w:color w:val="auto"/>
        </w:rPr>
      </w:pPr>
      <w:r>
        <w:rPr>
          <w:rFonts w:ascii="Times New Roman" w:cs="Times New Roman" w:eastAsia="Times New Roman" w:hAnsi="Times New Roman"/>
          <w:sz w:val="18"/>
          <w:szCs w:val="18"/>
          <w:color w:val="auto"/>
        </w:rPr>
        <w:t>Aggregate intrinsic value represents the difference between the Company’s estimated fair value of its common stock and the exercise price of outstanding options with an exercise price below such estimated fair value. Aggregate intrinsic value for stock options exercised for the years ended December 31, 2022, 2023, and 2024 was $38.0 million, $25.3 million, and $20.1 million .</w:t>
      </w:r>
    </w:p>
    <w:p>
      <w:pPr>
        <w:spacing w:after="0" w:line="122"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had $62.7 million of unrecognized employee compensation cost related to unvested service-based stock options that it expects to recognize over a weighted average period of 2.85 years.</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Performance stock options</w:t>
      </w:r>
    </w:p>
    <w:p>
      <w:pPr>
        <w:spacing w:after="0" w:line="173"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In 2024, the Company granted stock options to certain executives, subject to both a service-based vesting condition and a performance-based vesting condition, each of which must be satisfied in order for an option share to vest. The service-based vesting schedule is satisfied in 48 equal monthly installments over four years following the vesting commencement date. The performance conditions are satisfied upon the achievement of specified revenue and other financial metric targets for the 2024 fiscal year as compared to 2023.</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performance stock option activity for the year ended December 31, 2024:</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16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 Stock</w:t>
            </w:r>
          </w:p>
        </w:tc>
        <w:tc>
          <w:tcPr>
            <w:tcW w:w="160" w:type="dxa"/>
            <w:vAlign w:val="bottom"/>
          </w:tcPr>
          <w:p>
            <w:pPr>
              <w:spacing w:after="0"/>
              <w:rPr>
                <w:sz w:val="13"/>
                <w:szCs w:val="13"/>
                <w:color w:val="auto"/>
              </w:rPr>
            </w:pPr>
          </w:p>
        </w:tc>
        <w:tc>
          <w:tcPr>
            <w:tcW w:w="14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40" w:type="dxa"/>
            <w:vAlign w:val="bottom"/>
          </w:tcPr>
          <w:p>
            <w:pPr>
              <w:spacing w:after="0"/>
              <w:rPr>
                <w:sz w:val="13"/>
                <w:szCs w:val="13"/>
                <w:color w:val="auto"/>
              </w:rPr>
            </w:pPr>
          </w:p>
        </w:tc>
        <w:tc>
          <w:tcPr>
            <w:tcW w:w="1400" w:type="dxa"/>
            <w:vAlign w:val="bottom"/>
            <w:vMerge w:val="restart"/>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6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4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720" w:type="dxa"/>
            <w:vAlign w:val="bottom"/>
          </w:tcPr>
          <w:p>
            <w:pPr>
              <w:spacing w:after="0"/>
              <w:rPr>
                <w:sz w:val="17"/>
                <w:szCs w:val="17"/>
                <w:color w:val="auto"/>
              </w:rPr>
            </w:pP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 ($)</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40" w:type="dxa"/>
            <w:vAlign w:val="bottom"/>
          </w:tcPr>
          <w:p>
            <w:pPr>
              <w:spacing w:after="0"/>
              <w:rPr>
                <w:sz w:val="17"/>
                <w:szCs w:val="17"/>
                <w:color w:val="auto"/>
              </w:rPr>
            </w:pPr>
          </w:p>
        </w:tc>
        <w:tc>
          <w:tcPr>
            <w:tcW w:w="140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9"/>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center"/>
              <w:ind w:left="1139"/>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Forfeited/Cancelled</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center"/>
              <w:ind w:left="1119"/>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9,071</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Vested and expected to vest as of December 31, 2024</w:t>
            </w:r>
          </w:p>
        </w:tc>
        <w:tc>
          <w:tcPr>
            <w:tcW w:w="15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400,000</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17.35</w:t>
            </w:r>
          </w:p>
        </w:tc>
        <w:tc>
          <w:tcPr>
            <w:tcW w:w="100" w:type="dxa"/>
            <w:vAlign w:val="bottom"/>
          </w:tcPr>
          <w:p>
            <w:pPr>
              <w:spacing w:after="0"/>
              <w:rPr>
                <w:sz w:val="17"/>
                <w:szCs w:val="17"/>
                <w:color w:val="auto"/>
              </w:rPr>
            </w:pPr>
          </w:p>
        </w:tc>
        <w:tc>
          <w:tcPr>
            <w:tcW w:w="1560" w:type="dxa"/>
            <w:vAlign w:val="bottom"/>
            <w:tcBorders>
              <w:bottom w:val="single" w:sz="8" w:color="auto"/>
            </w:tcBorders>
          </w:tcPr>
          <w:p>
            <w:pPr>
              <w:jc w:val="center"/>
              <w:ind w:left="1119"/>
              <w:spacing w:after="0" w:line="203" w:lineRule="exact"/>
              <w:rPr>
                <w:sz w:val="20"/>
                <w:szCs w:val="20"/>
                <w:color w:val="auto"/>
              </w:rPr>
            </w:pPr>
            <w:r>
              <w:rPr>
                <w:rFonts w:ascii="Times New Roman" w:cs="Times New Roman" w:eastAsia="Times New Roman" w:hAnsi="Times New Roman"/>
                <w:sz w:val="18"/>
                <w:szCs w:val="18"/>
                <w:color w:val="auto"/>
              </w:rPr>
              <w:t>9.24</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3,024</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performance stock options were exercisable as of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220"/>
          </w:cols>
          <w:pgMar w:left="320" w:top="124" w:right="359" w:bottom="1440" w:gutter="0" w:footer="0" w:header="0"/>
        </w:sectPr>
      </w:pPr>
    </w:p>
    <w:bookmarkStart w:id="287" w:name="page288"/>
    <w:bookmarkEnd w:id="287"/>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ratios, or as noted)</w:t>
      </w:r>
    </w:p>
    <w:p>
      <w:pPr>
        <w:spacing w:after="0" w:line="263"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had $2.2 million of unrecognized employee compensation cost related to performance stock options expected to vest that it expects to recognize over a weighted average period of 1.85 years.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RSAs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granted service-based and performance-based RSAs to certain continuing employees in connection with the Acquisition.</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Service-Based RSAs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the Company’s service-based RSA activity for the year ended December 31, 2024 is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156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Number of Shares of</w:t>
            </w:r>
          </w:p>
        </w:tc>
        <w:tc>
          <w:tcPr>
            <w:tcW w:w="100" w:type="dxa"/>
            <w:vAlign w:val="bottom"/>
          </w:tcPr>
          <w:p>
            <w:pPr>
              <w:spacing w:after="0"/>
              <w:rPr>
                <w:sz w:val="13"/>
                <w:szCs w:val="13"/>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r>
      <w:tr>
        <w:trPr>
          <w:trHeight w:val="195"/>
        </w:trPr>
        <w:tc>
          <w:tcPr>
            <w:tcW w:w="80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date fair value per share</w:t>
            </w:r>
          </w:p>
        </w:tc>
      </w:tr>
      <w:tr>
        <w:trPr>
          <w:trHeight w:val="22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933,111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w:t>
            </w:r>
          </w:p>
        </w:tc>
      </w:tr>
      <w:tr>
        <w:trPr>
          <w:trHeight w:val="229"/>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(133,289)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w:t>
            </w:r>
          </w:p>
        </w:tc>
      </w:tr>
      <w:tr>
        <w:trPr>
          <w:trHeight w:val="229"/>
        </w:trPr>
        <w:tc>
          <w:tcPr>
            <w:tcW w:w="8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Forfeited/Cancelled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799,822</w:t>
            </w:r>
          </w:p>
        </w:tc>
        <w:tc>
          <w:tcPr>
            <w:tcW w:w="7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r>
    </w:tbl>
    <w:p>
      <w:pPr>
        <w:spacing w:after="0" w:line="238"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2024, there was $11.7 million of unrecognized compensation expense expected to be recognized over a weighted average period of 3.0 years. The total value of shares vested in the year ended December 31, 2024 was $3.1 million</w:t>
      </w:r>
      <w:r>
        <w:rPr>
          <w:rFonts w:ascii="Times New Roman" w:cs="Times New Roman" w:eastAsia="Times New Roman" w:hAnsi="Times New Roman"/>
          <w:sz w:val="14"/>
          <w:szCs w:val="14"/>
          <w:color w:val="auto"/>
        </w:rPr>
        <w:t>.</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Performance-Based RSAs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the Company’s performance-based RSA activity for the year ended December 31, 2024 is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156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Number of Shares of</w:t>
            </w:r>
          </w:p>
        </w:tc>
        <w:tc>
          <w:tcPr>
            <w:tcW w:w="100" w:type="dxa"/>
            <w:vAlign w:val="bottom"/>
          </w:tcPr>
          <w:p>
            <w:pPr>
              <w:spacing w:after="0"/>
              <w:rPr>
                <w:sz w:val="13"/>
                <w:szCs w:val="13"/>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r>
      <w:tr>
        <w:trPr>
          <w:trHeight w:val="196"/>
        </w:trPr>
        <w:tc>
          <w:tcPr>
            <w:tcW w:w="802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date fair value per share</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509,186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w:t>
            </w:r>
          </w:p>
        </w:tc>
      </w:tr>
      <w:tr>
        <w:trPr>
          <w:trHeight w:val="229"/>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Forfeited/Cancelled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509,186</w:t>
            </w:r>
          </w:p>
        </w:tc>
        <w:tc>
          <w:tcPr>
            <w:tcW w:w="7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r>
    </w:tbl>
    <w:p>
      <w:pPr>
        <w:spacing w:after="0" w:line="225"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2024, there was $4.8 million of unrecognized compensation expense which is expected to be recognized over a weighted average period of 2.5 years.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did not have service-based or performance-based RSAs in the years ended December 31, 2022 and 2023.</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240"/>
          </w:cols>
          <w:pgMar w:left="320" w:top="124" w:right="339" w:bottom="1440" w:gutter="0" w:footer="0" w:header="0"/>
        </w:sectPr>
      </w:pPr>
    </w:p>
    <w:bookmarkStart w:id="288" w:name="page289"/>
    <w:bookmarkEnd w:id="288"/>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ratios, or as noted)</w:t>
      </w:r>
    </w:p>
    <w:p>
      <w:pPr>
        <w:spacing w:after="0" w:line="2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the Company’s service-based RSUs activity is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Number of Restricted</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r>
      <w:tr>
        <w:trPr>
          <w:trHeight w:val="195"/>
        </w:trPr>
        <w:tc>
          <w:tcPr>
            <w:tcW w:w="8020" w:type="dxa"/>
            <w:vAlign w:val="bottom"/>
          </w:tcPr>
          <w:p>
            <w:pPr>
              <w:spacing w:after="0"/>
              <w:rPr>
                <w:sz w:val="16"/>
                <w:szCs w:val="16"/>
                <w:color w:val="auto"/>
              </w:rPr>
            </w:pPr>
          </w:p>
        </w:tc>
        <w:tc>
          <w:tcPr>
            <w:tcW w:w="166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date fair value per share</w:t>
            </w:r>
          </w:p>
        </w:tc>
      </w:tr>
      <w:tr>
        <w:trPr>
          <w:trHeight w:val="228"/>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56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31,068,799</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w:t>
            </w: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11,519,793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w:t>
            </w: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Forfeited/Cancelled</w:t>
            </w:r>
          </w:p>
        </w:tc>
        <w:tc>
          <w:tcPr>
            <w:tcW w:w="156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9"/>
              </w:rPr>
              <w:t>(3,260,157)</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5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39,328,435</w:t>
            </w:r>
          </w:p>
        </w:tc>
        <w:tc>
          <w:tcPr>
            <w:tcW w:w="10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w:t>
            </w:r>
          </w:p>
        </w:tc>
      </w:tr>
      <w:tr>
        <w:trPr>
          <w:trHeight w:val="20"/>
        </w:trPr>
        <w:tc>
          <w:tcPr>
            <w:tcW w:w="80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2022, 2023, and 2024, no stock-based compensation expense had been recognized for RSUs because the liquidity condition had not been met. The total unrecognized stock-based compensation expense related to these awards was $951.1 million as of December 31, 2024. Of this amount, $749.0 million relates to awards for which the service vesting condition has been satisfied or partially satisfied while $202.1 million relates to awards for which the time-based vesting condition had not yet been satisfied. As of December 31, 2024, no RSUs had vested.</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PSUs</w:t>
      </w:r>
    </w:p>
    <w:p>
      <w:pPr>
        <w:spacing w:after="0" w:line="175"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Acquisition, certain retained employees of Salt Labs are eligible to earn performance-based restricted stock units. The performance-based RSUs vest based upon the achievement of designated operational metrics, continued employment, and upon the occurrence of a liquidity event. The Company granted 1,929,943 PSUs at a weighted-average grant date fair value of $23.25 in the year ended December 31, 2024, none of which had vested or been forfeited during the year.</w:t>
      </w:r>
    </w:p>
    <w:p>
      <w:pPr>
        <w:spacing w:after="0" w:line="126"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no stock-based compensation expense had been recognized for PSUs because the performance-based liquidity condition had not been met. The total unrecognized stock-based compensation expense related to awards expected to achieve operational performance-based vesting conditions was $9.6 million as of December 31, 2024.</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total stock-based compensation expense for the years ended December 31, 2022, 2023, and 2024:</w:t>
      </w:r>
    </w:p>
    <w:p>
      <w:pPr>
        <w:spacing w:after="0" w:line="197" w:lineRule="exact"/>
        <w:rPr>
          <w:sz w:val="20"/>
          <w:szCs w:val="20"/>
          <w:color w:val="auto"/>
        </w:rPr>
      </w:pPr>
    </w:p>
    <w:p>
      <w:pPr>
        <w:jc w:val="center"/>
        <w:ind w:left="634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63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6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Member support and operations</w:t>
            </w:r>
          </w:p>
        </w:tc>
        <w:tc>
          <w:tcPr>
            <w:tcW w:w="980" w:type="dxa"/>
            <w:vAlign w:val="bottom"/>
            <w:shd w:val="clear" w:color="auto" w:fill="CCEEFF"/>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4,888</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3,620</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2,032</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1,356</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12,423</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10,608</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9,198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12,446</w:t>
            </w:r>
          </w:p>
        </w:tc>
      </w:tr>
      <w:tr>
        <w:trPr>
          <w:trHeight w:val="235"/>
        </w:trPr>
        <w:tc>
          <w:tcPr>
            <w:tcW w:w="63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80" w:type="dxa"/>
            <w:vAlign w:val="bottom"/>
            <w:tcBorders>
              <w:bottom w:val="single" w:sz="8" w:color="auto"/>
            </w:tcBorders>
            <w:shd w:val="clear" w:color="auto" w:fill="CCEEFF"/>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28,350</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26,035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29,845</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2022, 2023, and 2024, the Company capitalized $0.5 million, $0.2 million, and $0.1 million each year of stock-based compensation expense related to capitalized internal-use software.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NET LOSS PER SHARE</w:t>
      </w:r>
    </w:p>
    <w:p>
      <w:pPr>
        <w:spacing w:after="0" w:line="175"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Company presents net loss per share attributable to common stockholders in conformity with the two-class method required for participating securities, and considers all series of redeemable convertible preferred stock participating securities. The Company has not allocated net loss attributable to common stockholders to redeemable convertible preferred stock because the holders of its redeemable convertible preferred stock are not contractually obligated to share in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240"/>
          </w:cols>
          <w:pgMar w:left="320" w:top="124" w:right="339" w:bottom="1440" w:gutter="0" w:footer="0" w:header="0"/>
        </w:sectPr>
      </w:pPr>
    </w:p>
    <w:bookmarkStart w:id="289" w:name="page290"/>
    <w:bookmarkEnd w:id="289"/>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ratios, or as noted)</w:t>
      </w:r>
    </w:p>
    <w:p>
      <w:pPr>
        <w:spacing w:after="0" w:line="263"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Company calculates basic net loss per share attributable to common stockholders by dividing net loss attributable to common stockholders by the weighted-average number of shares of common stock outstanding during the period. Diluted net loss per share attributable to common stockholders gives effect to all potential shares of common stock, including common stock issuable upon conversion of redeemable convertible preferred stock, stock options, RSUs and common stock warrants to the extent these are dilutive.</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calculated basic and diluted net loss per share attributable to common stockholders as follows (in thousands, except per share amounts):</w:t>
      </w:r>
    </w:p>
    <w:p>
      <w:pPr>
        <w:spacing w:after="0" w:line="205" w:lineRule="exact"/>
        <w:rPr>
          <w:sz w:val="20"/>
          <w:szCs w:val="20"/>
          <w:color w:val="auto"/>
        </w:rPr>
      </w:pPr>
    </w:p>
    <w:p>
      <w:pPr>
        <w:jc w:val="center"/>
        <w:ind w:left="634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jc w:val="center"/>
        <w:ind w:left="63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36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(470,254)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(203,202)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(25,344)</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176"/>
        </w:trPr>
        <w:tc>
          <w:tcPr>
            <w:tcW w:w="636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Weighted-average number of common shares outstanding used to compute net loss</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43"/>
        </w:trPr>
        <w:tc>
          <w:tcPr>
            <w:tcW w:w="63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per share attributable to common stockholders, basic and diluted</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57,884,136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63,104,219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64,910,056</w:t>
            </w: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r>
    </w:tbl>
    <w:p>
      <w:pPr>
        <w:spacing w:after="0" w:line="238"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following outstanding shares of potentially dilutive securities were excluded from the computation of diluted net loss per share because including them would have had an anti-dilutive effect: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56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Redeemable convertible preferred stock on an as-converted basis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258,667,836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258,667,836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258,667,836</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26,366,781</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29,776,972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32,663,015</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Service-based RSUs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23,897,669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31,068,799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39,328,435</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PSUs</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1,929,943</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restricted stock awards</w:t>
            </w: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1,309,008</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787,840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787,840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787,840</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early exercised stock options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1,619,387</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anti-dilutive securities</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311,339,513</w:t>
            </w:r>
          </w:p>
        </w:tc>
        <w:tc>
          <w:tcPr>
            <w:tcW w:w="10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320,301,447</w:t>
            </w:r>
          </w:p>
        </w:tc>
        <w:tc>
          <w:tcPr>
            <w:tcW w:w="10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334,686,077</w:t>
            </w:r>
          </w:p>
        </w:tc>
      </w:tr>
      <w:tr>
        <w:trPr>
          <w:trHeight w:val="20"/>
        </w:trPr>
        <w:tc>
          <w:tcPr>
            <w:tcW w:w="63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RELATED PARTY TRANSACTIONS</w:t>
      </w:r>
    </w:p>
    <w:p>
      <w:pPr>
        <w:spacing w:after="0" w:line="17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Related party transactions may include any transaction between the Company and entities under common control or with a related party. The Company has defined related parties as members of the board of directors, executive officers, principal owners of the Company’s outstanding stock, and any immediate family members of each such related party, as well as any entity for which the aforementioned individuals exercise significant influence over or control.</w:t>
      </w:r>
    </w:p>
    <w:p>
      <w:pPr>
        <w:spacing w:after="0" w:line="126"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During 2022, 2023, and 2024 a member of the Company’s Board of Directors was an executive officer of Dallas Basketball Limited (“Dallas Mavericks”). The Company is party to a multi-year sponsorship agreement with the Dallas Mavericks. During the years ended December 31, 2022, 2023, and 2024, the Company paid $10.5 million, $11.5 million, and $11.2 million in sponsorship fees as part of the agreement. There were no balances outstanding or due as of December 31, 2023 or 2024.</w:t>
      </w:r>
    </w:p>
    <w:p>
      <w:pPr>
        <w:spacing w:after="0" w:line="126"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In 2022, the Company established the Chime Scholars Foundation (the “Foundation”), which is a non-controlled nonprofit organization formed for the purpose of distributing charitable donations to recipients generally located in the communities the Company serves. Donations are recognized as expenses when paid to the Foundation. During the years ended December 31, 2022, 2023, and 2024, cash donations were $0.8 million, $1.5 million, and $1.7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240"/>
          </w:cols>
          <w:pgMar w:left="320" w:top="124" w:right="339" w:bottom="1440" w:gutter="0" w:footer="0" w:header="0"/>
        </w:sectPr>
      </w:pPr>
    </w:p>
    <w:bookmarkStart w:id="290" w:name="page291"/>
    <w:bookmarkEnd w:id="290"/>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ratios, or as noted)</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RESTRUCTURING</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175"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On November 2, 2022, the Company announced a reduction in force (the “Restructuring”) as part of its efforts to improve efficiency and operating costs. The Restructuring involved approximately 12% of the Company’s full-time employees at that time.</w:t>
      </w:r>
    </w:p>
    <w:p>
      <w:pPr>
        <w:spacing w:after="0" w:line="108"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Company recognized $7.8 million of cash restructuring charges relating to one-time employee-related severance payments, recorded in operating expenses on the consolidated statements of operations based on the employees’ cost centers in the year ended December 31, 2022. As of December 31, 2023, all charges had been paid in full.</w:t>
      </w:r>
    </w:p>
    <w:p>
      <w:pPr>
        <w:spacing w:after="0" w:line="12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As part of Restructuring, the Company also reassessed its ongoing internal projects and product plans. The Company recorded an impairment charge of $2.6 million related to previously capitalized internal-use software for discontinued projects in the year ended December 31, 2022 in technology and development expenses on the consolidated statement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INCOME TAXES</w:t>
      </w:r>
    </w:p>
    <w:p>
      <w:pPr>
        <w:spacing w:after="0" w:line="175"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Loss before income taxes on a worldwide basis was $470.6 million, $203.0 million, and $22.7 million for the years ended and December 31, 2022, 2023, and 2024. Income tax expense (benefit) was composed of the following:</w:t>
      </w:r>
    </w:p>
    <w:p>
      <w:pPr>
        <w:spacing w:after="0" w:line="142" w:lineRule="exact"/>
        <w:rPr>
          <w:sz w:val="20"/>
          <w:szCs w:val="20"/>
          <w:color w:val="auto"/>
        </w:rPr>
      </w:pPr>
    </w:p>
    <w:p>
      <w:pPr>
        <w:jc w:val="center"/>
        <w:ind w:left="634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jc w:val="center"/>
        <w:ind w:left="63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360" w:type="dxa"/>
            <w:vAlign w:val="bottom"/>
            <w:tcBorders>
              <w:bottom w:val="single" w:sz="8" w:color="CCEEFF"/>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104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10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1040" w:type="dxa"/>
            <w:vAlign w:val="bottom"/>
          </w:tcPr>
          <w:p>
            <w:pPr>
              <w:spacing w:after="0"/>
              <w:rPr>
                <w:sz w:val="19"/>
                <w:szCs w:val="19"/>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w:t>
            </w: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w:t>
            </w:r>
          </w:p>
        </w:tc>
        <w:tc>
          <w:tcPr>
            <w:tcW w:w="10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1040" w:type="dxa"/>
            <w:vAlign w:val="bottom"/>
          </w:tcPr>
          <w:p>
            <w:pPr>
              <w:spacing w:after="0"/>
              <w:rPr>
                <w:sz w:val="19"/>
                <w:szCs w:val="19"/>
                <w:color w:val="auto"/>
              </w:rPr>
            </w:pPr>
          </w:p>
        </w:tc>
        <w:tc>
          <w:tcPr>
            <w:tcW w:w="6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10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1040" w:type="dxa"/>
            <w:vAlign w:val="bottom"/>
          </w:tcPr>
          <w:p>
            <w:pPr>
              <w:spacing w:after="0"/>
              <w:rPr>
                <w:sz w:val="19"/>
                <w:szCs w:val="19"/>
                <w:color w:val="auto"/>
              </w:rPr>
            </w:pPr>
          </w:p>
        </w:tc>
        <w:tc>
          <w:tcPr>
            <w:tcW w:w="6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36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top w:val="single" w:sz="8" w:color="auto"/>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Income tax expense differed from the amount computed by applying the Federal statutory income tax rate of 21% to pretax loss as a result of the following:</w:t>
      </w:r>
    </w:p>
    <w:p>
      <w:pPr>
        <w:spacing w:after="0" w:line="134"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60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2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8"/>
                <w:szCs w:val="18"/>
                <w:color w:val="auto"/>
              </w:rPr>
            </w:pPr>
          </w:p>
        </w:tc>
      </w:tr>
      <w:tr>
        <w:trPr>
          <w:trHeight w:val="229"/>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at federal statutory rate</w:t>
            </w:r>
          </w:p>
        </w:tc>
        <w:tc>
          <w:tcPr>
            <w:tcW w:w="102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tax, net of federal benefit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80" w:type="dxa"/>
            <w:vAlign w:val="bottom"/>
          </w:tcPr>
          <w:p>
            <w:pPr>
              <w:spacing w:after="0"/>
              <w:rPr>
                <w:sz w:val="19"/>
                <w:szCs w:val="19"/>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 %</w:t>
            </w:r>
          </w:p>
        </w:tc>
      </w:tr>
      <w:tr>
        <w:trPr>
          <w:trHeight w:val="230"/>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(22.3) %</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(24.6) %</w:t>
            </w:r>
          </w:p>
        </w:tc>
        <w:tc>
          <w:tcPr>
            <w:tcW w:w="80" w:type="dxa"/>
            <w:vAlign w:val="bottom"/>
          </w:tcPr>
          <w:p>
            <w:pPr>
              <w:spacing w:after="0"/>
              <w:rPr>
                <w:sz w:val="19"/>
                <w:szCs w:val="19"/>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(51.4) %</w:t>
            </w:r>
          </w:p>
        </w:tc>
      </w:tr>
      <w:tr>
        <w:trPr>
          <w:trHeight w:val="230"/>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43"/>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0.1 %</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8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difference in the Company’s effective tax rate and the U.S. federal statutory tax rate is primarily due to recording a full valuation allowance on the Company’s U.S. deferred tax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240"/>
          </w:cols>
          <w:pgMar w:left="320" w:top="124" w:right="339" w:bottom="1440" w:gutter="0" w:footer="0" w:header="0"/>
        </w:sectPr>
      </w:pPr>
    </w:p>
    <w:bookmarkStart w:id="291" w:name="page292"/>
    <w:bookmarkEnd w:id="291"/>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ratios, or as noted)</w:t>
      </w:r>
    </w:p>
    <w:p>
      <w:pPr>
        <w:spacing w:after="0" w:line="2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deferred tax assets and liabilities as of December 31, 2023 and 2024,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6"/>
                <w:szCs w:val="16"/>
                <w:color w:val="auto"/>
              </w:rPr>
            </w:pPr>
          </w:p>
        </w:tc>
        <w:tc>
          <w:tcPr>
            <w:tcW w:w="142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8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9"/>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245,063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231,116</w:t>
            </w:r>
          </w:p>
        </w:tc>
      </w:tr>
      <w:tr>
        <w:trPr>
          <w:trHeight w:val="230"/>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Credit carryforwards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42,676</w:t>
            </w:r>
          </w:p>
        </w:tc>
      </w:tr>
      <w:tr>
        <w:trPr>
          <w:trHeight w:val="229"/>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reserves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39,188</w:t>
            </w:r>
          </w:p>
        </w:tc>
      </w:tr>
      <w:tr>
        <w:trPr>
          <w:trHeight w:val="230"/>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w:t>
            </w:r>
          </w:p>
        </w:tc>
      </w:tr>
      <w:tr>
        <w:trPr>
          <w:trHeight w:val="229"/>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liability</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24,141</w:t>
            </w:r>
          </w:p>
        </w:tc>
      </w:tr>
      <w:tr>
        <w:trPr>
          <w:trHeight w:val="229"/>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compensation</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18,417</w:t>
            </w:r>
          </w:p>
        </w:tc>
      </w:tr>
      <w:tr>
        <w:trPr>
          <w:trHeight w:val="230"/>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Internal-use software</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87,894</w:t>
            </w:r>
          </w:p>
        </w:tc>
      </w:tr>
      <w:tr>
        <w:trPr>
          <w:trHeight w:val="229"/>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w:t>
            </w:r>
          </w:p>
        </w:tc>
      </w:tr>
      <w:tr>
        <w:trPr>
          <w:trHeight w:val="223"/>
        </w:trPr>
        <w:tc>
          <w:tcPr>
            <w:tcW w:w="8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431,657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449,212</w:t>
            </w:r>
          </w:p>
        </w:tc>
      </w:tr>
      <w:tr>
        <w:trPr>
          <w:trHeight w:val="20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9"/>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 of use asset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12,367</w:t>
            </w:r>
          </w:p>
        </w:tc>
      </w:tr>
      <w:tr>
        <w:trPr>
          <w:trHeight w:val="230"/>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Fixed assets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5,260</w:t>
            </w:r>
          </w:p>
        </w:tc>
      </w:tr>
      <w:tr>
        <w:trPr>
          <w:trHeight w:val="229"/>
        </w:trPr>
        <w:tc>
          <w:tcPr>
            <w:tcW w:w="8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w:t>
            </w:r>
          </w:p>
        </w:tc>
      </w:tr>
      <w:tr>
        <w:trPr>
          <w:trHeight w:val="223"/>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19,672</w:t>
            </w: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(411,595)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(429,540)</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Management believes that, based on available evidence, both positive and negative, it is more likely than not that the deferred tax assets will not be utilized, and as such the Company maintains a full valuation allowance at December 31, 2024. The valuation allowance increased by $17.9 million collectively for federal and state for the year ended December 31, 2024 due to the overall net increase of deferred tax assets.</w:t>
      </w:r>
    </w:p>
    <w:p>
      <w:pPr>
        <w:spacing w:after="0" w:line="122"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As of December 31, 2024, the Company had approximately $900.7 million and $786.0 million of federal and state (post-apportioned) net operating losses (NOL). The federal NOL will carry forward indefinitely. The state NOLs will begin to expire in 2028. The Company also has United States federal, California, and Canadian research and development tax credits of approximately $46.6 million, $28.6 million, and $4.2 million. The federal and Canadian research credits will begin to expire in 2040, while California research credits have no expiration date. The Internal Revenue Code (“IRC”) sections 382 and 383 limit the amount of NOL and tax credit carryforwards that a company may use in a given year in the event of certain cumulative changes in ownership over a three-year period. The Company has performed a detailed analysis to determine whether an ownership change has occurred and noted three ownership changes. As such, all of the NOLs and tax credit carryforwards generated as of the ownership change dates are limited under sections 382 and 383, however, none of the NOLs and tax credit carryforwards are projected to expire unutilized.</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of the beginning and ending balances of gross unrecognized tax benefits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6"/>
                <w:szCs w:val="16"/>
                <w:color w:val="auto"/>
              </w:rPr>
            </w:pPr>
          </w:p>
        </w:tc>
        <w:tc>
          <w:tcPr>
            <w:tcW w:w="142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8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26,968</w:t>
            </w:r>
          </w:p>
        </w:tc>
      </w:tr>
      <w:tr>
        <w:trPr>
          <w:trHeight w:val="229"/>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r>
      <w:tr>
        <w:trPr>
          <w:trHeight w:val="230"/>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positions related to the current year</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7,218</w:t>
            </w:r>
          </w:p>
        </w:tc>
      </w:tr>
      <w:tr>
        <w:trPr>
          <w:trHeight w:val="230"/>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Settlement with taxing authorities</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Expirations of status of limitations</w:t>
            </w: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240"/>
          </w:cols>
          <w:pgMar w:left="320" w:top="124" w:right="339" w:bottom="1440" w:gutter="0" w:footer="0" w:header="0"/>
        </w:sectPr>
      </w:pPr>
    </w:p>
    <w:bookmarkStart w:id="292" w:name="page293"/>
    <w:bookmarkEnd w:id="292"/>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CHIME FINANCIAL, INC.</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ratios, or as noted)</w:t>
      </w:r>
    </w:p>
    <w:p>
      <w:pPr>
        <w:spacing w:after="0" w:line="263"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If recognized, all of the unrecognized tax benefits would not impact the effective tax rate due to the valuation allowance against certain deferred tax assets. As of December 31, 2024, the Company had $33.2 million unrecognized income tax benefits and there were increases of $6.2 million to the Company’s unrecognized tax benefits during the year. Unrecognized tax benefits may change during the next 12 months for items that arise in the ordinary course of business. The Company does not anticipate a material change to its unrecognized tax benefits over the next twelve months. The Company’s policy is to classify interest and penalties associated with unrecognized tax benefits as income tax expense. There were no interest and penalties related to unrecognized tax benefits recorded on the consolidated statements of operations for the years ended December 31, 2022, 2023, and 2024 or the consolidated balance sheets as of December 31, 2023 and 2024. There are no positions for which it is reasonably possible that the total amounts of unrecognized tax benefits will significantly increase or decrease within 12 months of the reporting date.</w:t>
      </w:r>
    </w:p>
    <w:p>
      <w:pPr>
        <w:spacing w:after="0" w:line="138"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The Company files income tax returns in the U.S. Federal and various state jurisdictions. In addition, the Company files income tax returns in Canada. The Company is not currently under examination by income tax authorities in any of the jurisdictions. All tax returns will remain open for examination by the federal and most state taxing authorities for three years and four years, respectively, from the date of utilization of any net operating loss carryforwards or research and development credits.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COMMITMENTS AND CONTINGENCIES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Lease commitments</w:t>
      </w:r>
    </w:p>
    <w:p>
      <w:pPr>
        <w:spacing w:after="0" w:line="17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Company leases certain property under leases that expire at various dates. The Company enters into operating lease agreements principally related to the corporate office locations. The most significant of these operating leases is the corporate headquarters in San Francisco, California. For the years ended December 31, 2022, 2023, and 2024, rent expense for all operating leases was $11.2 million, $10.0 million, and $11.1 million.</w:t>
      </w:r>
    </w:p>
    <w:p>
      <w:pPr>
        <w:spacing w:after="0" w:line="122"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In September 2021, the Company entered into a lease arrangement for approximately 201,898 square feet of new office headquarters space in San Francisco, California. In July 2022, the Company moved into the new headquarters facility and vacated the old headquarters. The lease has four phases, each with a different commencement date but all with an initial termination date in October 2032. All four phases have commenced as of December 31, 2024.</w:t>
      </w:r>
    </w:p>
    <w:p>
      <w:pPr>
        <w:spacing w:after="0" w:line="126"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In the year ended December 31, 2022, the Company vacated portions of certain leased locations and recorded impairments to the Company’s right-of-use assets and certain related fixed assets of $15.7 million and $2.5 million based on projected sublease rental income and estimated sublease commencement dates based on market estimates from a third-party real estate brokerage firm.</w:t>
      </w:r>
    </w:p>
    <w:p>
      <w:pPr>
        <w:spacing w:after="0" w:line="12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impairment analyses were performed at the asset group level and the impairment charges were estimated by comparing the fair value of each asset group based on the expected cash flows to its respective carrying value. The Company determined the discount rate for each asset group based on the approximate interest rate on a collateralized basis with similar remaining terms and payments as of the impairment date. The Company attributed the impairments on a relative carrying value basis between the right-of-use assets and various fixed assets. Significant judgment was required to estimate the fair value of each asset group and actual results could vary from the estimates, resulting in potential future adjustments to amounts previously recorded. The impairments were recognized in general and administrative expense on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180"/>
          </w:cols>
          <w:pgMar w:left="320" w:top="124" w:right="399" w:bottom="1440" w:gutter="0" w:footer="0" w:header="0"/>
        </w:sectPr>
      </w:pPr>
    </w:p>
    <w:bookmarkStart w:id="293" w:name="page294"/>
    <w:bookmarkEnd w:id="293"/>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ratios, or as noted)</w:t>
      </w:r>
    </w:p>
    <w:p>
      <w:pPr>
        <w:spacing w:after="0" w:line="2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operating lease costs are as follows:</w:t>
      </w:r>
    </w:p>
    <w:p>
      <w:pPr>
        <w:spacing w:after="0" w:line="205" w:lineRule="exact"/>
        <w:rPr>
          <w:sz w:val="20"/>
          <w:szCs w:val="20"/>
          <w:color w:val="auto"/>
        </w:rPr>
      </w:pPr>
    </w:p>
    <w:p>
      <w:pPr>
        <w:jc w:val="center"/>
        <w:ind w:left="634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jc w:val="center"/>
        <w:ind w:left="63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36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operating lease costs</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10,287</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operating lease costs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7,696</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11,414</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17,933</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Variable operating lease costs are primarily related to payments made to the Company’s landlords for common area maintenance, property taxes, insurance, and other operating expenses.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lease agreements do not contain any residual value guarantees or material restrictive covenants.</w:t>
      </w:r>
    </w:p>
    <w:p>
      <w:pPr>
        <w:spacing w:after="0" w:line="171"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weighted average remaining operating lease term and the weighted average discount rate used in the calculation of the Company’s lease assets and lease liabilities were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63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operating lease term (in years)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4"/>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4.91 %</w:t>
            </w:r>
          </w:p>
        </w:tc>
      </w:tr>
      <w:tr>
        <w:trPr>
          <w:trHeight w:val="454"/>
        </w:trPr>
        <w:tc>
          <w:tcPr>
            <w:tcW w:w="6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flows related to leases were as follows: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26"/>
        </w:trPr>
        <w:tc>
          <w:tcPr>
            <w:tcW w:w="6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95"/>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195"/>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29"/>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Payments for operating lease liabilities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10,961</w:t>
            </w: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17,161</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cash flow data:</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4"/>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Lease liabilities arising from obtaining right-of-use assets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20,862</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w:t>
            </w:r>
          </w:p>
        </w:tc>
      </w:tr>
    </w:tbl>
    <w:p>
      <w:pPr>
        <w:spacing w:after="0" w:line="233"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Future minimum lease payments under non-cancelable operating leases (with initial lease terms in excess of one year) as of December 31, 2024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20,122</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14,842</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13,757</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13,012</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13,402</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40,201</w:t>
            </w:r>
          </w:p>
        </w:tc>
      </w:tr>
      <w:tr>
        <w:trPr>
          <w:trHeight w:val="223"/>
        </w:trPr>
        <w:tc>
          <w:tcPr>
            <w:tcW w:w="9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lease payments</w:t>
            </w: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115,336</w:t>
            </w:r>
          </w:p>
        </w:tc>
      </w:tr>
      <w:tr>
        <w:trPr>
          <w:trHeight w:val="223"/>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19,000</w:t>
            </w:r>
          </w:p>
        </w:tc>
      </w:tr>
      <w:tr>
        <w:trPr>
          <w:trHeight w:val="248"/>
        </w:trPr>
        <w:tc>
          <w:tcPr>
            <w:tcW w:w="96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96,336</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75"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 Company may be subject to various legal proceedings, including, from time to time, actions which are asserted to be maintainable as class action suits, and is at times subjected to government and regulatory proceedings, investigations and inquiries. The Company reviews these matters on an</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F-42</w:t>
      </w:r>
    </w:p>
    <w:p>
      <w:pPr>
        <w:sectPr>
          <w:pgSz w:w="11900" w:h="16838" w:orient="portrait"/>
          <w:cols w:equalWidth="0" w:num="1">
            <w:col w:w="11240"/>
          </w:cols>
          <w:pgMar w:left="320" w:top="124" w:right="339" w:bottom="1440" w:gutter="0" w:footer="0" w:header="0"/>
          <w:type w:val="continuous"/>
        </w:sectPr>
      </w:pPr>
    </w:p>
    <w:bookmarkStart w:id="294" w:name="page295"/>
    <w:bookmarkEnd w:id="294"/>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CHIME FINANCIAL,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ratios, or as noted)</w:t>
      </w:r>
    </w:p>
    <w:p>
      <w:pPr>
        <w:spacing w:after="0" w:line="26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ongoing basis to determine whether it is probable and estimable that a loss has occurred and uses that information when making accrual and disclosure decisions. If the potential loss is considered probable and the amount can be reasonably estimated, the Company accrues a liability for the estimated loss. Loss contingencies that are reasonably possible of occurrence, if any, are subject to disclosure.</w:t>
      </w:r>
    </w:p>
    <w:p>
      <w:pPr>
        <w:spacing w:after="0" w:line="12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In May 2024, the Company entered into a consent order with the Consumer Financial Protection Bureau (“CFPB”) in relation to certain matters. As of December 31, 2023, the Company has accrued a liability for an estimated amount in connection with this matter in accordance with ASC 450-20, Contingencies: Loss Contingencies, comprised of a civil money penalty of $3.25 million and $1.3 million for the purpose of providing redress to affected members. As of December 31, 2024, the civil money penalty and redress of $4.55 million has been fully paid.</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Chime Scholars Foundation</w:t>
      </w:r>
    </w:p>
    <w:p>
      <w:pPr>
        <w:spacing w:after="0" w:line="17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 2022, the Company committed to future charitable donations to the Chime Scholars Foundation in the form of 3,210,192 shares of the Company’s common stock, contingent upon the Company’s initial public offering. The issuance of shares would take place in ten equal, annual installments, the first of which would occur upon the Company’s initial public offering. As of December 31, 2024, no shares have been issued.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SUBSEQUENT EVENTS</w:t>
      </w:r>
    </w:p>
    <w:p>
      <w:pPr>
        <w:spacing w:after="0" w:line="175"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In February 2025, the Company entered into an amendment with its third-party payment processor that modifies the terms of the existing agreement to remove certain minimum monthly payments and provides for the payment of an $18 million termination fee by the Company in March 2026. The Company will assess and record the financial impact of this fee in accordance with applicable accounting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220"/>
          </w:cols>
          <w:pgMar w:left="320" w:top="124" w:right="359" w:bottom="1440" w:gutter="0" w:footer="0" w:header="0"/>
        </w:sectPr>
      </w:pPr>
    </w:p>
    <w:bookmarkStart w:id="295" w:name="page296"/>
    <w:bookmarkEnd w:id="295"/>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 CHIME FINANCIAL, INC.</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108585</wp:posOffset>
            </wp:positionV>
            <wp:extent cx="6995160" cy="90525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96" w:name="page297"/>
    <w:bookmarkEnd w:id="296"/>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CHIME FINANCIAL,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17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Other Expenses of Issuance and Distribution.</w:t>
      </w:r>
    </w:p>
    <w:p>
      <w:pPr>
        <w:spacing w:after="0" w:line="175"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all expenses to be paid by us, other than underwriting discounts and commissions, upon completion of this offering. All amounts shown are estimates except for the SEC registration fee, the FINRA filing fee, and the exchange listing fee.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tcPr>
          <w:p>
            <w:pPr>
              <w:jc w:val="center"/>
              <w:ind w:right="27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46"/>
        </w:trPr>
        <w:tc>
          <w:tcPr>
            <w:tcW w:w="9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jc w:val="center"/>
              <w:ind w:right="275"/>
              <w:spacing w:after="0" w:line="146" w:lineRule="exact"/>
              <w:rPr>
                <w:sz w:val="20"/>
                <w:szCs w:val="20"/>
                <w:color w:val="auto"/>
              </w:rPr>
            </w:pPr>
            <w:r>
              <w:rPr>
                <w:rFonts w:ascii="Times New Roman" w:cs="Times New Roman" w:eastAsia="Times New Roman" w:hAnsi="Times New Roman"/>
                <w:sz w:val="14"/>
                <w:szCs w:val="14"/>
                <w:b w:val="1"/>
                <w:bCs w:val="1"/>
                <w:color w:val="auto"/>
              </w:rPr>
              <w:t>to be</w:t>
            </w:r>
          </w:p>
        </w:tc>
        <w:tc>
          <w:tcPr>
            <w:tcW w:w="0" w:type="dxa"/>
            <w:vAlign w:val="bottom"/>
          </w:tcPr>
          <w:p>
            <w:pPr>
              <w:spacing w:after="0"/>
              <w:rPr>
                <w:sz w:val="1"/>
                <w:szCs w:val="1"/>
                <w:color w:val="auto"/>
              </w:rPr>
            </w:pPr>
          </w:p>
        </w:tc>
      </w:tr>
      <w:tr>
        <w:trPr>
          <w:trHeight w:val="196"/>
        </w:trPr>
        <w:tc>
          <w:tcPr>
            <w:tcW w:w="96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255"/>
              <w:spacing w:after="0"/>
              <w:rPr>
                <w:sz w:val="20"/>
                <w:szCs w:val="20"/>
                <w:color w:val="auto"/>
              </w:rPr>
            </w:pPr>
            <w:r>
              <w:rPr>
                <w:rFonts w:ascii="Times New Roman" w:cs="Times New Roman" w:eastAsia="Times New Roman" w:hAnsi="Times New Roman"/>
                <w:sz w:val="14"/>
                <w:szCs w:val="14"/>
                <w:b w:val="1"/>
                <w:bCs w:val="1"/>
                <w:color w:val="auto"/>
              </w:rPr>
              <w:t>Paid</w:t>
            </w:r>
          </w:p>
        </w:tc>
        <w:tc>
          <w:tcPr>
            <w:tcW w:w="0" w:type="dxa"/>
            <w:vAlign w:val="bottom"/>
          </w:tcPr>
          <w:p>
            <w:pPr>
              <w:spacing w:after="0"/>
              <w:rPr>
                <w:sz w:val="1"/>
                <w:szCs w:val="1"/>
                <w:color w:val="auto"/>
              </w:rPr>
            </w:pPr>
          </w:p>
        </w:tc>
      </w:tr>
      <w:tr>
        <w:trPr>
          <w:trHeight w:val="22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 registration fee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FINRA filing fee</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 listing fee</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fees and expenses</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 agent and registrar fees</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Miscellaneous expenses</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9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9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6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9600" w:type="dxa"/>
            <w:vAlign w:val="bottom"/>
          </w:tcPr>
          <w:p>
            <w:pPr>
              <w:spacing w:after="0"/>
              <w:rPr>
                <w:sz w:val="20"/>
                <w:szCs w:val="20"/>
                <w:color w:val="auto"/>
              </w:rPr>
            </w:pPr>
            <w:r>
              <w:rPr>
                <w:rFonts w:ascii="Times New Roman" w:cs="Times New Roman" w:eastAsia="Times New Roman" w:hAnsi="Times New Roman"/>
                <w:sz w:val="14"/>
                <w:szCs w:val="14"/>
                <w:color w:val="auto"/>
              </w:rPr>
              <w:t>*    To be filed by amendment.</w:t>
            </w: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14.</w:t>
        <w:tab/>
        <w:t>Indemnification of Directors and Officers.</w:t>
      </w:r>
    </w:p>
    <w:p>
      <w:pPr>
        <w:spacing w:after="0" w:line="175" w:lineRule="exact"/>
        <w:rPr>
          <w:sz w:val="20"/>
          <w:szCs w:val="20"/>
          <w:color w:val="auto"/>
        </w:rPr>
      </w:pPr>
    </w:p>
    <w:p>
      <w:pPr>
        <w:ind w:right="760" w:firstLine="324"/>
        <w:spacing w:after="0" w:line="282" w:lineRule="auto"/>
        <w:rPr>
          <w:sz w:val="20"/>
          <w:szCs w:val="20"/>
          <w:color w:val="auto"/>
        </w:rPr>
      </w:pPr>
      <w:r>
        <w:rPr>
          <w:rFonts w:ascii="Times New Roman" w:cs="Times New Roman" w:eastAsia="Times New Roman" w:hAnsi="Times New Roman"/>
          <w:sz w:val="18"/>
          <w:szCs w:val="18"/>
          <w:color w:val="auto"/>
        </w:rPr>
        <w:t>Section 145 of the Delaware General Corporation Law authorizes a corporation’s board of directors to grant, and authorizes a court to award, indemnity to officers, directors, and other corporate agents.</w:t>
      </w:r>
    </w:p>
    <w:p>
      <w:pPr>
        <w:spacing w:after="0" w:line="108"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We expect to adopt an amended and restated certificate of incorporation, which will become effective immediately prior to the completion of this offering, and which will contain provisions that limit the liability of our directors and officers for monetary damages to the fullest extent permitted by Delaware law. Consequently, neither our directors nor officers will be personally liable to us or our stockholders for monetary damages for any breach of fiduciary duties as directors or officers, as applicable, except liability of:</w:t>
      </w:r>
    </w:p>
    <w:p>
      <w:pPr>
        <w:spacing w:after="0" w:line="126" w:lineRule="exact"/>
        <w:rPr>
          <w:sz w:val="20"/>
          <w:szCs w:val="20"/>
          <w:color w:val="auto"/>
        </w:rPr>
      </w:pPr>
    </w:p>
    <w:p>
      <w:pPr>
        <w:ind w:left="660" w:hanging="328"/>
        <w:spacing w:after="0"/>
        <w:tabs>
          <w:tab w:leader="none" w:pos="66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or officer’s duty of loyalty to our company or our stockholders;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71"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our directors, unlawful payments of dividends or unlawful stock repurchases or redemptions as provided in Section 174 of the Delaware General Corporation Law;</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or officer derived an improper personal benefit;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our officers, any action by or in the right of the corporation.</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or officers of corporations, then the personal liability of our directors and officers will be further limited to the greatest extent permitted by the Delaware General Corporation Law.</w:t>
      </w:r>
    </w:p>
    <w:p>
      <w:pPr>
        <w:spacing w:after="0" w:line="12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 addition, we expect to adopt amended and restated bylaws, which will become effective immediately prior to the completion of this offering, and which will provide that we will indemnify, to the fullest extent permitted by law, any person who is or was a party or is threatened to be made a party to any action, suit, or proceeding by reason of</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240"/>
          </w:cols>
          <w:pgMar w:left="320" w:top="117" w:right="339" w:bottom="1440" w:gutter="0" w:footer="0" w:header="0"/>
          <w:type w:val="continuous"/>
        </w:sectPr>
      </w:pPr>
    </w:p>
    <w:bookmarkStart w:id="297" w:name="page298"/>
    <w:bookmarkEnd w:id="29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CHIME FINANCIAL,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fact that they are or were one of our directors or officers or is or was serving at our request as a director or officer of another corporation, partnership, joint venture, trust, or other enterprise. Our amended and restated bylaws are expected to provide that we may indemnify to the fullest extent permitted by law any person who is or was a party or is threatened to be made a party to any action, suit, or proceeding by reason of the fact that they are or were one of our employees or agents or is or was serving at our request as an employee or agent of another corporation, partnership, joint venture, trust, or other enterprise. Our amended and restated bylaws will also provide that we must advance expenses incurred by or on behalf of a director or officer in advance of the final disposition of any action or proceeding, subject to limited exceptions.</w:t>
      </w:r>
    </w:p>
    <w:p>
      <w:pPr>
        <w:spacing w:after="0" w:line="133"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Further, we have entered into or will enter into indemnification agreements with each of our directors and executive officers that may be broader than the specific indemnification provisions contained in the Delaware General Corporation Law. These indemnification agreements require us, among other things, to indemnify our directors and executive officers against liabilities that may arise by reason of their status or service. These indemnification agreements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1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that are expected to be included in our amended and restated certificate of incorporation, amended and restated bylaws and the indemnification agreements that we have entered into or will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adversely affected to the extent that we pay the costs of settlement and damage awards against directors and executive officers as required by these indemnification provisions. At present, we are not aware of any pending litigation or proceeding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134"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126"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Certain of our non-employee directors may, through their relationships with their employers, be insured or indemnified against certain liabilities incurred in their capacity as members of our board of directors.</w:t>
      </w:r>
    </w:p>
    <w:p>
      <w:pPr>
        <w:spacing w:after="0" w:line="108"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underwriting agreement to be filed as Exhibit 1.1 to this registration statement will provide for indemnification by the underwriters of us and our officers and directors for certain liabilities arising under the Securities Act or otherwise.</w:t>
      </w:r>
    </w:p>
    <w:p>
      <w:pPr>
        <w:spacing w:after="0" w:line="10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Recent Sales of Unregistered Securities.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Since March 1, 2022 we have issued the following unregistered securities:</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Option and RSU Issuances</w:t>
      </w:r>
    </w:p>
    <w:p>
      <w:pPr>
        <w:spacing w:after="0" w:line="175"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From March 1, 2022 through February 28, 2025, we granted to our directors, officers, employees, consultants, and other service providers options to purchase an aggregate of 9,981,478 shares of our common stock under our Amended and Restated 2012 Stock Option and Grant Plan at exercise prices ranging from $13.89 to $23.51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240"/>
          </w:cols>
          <w:pgMar w:left="320" w:top="117" w:right="339" w:bottom="1440" w:gutter="0" w:footer="0" w:header="0"/>
        </w:sectPr>
      </w:pPr>
    </w:p>
    <w:bookmarkStart w:id="298" w:name="page299"/>
    <w:bookmarkEnd w:id="29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CHIME FINANCIAL,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From March 1, 2022 through February 28, 2025, we granted to our directors, officers, employees, consultants, and other service providers an aggregate of 33,692,285 RSUs and PSUs to be settled in shares of our common stock under our Amended and Restated 2012 Stock Option and Grant Plan.</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Securities Issued in Connection with Acquisitions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June 2024, we acquired Salt Labs, Inc. using a combination of cash and stock. As partial consideration for the acquisition, we issued an aggregate of 1,645,775 shares of our common stock (which at the time were valued at approximately $38.3 million) to individuals and entities who were former service providers or stockholders of such company.</w:t>
      </w:r>
    </w:p>
    <w:p>
      <w:pPr>
        <w:spacing w:after="0" w:line="122"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None of the foregoing transactions involved any underwriters, underwriting discounts or commissions, or any public offering. We believe the offers, sales, and issuances of the above securities were exempt from registration under the Securities Act by virtue of Section 4(a)(2) of the Securities Act or Regulation D, or Regulation S, or in reliance on Rule 701 because the transactions were pursuant to compensatory benefit plans or contracts relating to compensation as provided under such rule.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us, to information about us. The sales of these securities were made without any general solicitation or advertising.</w:t>
      </w:r>
    </w:p>
    <w:p>
      <w:pPr>
        <w:spacing w:after="0" w:line="13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16.</w:t>
        <w:tab/>
        <w:t>Exhibits and Financial Statement Schedules.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Exhibits</w:t>
      </w:r>
    </w:p>
    <w:p>
      <w:pPr>
        <w:spacing w:after="0" w:line="175"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See the Exhibit Index immediately preceding the signature page hereto for a list of exhibits filed as part of this registration statement on Form S-1, which Exhibit Index is incorporated herein by reference.</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 Schedules</w:t>
      </w:r>
    </w:p>
    <w:p>
      <w:pPr>
        <w:spacing w:after="0" w:line="175" w:lineRule="exact"/>
        <w:rPr>
          <w:sz w:val="20"/>
          <w:szCs w:val="20"/>
          <w:color w:val="auto"/>
        </w:rPr>
      </w:pPr>
    </w:p>
    <w:p>
      <w:pPr>
        <w:ind w:right="660" w:firstLine="324"/>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are omitted because the information called for is not required or is shown either in the consolidated financial statements or in the notes thereto.</w:t>
      </w:r>
    </w:p>
    <w:p>
      <w:pPr>
        <w:spacing w:after="0" w:line="104"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undersigned registrant hereby undertakes that:</w:t>
      </w:r>
    </w:p>
    <w:p>
      <w:pPr>
        <w:spacing w:after="0" w:line="117" w:lineRule="exact"/>
        <w:rPr>
          <w:sz w:val="20"/>
          <w:szCs w:val="20"/>
          <w:color w:val="auto"/>
        </w:rPr>
      </w:pPr>
    </w:p>
    <w:p>
      <w:pPr>
        <w:ind w:left="660" w:right="160" w:hanging="328"/>
        <w:spacing w:after="0" w:line="276" w:lineRule="auto"/>
        <w:tabs>
          <w:tab w:leader="none" w:pos="654" w:val="left"/>
        </w:tabs>
        <w:numPr>
          <w:ilvl w:val="0"/>
          <w:numId w:val="1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w:t>
      </w: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(4) or 497(h) under the Securities Act shall be deemed to be part of this registration statement as of the time it was declared effective.</w:t>
      </w:r>
    </w:p>
    <w:p>
      <w:pPr>
        <w:spacing w:after="0" w:line="44"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54"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220"/>
          </w:cols>
          <w:pgMar w:left="320" w:top="117" w:right="359" w:bottom="1440" w:gutter="0" w:footer="0" w:header="0"/>
        </w:sectPr>
      </w:pPr>
    </w:p>
    <w:bookmarkStart w:id="299" w:name="page300"/>
    <w:bookmarkEnd w:id="299"/>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CHIME FINANCIAL,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20" w:type="dxa"/>
            <w:vAlign w:val="bottom"/>
          </w:tcPr>
          <w:p>
            <w:pPr>
              <w:ind w:left="380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26"/>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120" w:type="dxa"/>
            <w:vAlign w:val="bottom"/>
            <w:vMerge w:val="restart"/>
          </w:tcPr>
          <w:p>
            <w:pPr>
              <w:ind w:left="47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5"/>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0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0" w:type="dxa"/>
            <w:vAlign w:val="bottom"/>
          </w:tcPr>
          <w:p>
            <w:pPr>
              <w:spacing w:after="0"/>
              <w:rPr>
                <w:sz w:val="1"/>
                <w:szCs w:val="1"/>
                <w:color w:val="auto"/>
              </w:rPr>
            </w:pPr>
          </w:p>
        </w:tc>
      </w:tr>
      <w:tr>
        <w:trPr>
          <w:trHeight w:val="229"/>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10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and Restated Certificate of Incorporation of the registrant, as currently in effect.</w:t>
            </w:r>
          </w:p>
        </w:tc>
        <w:tc>
          <w:tcPr>
            <w:tcW w:w="0" w:type="dxa"/>
            <w:vAlign w:val="bottom"/>
          </w:tcPr>
          <w:p>
            <w:pPr>
              <w:spacing w:after="0"/>
              <w:rPr>
                <w:sz w:val="1"/>
                <w:szCs w:val="1"/>
                <w:color w:val="auto"/>
              </w:rPr>
            </w:pPr>
          </w:p>
        </w:tc>
      </w:tr>
      <w:tr>
        <w:trPr>
          <w:trHeight w:val="230"/>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10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Amended and Restated Certificate of Incorporation of the registrant, to be in effect upon completion of this offering.</w:t>
            </w:r>
          </w:p>
        </w:tc>
        <w:tc>
          <w:tcPr>
            <w:tcW w:w="0" w:type="dxa"/>
            <w:vAlign w:val="bottom"/>
          </w:tcPr>
          <w:p>
            <w:pPr>
              <w:spacing w:after="0"/>
              <w:rPr>
                <w:sz w:val="1"/>
                <w:szCs w:val="1"/>
                <w:color w:val="auto"/>
              </w:rPr>
            </w:pPr>
          </w:p>
        </w:tc>
      </w:tr>
      <w:tr>
        <w:trPr>
          <w:trHeight w:val="229"/>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0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and Restated Bylaws of the registrant, as amended, as currently in effect.</w:t>
            </w:r>
          </w:p>
        </w:tc>
        <w:tc>
          <w:tcPr>
            <w:tcW w:w="0" w:type="dxa"/>
            <w:vAlign w:val="bottom"/>
          </w:tcPr>
          <w:p>
            <w:pPr>
              <w:spacing w:after="0"/>
              <w:rPr>
                <w:sz w:val="1"/>
                <w:szCs w:val="1"/>
                <w:color w:val="auto"/>
              </w:rPr>
            </w:pPr>
          </w:p>
        </w:tc>
      </w:tr>
      <w:tr>
        <w:trPr>
          <w:trHeight w:val="230"/>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10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Amended and Restated Bylaws of the registrant, to be in effect upon completion of this offering.</w:t>
            </w:r>
          </w:p>
        </w:tc>
        <w:tc>
          <w:tcPr>
            <w:tcW w:w="0" w:type="dxa"/>
            <w:vAlign w:val="bottom"/>
          </w:tcPr>
          <w:p>
            <w:pPr>
              <w:spacing w:after="0"/>
              <w:rPr>
                <w:sz w:val="1"/>
                <w:szCs w:val="1"/>
                <w:color w:val="auto"/>
              </w:rPr>
            </w:pPr>
          </w:p>
        </w:tc>
      </w:tr>
      <w:tr>
        <w:trPr>
          <w:trHeight w:val="180"/>
        </w:trPr>
        <w:tc>
          <w:tcPr>
            <w:tcW w:w="10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5"/>
                <w:szCs w:val="15"/>
                <w:color w:val="auto"/>
              </w:rPr>
            </w:pPr>
          </w:p>
        </w:tc>
        <w:tc>
          <w:tcPr>
            <w:tcW w:w="101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Amended and Restated Investors’ Rights Agreement among the registrant and certain holders of its capital stock, dated as of August 9,</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33"/>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0"/>
                <w:szCs w:val="20"/>
                <w:color w:val="auto"/>
              </w:rPr>
            </w:pPr>
          </w:p>
        </w:tc>
        <w:tc>
          <w:tcPr>
            <w:tcW w:w="10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Warrant to Purchase Common Stock.</w:t>
            </w:r>
          </w:p>
        </w:tc>
        <w:tc>
          <w:tcPr>
            <w:tcW w:w="0" w:type="dxa"/>
            <w:vAlign w:val="bottom"/>
          </w:tcPr>
          <w:p>
            <w:pPr>
              <w:spacing w:after="0"/>
              <w:rPr>
                <w:sz w:val="1"/>
                <w:szCs w:val="1"/>
                <w:color w:val="auto"/>
              </w:rPr>
            </w:pPr>
          </w:p>
        </w:tc>
      </w:tr>
      <w:tr>
        <w:trPr>
          <w:trHeight w:val="230"/>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10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Opinion of Wilson Sonsini Goodrich &amp; Rosati, P.C.</w:t>
            </w:r>
          </w:p>
        </w:tc>
        <w:tc>
          <w:tcPr>
            <w:tcW w:w="0" w:type="dxa"/>
            <w:vAlign w:val="bottom"/>
          </w:tcPr>
          <w:p>
            <w:pPr>
              <w:spacing w:after="0"/>
              <w:rPr>
                <w:sz w:val="1"/>
                <w:szCs w:val="1"/>
                <w:color w:val="auto"/>
              </w:rPr>
            </w:pPr>
          </w:p>
        </w:tc>
      </w:tr>
      <w:tr>
        <w:trPr>
          <w:trHeight w:val="229"/>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10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Indemnification Agreement between the registrant and each of its directors and executive officers.</w:t>
            </w:r>
          </w:p>
        </w:tc>
        <w:tc>
          <w:tcPr>
            <w:tcW w:w="0" w:type="dxa"/>
            <w:vAlign w:val="bottom"/>
          </w:tcPr>
          <w:p>
            <w:pPr>
              <w:spacing w:after="0"/>
              <w:rPr>
                <w:sz w:val="1"/>
                <w:szCs w:val="1"/>
                <w:color w:val="auto"/>
              </w:rPr>
            </w:pPr>
          </w:p>
        </w:tc>
      </w:tr>
      <w:tr>
        <w:trPr>
          <w:trHeight w:val="229"/>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10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Chime Financial, Inc. 2025 Equity Incentive Plan and related form agreements.</w:t>
            </w:r>
          </w:p>
        </w:tc>
        <w:tc>
          <w:tcPr>
            <w:tcW w:w="0" w:type="dxa"/>
            <w:vAlign w:val="bottom"/>
          </w:tcPr>
          <w:p>
            <w:pPr>
              <w:spacing w:after="0"/>
              <w:rPr>
                <w:sz w:val="1"/>
                <w:szCs w:val="1"/>
                <w:color w:val="auto"/>
              </w:rPr>
            </w:pPr>
          </w:p>
        </w:tc>
      </w:tr>
      <w:tr>
        <w:trPr>
          <w:trHeight w:val="230"/>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10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Chime Financial, Inc. 2025 Employee Stock Purchase Plan and related form agreements.</w:t>
            </w:r>
          </w:p>
        </w:tc>
        <w:tc>
          <w:tcPr>
            <w:tcW w:w="0" w:type="dxa"/>
            <w:vAlign w:val="bottom"/>
          </w:tcPr>
          <w:p>
            <w:pPr>
              <w:spacing w:after="0"/>
              <w:rPr>
                <w:sz w:val="1"/>
                <w:szCs w:val="1"/>
                <w:color w:val="auto"/>
              </w:rPr>
            </w:pPr>
          </w:p>
        </w:tc>
      </w:tr>
      <w:tr>
        <w:trPr>
          <w:trHeight w:val="229"/>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10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Chime Financial, Inc. Amended and Restated 2012 Stock Option and Grant Plan and related form agreements.</w:t>
            </w:r>
          </w:p>
        </w:tc>
        <w:tc>
          <w:tcPr>
            <w:tcW w:w="0" w:type="dxa"/>
            <w:vAlign w:val="bottom"/>
          </w:tcPr>
          <w:p>
            <w:pPr>
              <w:spacing w:after="0"/>
              <w:rPr>
                <w:sz w:val="1"/>
                <w:szCs w:val="1"/>
                <w:color w:val="auto"/>
              </w:rPr>
            </w:pPr>
          </w:p>
        </w:tc>
      </w:tr>
      <w:tr>
        <w:trPr>
          <w:trHeight w:val="229"/>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10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Outside Director Compensation Policy.</w:t>
            </w:r>
          </w:p>
        </w:tc>
        <w:tc>
          <w:tcPr>
            <w:tcW w:w="0" w:type="dxa"/>
            <w:vAlign w:val="bottom"/>
          </w:tcPr>
          <w:p>
            <w:pPr>
              <w:spacing w:after="0"/>
              <w:rPr>
                <w:sz w:val="1"/>
                <w:szCs w:val="1"/>
                <w:color w:val="auto"/>
              </w:rPr>
            </w:pPr>
          </w:p>
        </w:tc>
      </w:tr>
      <w:tr>
        <w:trPr>
          <w:trHeight w:val="230"/>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9"/>
                <w:szCs w:val="19"/>
                <w:color w:val="auto"/>
              </w:rPr>
            </w:pPr>
          </w:p>
        </w:tc>
        <w:tc>
          <w:tcPr>
            <w:tcW w:w="10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Incentive Compensation Plan.</w:t>
            </w:r>
          </w:p>
        </w:tc>
        <w:tc>
          <w:tcPr>
            <w:tcW w:w="0" w:type="dxa"/>
            <w:vAlign w:val="bottom"/>
          </w:tcPr>
          <w:p>
            <w:pPr>
              <w:spacing w:after="0"/>
              <w:rPr>
                <w:sz w:val="1"/>
                <w:szCs w:val="1"/>
                <w:color w:val="auto"/>
              </w:rPr>
            </w:pPr>
          </w:p>
        </w:tc>
      </w:tr>
      <w:tr>
        <w:trPr>
          <w:trHeight w:val="229"/>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10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Control Severance Plan.</w:t>
            </w:r>
          </w:p>
        </w:tc>
        <w:tc>
          <w:tcPr>
            <w:tcW w:w="0" w:type="dxa"/>
            <w:vAlign w:val="bottom"/>
          </w:tcPr>
          <w:p>
            <w:pPr>
              <w:spacing w:after="0"/>
              <w:rPr>
                <w:sz w:val="1"/>
                <w:szCs w:val="1"/>
                <w:color w:val="auto"/>
              </w:rPr>
            </w:pPr>
          </w:p>
        </w:tc>
      </w:tr>
      <w:tr>
        <w:trPr>
          <w:trHeight w:val="230"/>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10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 Severance Plan.</w:t>
            </w:r>
          </w:p>
        </w:tc>
        <w:tc>
          <w:tcPr>
            <w:tcW w:w="0" w:type="dxa"/>
            <w:vAlign w:val="bottom"/>
          </w:tcPr>
          <w:p>
            <w:pPr>
              <w:spacing w:after="0"/>
              <w:rPr>
                <w:sz w:val="1"/>
                <w:szCs w:val="1"/>
                <w:color w:val="auto"/>
              </w:rPr>
            </w:pPr>
          </w:p>
        </w:tc>
      </w:tr>
      <w:tr>
        <w:trPr>
          <w:trHeight w:val="229"/>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10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Bonus Plan.</w:t>
            </w:r>
          </w:p>
        </w:tc>
        <w:tc>
          <w:tcPr>
            <w:tcW w:w="0" w:type="dxa"/>
            <w:vAlign w:val="bottom"/>
          </w:tcPr>
          <w:p>
            <w:pPr>
              <w:spacing w:after="0"/>
              <w:rPr>
                <w:sz w:val="1"/>
                <w:szCs w:val="1"/>
                <w:color w:val="auto"/>
              </w:rPr>
            </w:pPr>
          </w:p>
        </w:tc>
      </w:tr>
      <w:tr>
        <w:trPr>
          <w:trHeight w:val="230"/>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19"/>
                <w:szCs w:val="19"/>
                <w:color w:val="auto"/>
              </w:rPr>
            </w:pPr>
          </w:p>
        </w:tc>
        <w:tc>
          <w:tcPr>
            <w:tcW w:w="10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Agreement between the registrant and Elm Property Venture LLC, dated as of September 2, 2021.</w:t>
            </w:r>
          </w:p>
        </w:tc>
        <w:tc>
          <w:tcPr>
            <w:tcW w:w="0" w:type="dxa"/>
            <w:vAlign w:val="bottom"/>
          </w:tcPr>
          <w:p>
            <w:pPr>
              <w:spacing w:after="0"/>
              <w:rPr>
                <w:sz w:val="1"/>
                <w:szCs w:val="1"/>
                <w:color w:val="auto"/>
              </w:rPr>
            </w:pPr>
          </w:p>
        </w:tc>
      </w:tr>
      <w:tr>
        <w:trPr>
          <w:trHeight w:val="180"/>
        </w:trPr>
        <w:tc>
          <w:tcPr>
            <w:tcW w:w="10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15"/>
                <w:szCs w:val="15"/>
                <w:color w:val="auto"/>
              </w:rPr>
            </w:pPr>
          </w:p>
        </w:tc>
        <w:tc>
          <w:tcPr>
            <w:tcW w:w="101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Senior Secured Credit Facilities Credit Agreement among the registrant, the several lenders from time to time party thereto, and Silicon</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Valley Bank, a division of First-Citizens Bank &amp; Trust Company, dated as of June 5, 2023.</w:t>
            </w:r>
          </w:p>
        </w:tc>
        <w:tc>
          <w:tcPr>
            <w:tcW w:w="0" w:type="dxa"/>
            <w:vAlign w:val="bottom"/>
          </w:tcPr>
          <w:p>
            <w:pPr>
              <w:spacing w:after="0"/>
              <w:rPr>
                <w:sz w:val="1"/>
                <w:szCs w:val="1"/>
                <w:color w:val="auto"/>
              </w:rPr>
            </w:pPr>
          </w:p>
        </w:tc>
      </w:tr>
      <w:tr>
        <w:trPr>
          <w:trHeight w:val="238"/>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10.12</w:t>
            </w:r>
            <w:r>
              <w:rPr>
                <w:rFonts w:ascii="Times New Roman" w:cs="Times New Roman" w:eastAsia="Times New Roman" w:hAnsi="Times New Roman"/>
                <w:sz w:val="14"/>
                <w:szCs w:val="14"/>
                <w:color w:val="auto"/>
              </w:rPr>
              <w:t>†^</w:t>
            </w:r>
          </w:p>
        </w:tc>
        <w:tc>
          <w:tcPr>
            <w:tcW w:w="10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Master Services Agreement between the registrant and The Bancorp Bank, N.A., dated as of June 9, 2023, as amended on January 6, 2025.</w:t>
            </w:r>
          </w:p>
        </w:tc>
        <w:tc>
          <w:tcPr>
            <w:tcW w:w="0" w:type="dxa"/>
            <w:vAlign w:val="bottom"/>
          </w:tcPr>
          <w:p>
            <w:pPr>
              <w:spacing w:after="0"/>
              <w:rPr>
                <w:sz w:val="1"/>
                <w:szCs w:val="1"/>
                <w:color w:val="auto"/>
              </w:rPr>
            </w:pPr>
          </w:p>
        </w:tc>
      </w:tr>
      <w:tr>
        <w:trPr>
          <w:trHeight w:val="189"/>
        </w:trPr>
        <w:tc>
          <w:tcPr>
            <w:tcW w:w="112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10.13#</w:t>
            </w:r>
            <w:r>
              <w:rPr>
                <w:rFonts w:ascii="Times New Roman" w:cs="Times New Roman" w:eastAsia="Times New Roman" w:hAnsi="Times New Roman"/>
                <w:sz w:val="14"/>
                <w:szCs w:val="14"/>
                <w:color w:val="auto"/>
              </w:rPr>
              <w:t>†^</w:t>
            </w:r>
          </w:p>
        </w:tc>
        <w:tc>
          <w:tcPr>
            <w:tcW w:w="101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Amended &amp; Restated Private Label Consumer &amp; Commercial Checking Account, Savings Account &amp; Debit Card Issuance Agreement</w:t>
            </w:r>
          </w:p>
        </w:tc>
        <w:tc>
          <w:tcPr>
            <w:tcW w:w="0" w:type="dxa"/>
            <w:vAlign w:val="bottom"/>
          </w:tcPr>
          <w:p>
            <w:pPr>
              <w:spacing w:after="0"/>
              <w:rPr>
                <w:sz w:val="1"/>
                <w:szCs w:val="1"/>
                <w:color w:val="auto"/>
              </w:rPr>
            </w:pPr>
          </w:p>
        </w:tc>
      </w:tr>
      <w:tr>
        <w:trPr>
          <w:trHeight w:val="184"/>
        </w:trPr>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between the registrant and Stride Bank, N.A. (f/k/a Central National Bank and Trust Co. of Enid), effective as of December 1, 2022, as</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on October 23, 2024.</w:t>
            </w:r>
          </w:p>
        </w:tc>
        <w:tc>
          <w:tcPr>
            <w:tcW w:w="0" w:type="dxa"/>
            <w:vAlign w:val="bottom"/>
          </w:tcPr>
          <w:p>
            <w:pPr>
              <w:spacing w:after="0"/>
              <w:rPr>
                <w:sz w:val="1"/>
                <w:szCs w:val="1"/>
                <w:color w:val="auto"/>
              </w:rPr>
            </w:pPr>
          </w:p>
        </w:tc>
      </w:tr>
      <w:tr>
        <w:trPr>
          <w:trHeight w:val="180"/>
        </w:trPr>
        <w:tc>
          <w:tcPr>
            <w:tcW w:w="11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10.14#</w:t>
            </w:r>
            <w:r>
              <w:rPr>
                <w:rFonts w:ascii="Times New Roman" w:cs="Times New Roman" w:eastAsia="Times New Roman" w:hAnsi="Times New Roman"/>
                <w:sz w:val="14"/>
                <w:szCs w:val="14"/>
                <w:color w:val="auto"/>
              </w:rPr>
              <w:t>†^</w:t>
            </w:r>
          </w:p>
        </w:tc>
        <w:tc>
          <w:tcPr>
            <w:tcW w:w="101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Secured Credit Card Issuing and Marketing Agreement between the registrant and Central National Bank and Trust Co. of Enid, effective</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of October 10, 2018, as amended on March 10, 2020, March 17, 2021, December 1, 2022, and October 23, 2024.</w:t>
            </w:r>
          </w:p>
        </w:tc>
        <w:tc>
          <w:tcPr>
            <w:tcW w:w="0" w:type="dxa"/>
            <w:vAlign w:val="bottom"/>
          </w:tcPr>
          <w:p>
            <w:pPr>
              <w:spacing w:after="0"/>
              <w:rPr>
                <w:sz w:val="1"/>
                <w:szCs w:val="1"/>
                <w:color w:val="auto"/>
              </w:rPr>
            </w:pPr>
          </w:p>
        </w:tc>
      </w:tr>
      <w:tr>
        <w:trPr>
          <w:trHeight w:val="233"/>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0"/>
                <w:szCs w:val="20"/>
                <w:color w:val="auto"/>
              </w:rPr>
            </w:pPr>
          </w:p>
        </w:tc>
        <w:tc>
          <w:tcPr>
            <w:tcW w:w="10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List of subsidiaries of the registrant.</w:t>
            </w:r>
          </w:p>
        </w:tc>
        <w:tc>
          <w:tcPr>
            <w:tcW w:w="0" w:type="dxa"/>
            <w:vAlign w:val="bottom"/>
          </w:tcPr>
          <w:p>
            <w:pPr>
              <w:spacing w:after="0"/>
              <w:rPr>
                <w:sz w:val="1"/>
                <w:szCs w:val="1"/>
                <w:color w:val="auto"/>
              </w:rPr>
            </w:pPr>
          </w:p>
        </w:tc>
      </w:tr>
      <w:tr>
        <w:trPr>
          <w:trHeight w:val="229"/>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9"/>
                <w:szCs w:val="19"/>
                <w:color w:val="auto"/>
              </w:rPr>
            </w:pPr>
          </w:p>
        </w:tc>
        <w:tc>
          <w:tcPr>
            <w:tcW w:w="10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Consent of Ernst &amp; Young LLP, Independent Registered Public Accounting Firm.</w:t>
            </w:r>
          </w:p>
        </w:tc>
        <w:tc>
          <w:tcPr>
            <w:tcW w:w="0" w:type="dxa"/>
            <w:vAlign w:val="bottom"/>
          </w:tcPr>
          <w:p>
            <w:pPr>
              <w:spacing w:after="0"/>
              <w:rPr>
                <w:sz w:val="1"/>
                <w:szCs w:val="1"/>
                <w:color w:val="auto"/>
              </w:rPr>
            </w:pPr>
          </w:p>
        </w:tc>
      </w:tr>
      <w:tr>
        <w:trPr>
          <w:trHeight w:val="230"/>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9"/>
                <w:szCs w:val="19"/>
                <w:color w:val="auto"/>
              </w:rPr>
            </w:pPr>
          </w:p>
        </w:tc>
        <w:tc>
          <w:tcPr>
            <w:tcW w:w="10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Consent of Wilson Sonsini Goodrich &amp; Rosati, P.C. (included in Exhibit 5.1).</w:t>
            </w:r>
          </w:p>
        </w:tc>
        <w:tc>
          <w:tcPr>
            <w:tcW w:w="0" w:type="dxa"/>
            <w:vAlign w:val="bottom"/>
          </w:tcPr>
          <w:p>
            <w:pPr>
              <w:spacing w:after="0"/>
              <w:rPr>
                <w:sz w:val="1"/>
                <w:szCs w:val="1"/>
                <w:color w:val="auto"/>
              </w:rPr>
            </w:pPr>
          </w:p>
        </w:tc>
      </w:tr>
      <w:tr>
        <w:trPr>
          <w:trHeight w:val="230"/>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19"/>
                <w:szCs w:val="19"/>
                <w:color w:val="auto"/>
              </w:rPr>
            </w:pPr>
          </w:p>
        </w:tc>
        <w:tc>
          <w:tcPr>
            <w:tcW w:w="10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Consent of FS Vector LLC.</w:t>
            </w:r>
          </w:p>
        </w:tc>
        <w:tc>
          <w:tcPr>
            <w:tcW w:w="0" w:type="dxa"/>
            <w:vAlign w:val="bottom"/>
          </w:tcPr>
          <w:p>
            <w:pPr>
              <w:spacing w:after="0"/>
              <w:rPr>
                <w:sz w:val="1"/>
                <w:szCs w:val="1"/>
                <w:color w:val="auto"/>
              </w:rPr>
            </w:pPr>
          </w:p>
        </w:tc>
      </w:tr>
      <w:tr>
        <w:trPr>
          <w:trHeight w:val="230"/>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19"/>
                <w:szCs w:val="19"/>
                <w:color w:val="auto"/>
              </w:rPr>
            </w:pPr>
          </w:p>
        </w:tc>
        <w:tc>
          <w:tcPr>
            <w:tcW w:w="10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Power of Attorney (included on page II-5).</w:t>
            </w:r>
          </w:p>
        </w:tc>
        <w:tc>
          <w:tcPr>
            <w:tcW w:w="0" w:type="dxa"/>
            <w:vAlign w:val="bottom"/>
          </w:tcPr>
          <w:p>
            <w:pPr>
              <w:spacing w:after="0"/>
              <w:rPr>
                <w:sz w:val="1"/>
                <w:szCs w:val="1"/>
                <w:color w:val="auto"/>
              </w:rPr>
            </w:pPr>
          </w:p>
        </w:tc>
      </w:tr>
      <w:tr>
        <w:trPr>
          <w:trHeight w:val="23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107.1*</w:t>
            </w:r>
          </w:p>
        </w:tc>
        <w:tc>
          <w:tcPr>
            <w:tcW w:w="100" w:type="dxa"/>
            <w:vAlign w:val="bottom"/>
          </w:tcPr>
          <w:p>
            <w:pPr>
              <w:spacing w:after="0"/>
              <w:rPr>
                <w:sz w:val="20"/>
                <w:szCs w:val="20"/>
                <w:color w:val="auto"/>
              </w:rPr>
            </w:pPr>
          </w:p>
        </w:tc>
        <w:tc>
          <w:tcPr>
            <w:tcW w:w="10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Filing fee table.</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hanging="332"/>
        <w:spacing w:after="0"/>
        <w:tabs>
          <w:tab w:leader="none" w:pos="340" w:val="left"/>
        </w:tabs>
        <w:numPr>
          <w:ilvl w:val="0"/>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Previously filed.</w:t>
      </w:r>
    </w:p>
    <w:p>
      <w:pPr>
        <w:spacing w:after="0" w:line="11" w:lineRule="exact"/>
        <w:rPr>
          <w:sz w:val="20"/>
          <w:szCs w:val="20"/>
          <w:color w:val="auto"/>
        </w:rPr>
      </w:pPr>
    </w:p>
    <w:p>
      <w:pPr>
        <w:ind w:left="320" w:hanging="312"/>
        <w:spacing w:after="0"/>
        <w:tabs>
          <w:tab w:leader="none" w:pos="320" w:val="left"/>
        </w:tabs>
        <w:numPr>
          <w:ilvl w:val="0"/>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by amendment.</w:t>
      </w:r>
    </w:p>
    <w:p>
      <w:pPr>
        <w:spacing w:after="0" w:line="15" w:lineRule="exact"/>
        <w:rPr>
          <w:sz w:val="20"/>
          <w:szCs w:val="20"/>
          <w:color w:val="auto"/>
        </w:rPr>
      </w:pPr>
    </w:p>
    <w:p>
      <w:pPr>
        <w:ind w:left="320" w:hanging="312"/>
        <w:spacing w:after="0"/>
        <w:tabs>
          <w:tab w:leader="none" w:pos="320" w:val="left"/>
        </w:tabs>
        <w:numPr>
          <w:ilvl w:val="0"/>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management contract or compensatory plan.</w:t>
      </w:r>
    </w:p>
    <w:p>
      <w:pPr>
        <w:spacing w:after="0" w:line="15" w:lineRule="exact"/>
        <w:rPr>
          <w:sz w:val="20"/>
          <w:szCs w:val="20"/>
          <w:color w:val="auto"/>
        </w:rPr>
      </w:pPr>
    </w:p>
    <w:p>
      <w:pPr>
        <w:ind w:left="340" w:hanging="332"/>
        <w:spacing w:after="0"/>
        <w:tabs>
          <w:tab w:leader="none" w:pos="340" w:val="left"/>
        </w:tabs>
        <w:numPr>
          <w:ilvl w:val="0"/>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exhibit (indicated by asterisks) has been redacted because it is both (i) not material and (ii) information that the registrant treats as private or confidential.</w:t>
      </w:r>
    </w:p>
    <w:p>
      <w:pPr>
        <w:spacing w:after="0" w:line="15" w:lineRule="exact"/>
        <w:rPr>
          <w:sz w:val="20"/>
          <w:szCs w:val="20"/>
          <w:color w:val="auto"/>
        </w:rPr>
      </w:pPr>
    </w:p>
    <w:p>
      <w:pPr>
        <w:ind w:left="340" w:right="40" w:hanging="332"/>
        <w:spacing w:after="0" w:line="263" w:lineRule="auto"/>
        <w:tabs>
          <w:tab w:leader="none" w:pos="335" w:val="left"/>
        </w:tabs>
        <w:numPr>
          <w:ilvl w:val="0"/>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of the exhibits and schedules to this Exhibit have been omitted in accordance with Regulation S-K Item 601(a)(5). The Registrant agrees to furnish a copy of all omitted exhibits and schedules to the SEC upon its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240"/>
          </w:cols>
          <w:pgMar w:left="320" w:top="117" w:right="339" w:bottom="1440" w:gutter="0" w:footer="0" w:header="0"/>
        </w:sectPr>
      </w:pPr>
    </w:p>
    <w:bookmarkStart w:id="300" w:name="page301"/>
    <w:bookmarkEnd w:id="30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CHIME FINANCIAL,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registration statement on Form S-1 to be signed on its behalf by the undersigned, thereunto duly authorized, in San Francisco, California, on the day of , 2025.</w:t>
      </w:r>
    </w:p>
    <w:p>
      <w:pPr>
        <w:spacing w:after="0" w:line="144"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b w:val="1"/>
          <w:bCs w:val="1"/>
          <w:color w:val="auto"/>
        </w:rPr>
        <w:t>CHIME FINANCIAL, INC.</w:t>
      </w:r>
    </w:p>
    <w:p>
      <w:pPr>
        <w:spacing w:after="0" w:line="283"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17145</wp:posOffset>
            </wp:positionV>
            <wp:extent cx="14998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16"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Christopher Britt</w:t>
      </w:r>
    </w:p>
    <w:p>
      <w:pPr>
        <w:spacing w:after="0" w:line="27"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Chief Executive Officer and Chairman</w:t>
      </w: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75"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Christopher Britt, Matthew Newcomb, Adam Frankel, and Amine Asmerom, and each one of them, as their true and lawful attorneys-in-fact and agents, with full power of substitution and resubstitution, for them and in their name, place, and stead, in any and all capacities, to sign any and all amendments (including post-effective amendments) to this registration statement, and to sign any registration statement for the same offering covered by this registration statement that is to be effective on filing pursuant to Rule 462(b) under the Securities Act of 1933, as amended,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they might or could do in person, hereby ratifying and confirming all that said attorneys-in-fact and agents or any of them, or their substitute or substitutes, may lawfully do or cause to be done by virtue hereof.</w:t>
      </w:r>
    </w:p>
    <w:p>
      <w:pPr>
        <w:spacing w:after="0" w:line="134"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on Form S-1 has been signed by the following persons in the capacities and on the dates indicated.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40" w:type="dxa"/>
            <w:vAlign w:val="bottom"/>
          </w:tcPr>
          <w:p>
            <w:pPr>
              <w:ind w:left="198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0" w:type="dxa"/>
            <w:vAlign w:val="bottom"/>
          </w:tcPr>
          <w:p>
            <w:pPr>
              <w:spacing w:after="0"/>
              <w:rPr>
                <w:sz w:val="16"/>
                <w:szCs w:val="16"/>
                <w:color w:val="auto"/>
              </w:rPr>
            </w:pPr>
          </w:p>
        </w:tc>
        <w:tc>
          <w:tcPr>
            <w:tcW w:w="4640" w:type="dxa"/>
            <w:vAlign w:val="bottom"/>
            <w:gridSpan w:val="2"/>
          </w:tcPr>
          <w:p>
            <w:pPr>
              <w:ind w:left="21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940" w:type="dxa"/>
            <w:vAlign w:val="bottom"/>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3"/>
        </w:trPr>
        <w:tc>
          <w:tcPr>
            <w:tcW w:w="4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 and Chairman</w:t>
            </w:r>
          </w:p>
        </w:tc>
        <w:tc>
          <w:tcPr>
            <w:tcW w:w="194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 2025</w:t>
            </w:r>
          </w:p>
        </w:tc>
        <w:tc>
          <w:tcPr>
            <w:tcW w:w="0" w:type="dxa"/>
            <w:vAlign w:val="bottom"/>
          </w:tcPr>
          <w:p>
            <w:pPr>
              <w:spacing w:after="0"/>
              <w:rPr>
                <w:sz w:val="1"/>
                <w:szCs w:val="1"/>
                <w:color w:val="auto"/>
              </w:rPr>
            </w:pPr>
          </w:p>
        </w:tc>
      </w:tr>
      <w:tr>
        <w:trPr>
          <w:trHeight w:val="34"/>
        </w:trPr>
        <w:tc>
          <w:tcPr>
            <w:tcW w:w="454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4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Britt</w:t>
            </w:r>
          </w:p>
        </w:tc>
        <w:tc>
          <w:tcPr>
            <w:tcW w:w="100" w:type="dxa"/>
            <w:vAlign w:val="bottom"/>
            <w:vMerge w:val="continue"/>
          </w:tcPr>
          <w:p>
            <w:pPr>
              <w:spacing w:after="0"/>
              <w:rPr>
                <w:sz w:val="19"/>
                <w:szCs w:val="19"/>
                <w:color w:val="auto"/>
              </w:rPr>
            </w:pPr>
          </w:p>
        </w:tc>
        <w:tc>
          <w:tcPr>
            <w:tcW w:w="4640" w:type="dxa"/>
            <w:vAlign w:val="bottom"/>
            <w:gridSpan w:val="2"/>
            <w:vMerge w:val="continue"/>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2"/>
        </w:trPr>
        <w:tc>
          <w:tcPr>
            <w:tcW w:w="4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94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 2025</w:t>
            </w:r>
          </w:p>
        </w:tc>
        <w:tc>
          <w:tcPr>
            <w:tcW w:w="0" w:type="dxa"/>
            <w:vAlign w:val="bottom"/>
          </w:tcPr>
          <w:p>
            <w:pPr>
              <w:spacing w:after="0"/>
              <w:rPr>
                <w:sz w:val="1"/>
                <w:szCs w:val="1"/>
                <w:color w:val="auto"/>
              </w:rPr>
            </w:pPr>
          </w:p>
        </w:tc>
      </w:tr>
      <w:tr>
        <w:trPr>
          <w:trHeight w:val="34"/>
        </w:trPr>
        <w:tc>
          <w:tcPr>
            <w:tcW w:w="454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4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Matthew Newcomb</w:t>
            </w:r>
          </w:p>
        </w:tc>
        <w:tc>
          <w:tcPr>
            <w:tcW w:w="100" w:type="dxa"/>
            <w:vAlign w:val="bottom"/>
            <w:vMerge w:val="continue"/>
          </w:tcPr>
          <w:p>
            <w:pPr>
              <w:spacing w:after="0"/>
              <w:rPr>
                <w:sz w:val="19"/>
                <w:szCs w:val="19"/>
                <w:color w:val="auto"/>
              </w:rPr>
            </w:pPr>
          </w:p>
        </w:tc>
        <w:tc>
          <w:tcPr>
            <w:tcW w:w="4640" w:type="dxa"/>
            <w:vAlign w:val="bottom"/>
            <w:gridSpan w:val="2"/>
            <w:vMerge w:val="continue"/>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2"/>
        </w:trPr>
        <w:tc>
          <w:tcPr>
            <w:tcW w:w="4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c>
          <w:tcPr>
            <w:tcW w:w="194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 2025</w:t>
            </w:r>
          </w:p>
        </w:tc>
        <w:tc>
          <w:tcPr>
            <w:tcW w:w="0" w:type="dxa"/>
            <w:vAlign w:val="bottom"/>
          </w:tcPr>
          <w:p>
            <w:pPr>
              <w:spacing w:after="0"/>
              <w:rPr>
                <w:sz w:val="1"/>
                <w:szCs w:val="1"/>
                <w:color w:val="auto"/>
              </w:rPr>
            </w:pPr>
          </w:p>
        </w:tc>
      </w:tr>
      <w:tr>
        <w:trPr>
          <w:trHeight w:val="34"/>
        </w:trPr>
        <w:tc>
          <w:tcPr>
            <w:tcW w:w="454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4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Amine Asmerom</w:t>
            </w:r>
          </w:p>
        </w:tc>
        <w:tc>
          <w:tcPr>
            <w:tcW w:w="100" w:type="dxa"/>
            <w:vAlign w:val="bottom"/>
            <w:vMerge w:val="continue"/>
          </w:tcPr>
          <w:p>
            <w:pPr>
              <w:spacing w:after="0"/>
              <w:rPr>
                <w:sz w:val="19"/>
                <w:szCs w:val="19"/>
                <w:color w:val="auto"/>
              </w:rPr>
            </w:pPr>
          </w:p>
        </w:tc>
        <w:tc>
          <w:tcPr>
            <w:tcW w:w="4640" w:type="dxa"/>
            <w:vAlign w:val="bottom"/>
            <w:gridSpan w:val="2"/>
            <w:vMerge w:val="continue"/>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4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4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 2025</w:t>
            </w:r>
          </w:p>
        </w:tc>
        <w:tc>
          <w:tcPr>
            <w:tcW w:w="0" w:type="dxa"/>
            <w:vAlign w:val="bottom"/>
          </w:tcPr>
          <w:p>
            <w:pPr>
              <w:spacing w:after="0"/>
              <w:rPr>
                <w:sz w:val="1"/>
                <w:szCs w:val="1"/>
                <w:color w:val="auto"/>
              </w:rPr>
            </w:pPr>
          </w:p>
        </w:tc>
      </w:tr>
      <w:tr>
        <w:trPr>
          <w:trHeight w:val="27"/>
        </w:trPr>
        <w:tc>
          <w:tcPr>
            <w:tcW w:w="4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Shawn Carolan</w:t>
            </w:r>
          </w:p>
        </w:tc>
        <w:tc>
          <w:tcPr>
            <w:tcW w:w="10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4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4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 2025</w:t>
            </w:r>
          </w:p>
        </w:tc>
        <w:tc>
          <w:tcPr>
            <w:tcW w:w="0" w:type="dxa"/>
            <w:vAlign w:val="bottom"/>
          </w:tcPr>
          <w:p>
            <w:pPr>
              <w:spacing w:after="0"/>
              <w:rPr>
                <w:sz w:val="1"/>
                <w:szCs w:val="1"/>
                <w:color w:val="auto"/>
              </w:rPr>
            </w:pPr>
          </w:p>
        </w:tc>
      </w:tr>
      <w:tr>
        <w:trPr>
          <w:trHeight w:val="27"/>
        </w:trPr>
        <w:tc>
          <w:tcPr>
            <w:tcW w:w="4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Susan Decker</w:t>
            </w:r>
          </w:p>
        </w:tc>
        <w:tc>
          <w:tcPr>
            <w:tcW w:w="10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4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4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 2025</w:t>
            </w:r>
          </w:p>
        </w:tc>
        <w:tc>
          <w:tcPr>
            <w:tcW w:w="0" w:type="dxa"/>
            <w:vAlign w:val="bottom"/>
          </w:tcPr>
          <w:p>
            <w:pPr>
              <w:spacing w:after="0"/>
              <w:rPr>
                <w:sz w:val="1"/>
                <w:szCs w:val="1"/>
                <w:color w:val="auto"/>
              </w:rPr>
            </w:pPr>
          </w:p>
        </w:tc>
      </w:tr>
      <w:tr>
        <w:trPr>
          <w:trHeight w:val="228"/>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Jimmy Dunne</w:t>
            </w:r>
          </w:p>
        </w:tc>
        <w:tc>
          <w:tcPr>
            <w:tcW w:w="10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4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4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 2025</w:t>
            </w:r>
          </w:p>
        </w:tc>
        <w:tc>
          <w:tcPr>
            <w:tcW w:w="0" w:type="dxa"/>
            <w:vAlign w:val="bottom"/>
          </w:tcPr>
          <w:p>
            <w:pPr>
              <w:spacing w:after="0"/>
              <w:rPr>
                <w:sz w:val="1"/>
                <w:szCs w:val="1"/>
                <w:color w:val="auto"/>
              </w:rPr>
            </w:pPr>
          </w:p>
        </w:tc>
      </w:tr>
      <w:tr>
        <w:trPr>
          <w:trHeight w:val="228"/>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M. P. Feuille</w:t>
            </w:r>
          </w:p>
        </w:tc>
        <w:tc>
          <w:tcPr>
            <w:tcW w:w="10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4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4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 2025</w:t>
            </w:r>
          </w:p>
        </w:tc>
        <w:tc>
          <w:tcPr>
            <w:tcW w:w="0" w:type="dxa"/>
            <w:vAlign w:val="bottom"/>
          </w:tcPr>
          <w:p>
            <w:pPr>
              <w:spacing w:after="0"/>
              <w:rPr>
                <w:sz w:val="1"/>
                <w:szCs w:val="1"/>
                <w:color w:val="auto"/>
              </w:rPr>
            </w:pPr>
          </w:p>
        </w:tc>
      </w:tr>
      <w:tr>
        <w:trPr>
          <w:trHeight w:val="228"/>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Ryan King</w:t>
            </w:r>
          </w:p>
        </w:tc>
        <w:tc>
          <w:tcPr>
            <w:tcW w:w="10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4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4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 2025</w:t>
            </w:r>
          </w:p>
        </w:tc>
        <w:tc>
          <w:tcPr>
            <w:tcW w:w="0" w:type="dxa"/>
            <w:vAlign w:val="bottom"/>
          </w:tcPr>
          <w:p>
            <w:pPr>
              <w:spacing w:after="0"/>
              <w:rPr>
                <w:sz w:val="1"/>
                <w:szCs w:val="1"/>
                <w:color w:val="auto"/>
              </w:rPr>
            </w:pPr>
          </w:p>
        </w:tc>
      </w:tr>
      <w:tr>
        <w:trPr>
          <w:trHeight w:val="228"/>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Cynthia Marshall</w:t>
            </w:r>
          </w:p>
        </w:tc>
        <w:tc>
          <w:tcPr>
            <w:tcW w:w="10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220"/>
          </w:cols>
          <w:pgMar w:left="320" w:top="117" w:right="359" w:bottom="1440" w:gutter="0" w:footer="0" w:header="0"/>
          <w:type w:val="continuous"/>
        </w:sectPr>
      </w:pPr>
    </w:p>
    <w:bookmarkStart w:id="301" w:name="page302"/>
    <w:bookmarkEnd w:id="301"/>
    <w:p>
      <w:pPr>
        <w:jc w:val="right"/>
        <w:spacing w:after="0"/>
        <w:rPr>
          <w:sz w:val="20"/>
          <w:szCs w:val="20"/>
          <w:color w:val="auto"/>
        </w:rPr>
      </w:pPr>
      <w:r>
        <w:rPr>
          <w:rFonts w:ascii="Times New Roman" w:cs="Times New Roman" w:eastAsia="Times New Roman" w:hAnsi="Times New Roman"/>
          <w:sz w:val="18"/>
          <w:szCs w:val="18"/>
          <w:b w:val="1"/>
          <w:bCs w:val="1"/>
          <w:color w:val="auto"/>
        </w:rPr>
        <w:t>Exhibit 3.3</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CHIME FINANCIAL, INC.</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BYLAWS</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Adopted November 20, 2019</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STOCKHOLDERS</w:t>
      </w:r>
    </w:p>
    <w:p>
      <w:pPr>
        <w:spacing w:after="0" w:line="19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Annual Meeting</w:t>
      </w:r>
      <w:r>
        <w:rPr>
          <w:rFonts w:ascii="Times New Roman" w:cs="Times New Roman" w:eastAsia="Times New Roman" w:hAnsi="Times New Roman"/>
          <w:sz w:val="22"/>
          <w:szCs w:val="22"/>
          <w:color w:val="auto"/>
        </w:rPr>
        <w:t>.An annual meeting of the stockholders, for the election of directors to succeed those whose terms expire and for the transaction of such other business as may properly come before the meeting, shall be held at such place, on such date, and at such time as the Board of Directors shall each year fix, which date shall be within 13 months of the last annual meeting of stockholders or, if no such meeting has been held, the date of incorporation.</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Special Meetings</w:t>
      </w:r>
      <w:r>
        <w:rPr>
          <w:rFonts w:ascii="Times New Roman" w:cs="Times New Roman" w:eastAsia="Times New Roman" w:hAnsi="Times New Roman"/>
          <w:sz w:val="22"/>
          <w:szCs w:val="22"/>
          <w:color w:val="auto"/>
        </w:rPr>
        <w:t>.Special meetings of the stockholders, for any purpose or purposes prescribed in the notice of the meeting, may be called by the Board of Directors or the chief executive officer and shall be held at such place, on such date, and at such time as they or he or she shall fix.</w:t>
      </w:r>
    </w:p>
    <w:p>
      <w:pPr>
        <w:spacing w:after="0" w:line="167"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3.</w:t>
      </w:r>
      <w:r>
        <w:rPr>
          <w:sz w:val="20"/>
          <w:szCs w:val="20"/>
          <w:color w:val="auto"/>
        </w:rPr>
        <w:tab/>
      </w:r>
      <w:r>
        <w:rPr>
          <w:rFonts w:ascii="Times New Roman" w:cs="Times New Roman" w:eastAsia="Times New Roman" w:hAnsi="Times New Roman"/>
          <w:sz w:val="21"/>
          <w:szCs w:val="21"/>
          <w:u w:val="single" w:color="auto"/>
          <w:color w:val="auto"/>
        </w:rPr>
        <w:t>Notice of Meetings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Notice of the place, if any, date, and time of all meetings of the stockholders, the means of remote communications, if any, by which stockholders and proxyholders may be deemed to be present in person and vote at such meeting, and the record date for determining the stockholders entitled to vote at the meeting, if such date is different from the record date for determining stockholders entitled to notice of the meeting, shall be given, not less than 10 nor more than 60 days before the date on which the meeting is to be held, to each stockholder entitled to vote at such meeting as of the record date for determining the stockholders entitled to notice of the meeting, except as otherwise provided herein or required by law (meaning, here and hereinafter, as required from time to time by the Delaware General Corporation Law or the Certificate of Incorporation of the Corporation).</w:t>
      </w:r>
    </w:p>
    <w:p>
      <w:pPr>
        <w:spacing w:after="0" w:line="16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 xml:space="preserve">When a meeting is adjourned to another time or place, notice need not be given of the adjourned meeting if the time and place, if any, thereof, and the means of remote communications, if any, by which stockholders and proxyholders may be deemed to be present in person and vote at such adjourned meeting are announced at the meeting at which the adjournment is taken;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if the date of any adjourned meeting is more than 30 days after the date for which the meeting was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originally noticed, notice of the place, if any, date, and time of the adjourned meeting and the means of remote communications, if any, by which stockholders and proxyholders may be deemed to be present in person and vote at such adjourned meeting, shall be given to each stockholder in conformity herewith. If after the adjournment a new record date for stockholders entitled to vote is fixed for the adjourned meeting, the Board of Directors shall fix a new record date for notice of such adjourned meeting, which record date shall not precede the date upon which the resolution fixing the record date is</w:t>
      </w:r>
    </w:p>
    <w:p>
      <w:pPr>
        <w:sectPr>
          <w:pgSz w:w="11900" w:h="16838" w:orient="portrait"/>
          <w:cols w:equalWidth="0" w:num="1">
            <w:col w:w="11240"/>
          </w:cols>
          <w:pgMar w:left="320" w:top="117" w:right="339" w:bottom="1440" w:gutter="0" w:footer="0" w:header="0"/>
        </w:sectPr>
      </w:pPr>
    </w:p>
    <w:bookmarkStart w:id="302" w:name="page303"/>
    <w:bookmarkEnd w:id="302"/>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adopted by the Board of Directors and, except as otherwise required by law, shall not be more than 60 nor less than 10 days before the date of such adjourned meeting, and shall give notice of the adjourned meeting to each stockholder of record entitled to vote at such adjourned meeting as of the record date fixed for notice of such adjourned meeting. At any adjourned meeting, any business may be transacted which might have been transacted at the original meeting.</w:t>
      </w:r>
    </w:p>
    <w:p>
      <w:pPr>
        <w:spacing w:after="0" w:line="179"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4.</w:t>
      </w:r>
      <w:r>
        <w:rPr>
          <w:sz w:val="20"/>
          <w:szCs w:val="20"/>
          <w:color w:val="auto"/>
        </w:rPr>
        <w:tab/>
      </w:r>
      <w:r>
        <w:rPr>
          <w:rFonts w:ascii="Times New Roman" w:cs="Times New Roman" w:eastAsia="Times New Roman" w:hAnsi="Times New Roman"/>
          <w:sz w:val="21"/>
          <w:szCs w:val="21"/>
          <w:u w:val="single" w:color="auto"/>
          <w:color w:val="auto"/>
        </w:rPr>
        <w:t>Quorum</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At any meeting of the stockholders, the holders of a majority of the voting power of all of the shares of stock entitled to vote at the meeting, present in person or by proxy, shall constitute a quorum for all purposes, unless or except to the extent that the presence of a larger number may be required by law. Where a separate vote by a class or classes or series is required, a majority of the voting power of the shares of such class or classes or series present in person or represented by proxy shall constitute a quorum entitled to take action with respect to that vote on that matter. The stockholders present at a duly constituted meeting may continue to transact business until adjournment notwithstanding the withdrawal of enough stockholders to reduce the voting shares below a quorum.</w:t>
      </w:r>
    </w:p>
    <w:p>
      <w:pPr>
        <w:spacing w:after="0" w:line="18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If a quorum shall fail to attend any meeting, the chairman of the meeting or the holders of a majority of the shares of stock entitled to vote who are present, in person or by proxy, may adjourn the meeting to another place, if any, date, or time.</w:t>
      </w:r>
    </w:p>
    <w:p>
      <w:pPr>
        <w:spacing w:after="0" w:line="157"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5.</w:t>
      </w:r>
      <w:r>
        <w:rPr>
          <w:sz w:val="20"/>
          <w:szCs w:val="20"/>
          <w:color w:val="auto"/>
        </w:rPr>
        <w:tab/>
      </w:r>
      <w:r>
        <w:rPr>
          <w:rFonts w:ascii="Times New Roman" w:cs="Times New Roman" w:eastAsia="Times New Roman" w:hAnsi="Times New Roman"/>
          <w:sz w:val="21"/>
          <w:szCs w:val="21"/>
          <w:u w:val="single" w:color="auto"/>
          <w:color w:val="auto"/>
        </w:rPr>
        <w:t>Organization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Such person as the Board of Directors may have designated or, in the absence of such a person, the President of the Corporation or, in his or her absence, such person as may be chosen by the holders of a majority of the voting power of the shares entitled to vote who are present, in person or by proxy, shall call to order any meeting of the stockholders and act as chairman of the meeting. In the absence of the Secretary of the Corporation, the secretary of the meeting shall be such person as the chairman of the meeting appoints.</w:t>
      </w:r>
    </w:p>
    <w:p>
      <w:pPr>
        <w:spacing w:after="0" w:line="180"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6.</w:t>
      </w:r>
      <w:r>
        <w:rPr>
          <w:sz w:val="20"/>
          <w:szCs w:val="20"/>
          <w:color w:val="auto"/>
        </w:rPr>
        <w:tab/>
      </w:r>
      <w:r>
        <w:rPr>
          <w:rFonts w:ascii="Times New Roman" w:cs="Times New Roman" w:eastAsia="Times New Roman" w:hAnsi="Times New Roman"/>
          <w:sz w:val="21"/>
          <w:szCs w:val="21"/>
          <w:u w:val="single" w:color="auto"/>
          <w:color w:val="auto"/>
        </w:rPr>
        <w:t>Conduct of Business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The chairman of any meeting of stockholders shall determine the order of business and the procedure at the meeting, including such regulation of the manner of voting and the conduct of discussion as seem to him or her in order. The date and time of the opening and closing of the polls for each matter upon which the stockholders will vote at the meeting shall be announced at the meeting.</w:t>
      </w:r>
    </w:p>
    <w:p>
      <w:pPr>
        <w:spacing w:after="0" w:line="179"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7.</w:t>
      </w:r>
      <w:r>
        <w:rPr>
          <w:sz w:val="20"/>
          <w:szCs w:val="20"/>
          <w:color w:val="auto"/>
        </w:rPr>
        <w:tab/>
      </w:r>
      <w:r>
        <w:rPr>
          <w:rFonts w:ascii="Times New Roman" w:cs="Times New Roman" w:eastAsia="Times New Roman" w:hAnsi="Times New Roman"/>
          <w:sz w:val="21"/>
          <w:szCs w:val="21"/>
          <w:u w:val="single" w:color="auto"/>
          <w:color w:val="auto"/>
        </w:rPr>
        <w:t>Proxies and Voting</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At any meeting of the stockholders, every stockholder entitled to vote may vote in person or by proxy authorized by an instrument in writing or by a transmission permitted by law filed in accordance with the procedure established for the meeting. Any copy, facsimile telecommunication or other reliable reproduction of the writing or transmission created pursuant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24" w:right="339" w:bottom="1440" w:gutter="0" w:footer="0" w:header="0"/>
        </w:sectPr>
      </w:pPr>
    </w:p>
    <w:bookmarkStart w:id="303" w:name="page304"/>
    <w:bookmarkEnd w:id="303"/>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2"/>
          <w:szCs w:val="22"/>
          <w:color w:val="auto"/>
        </w:rPr>
        <w:t xml:space="preserve">to this paragraph may be substituted or used in lieu of the original writing or transmission for any and all purposes for which the original writing or transmission could be used,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copy, facsimile telecommunication or other reproduction shall be a complete reproduction of the entire original writing or transmission.</w:t>
      </w:r>
    </w:p>
    <w:p>
      <w:pPr>
        <w:spacing w:after="0" w:line="172"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The Corporation may, and to the extent required by law, shall, in advance of any meeting of stockholders, appoint one or more inspectors to act at the meeting and make a written report thereof. The Corporation may designate one or more alternate inspectors to replace any inspector who fails to act. If no inspector or alternate is able to act at a meeting of stockholders, the person presiding at the meeting may, and to the extent required by law, shall, appoint one or more inspectors to act at the meeting. Each inspector, before entering upon the discharge of his or her duties, shall take and sign an oath faithfully to execute the duties of inspector with strict impartiality and according to the best of his or her ability. Every vote taken by ballots shall be counted by an inspector or inspectors appointed by the chairman of the meeting.</w:t>
      </w:r>
    </w:p>
    <w:p>
      <w:pPr>
        <w:spacing w:after="0" w:line="18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All elections shall be determined by a plurality of the votes cast, and except as otherwise required by law, all other matters shall be determined by a majority of the votes cast affirmatively or negatively.</w:t>
      </w:r>
    </w:p>
    <w:p>
      <w:pPr>
        <w:spacing w:after="0" w:line="157"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8.</w:t>
      </w:r>
      <w:r>
        <w:rPr>
          <w:sz w:val="20"/>
          <w:szCs w:val="20"/>
          <w:color w:val="auto"/>
        </w:rPr>
        <w:tab/>
      </w:r>
      <w:r>
        <w:rPr>
          <w:rFonts w:ascii="Times New Roman" w:cs="Times New Roman" w:eastAsia="Times New Roman" w:hAnsi="Times New Roman"/>
          <w:sz w:val="21"/>
          <w:szCs w:val="21"/>
          <w:u w:val="single" w:color="auto"/>
          <w:color w:val="auto"/>
        </w:rPr>
        <w:t>Stock List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2"/>
          <w:szCs w:val="22"/>
          <w:color w:val="auto"/>
        </w:rPr>
        <w:t xml:space="preserve">The officer who has charge of the stock ledger of the Corporation shall, at least 10 days before every meeting of stockholders, prepare and make a complete list of stockholders entitled to vote at any meeting of stockholders,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if the record date for determining the stockholders entitled to vote is less than 10 days before the meeting date, the list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reflect the stockholders entitled to vote as of the 10th day before the meeting date, arranged in alphabetical order and showing the address of each such stockholder and the number of shares registered in his or her name. Such list shall be open to the examination of any stockholder for a period of at least 10 days prior to the meeting in the manner provided by law.</w:t>
      </w:r>
    </w:p>
    <w:p>
      <w:pPr>
        <w:spacing w:after="0" w:line="185"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A stock list shall also be open to the examination of any stockholder during the whole time of the meeting as provided by law. This list shall presumptively determine (a) the identity of the stockholders entitled to examine such stock list and to vote at the meeting and (b) the number of shares held by each of them.</w:t>
      </w:r>
    </w:p>
    <w:p>
      <w:pPr>
        <w:spacing w:after="0" w:line="172"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9.</w:t>
      </w:r>
      <w:r>
        <w:rPr>
          <w:sz w:val="20"/>
          <w:szCs w:val="20"/>
          <w:color w:val="auto"/>
        </w:rPr>
        <w:tab/>
      </w:r>
      <w:r>
        <w:rPr>
          <w:rFonts w:ascii="Times New Roman" w:cs="Times New Roman" w:eastAsia="Times New Roman" w:hAnsi="Times New Roman"/>
          <w:sz w:val="21"/>
          <w:szCs w:val="21"/>
          <w:u w:val="single" w:color="auto"/>
          <w:color w:val="auto"/>
        </w:rPr>
        <w:t>Consent of Stockholders in Lieu of Meeting</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2"/>
          <w:szCs w:val="22"/>
          <w:color w:val="auto"/>
        </w:rPr>
        <w:t>Any action required to be taken at any annual or special meeting of stockholders of the Corporation, or any action which may be taken at any annual or special meeting of the stockholders,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24" w:right="339" w:bottom="1440" w:gutter="0" w:footer="0" w:header="0"/>
        </w:sectPr>
      </w:pPr>
    </w:p>
    <w:bookmarkStart w:id="304" w:name="page305"/>
    <w:bookmarkEnd w:id="304"/>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2"/>
          <w:szCs w:val="22"/>
          <w:color w:val="auto"/>
        </w:rPr>
        <w:t>Delaware, its principal place of business, or an officer or agent of the Corporation having custody of the book in which proceedings of meetings of stockholders are recorded. Delivery made to the Corporation’s registered office shall be made by hand or by certified or registered mail, return receipt requested.</w:t>
      </w:r>
    </w:p>
    <w:p>
      <w:pPr>
        <w:spacing w:after="0" w:line="172"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Every written consent shall bear the date of signature of each stockholder who signs the consent, and no written consent shall be effective to take the corporate action referred to therein unless, within 60 days of the earliest dated consent delivered to the Corporation, a written consent or consents signed by a sufficient number of holders to take action are delivered to the Corporation in the manner prescribed in the first paragraph of this Section. A telegram, cablegram or other electronic transmission consenting to an action to be taken and transmitted by a stockholder or proxyholder, or by a person or persons authorized to act for a stockholder or proxyholder, shall be deemed to be written, signed and dated for the purposes of this Section to the extent permitted by law. Any such consent shall be delivered in accordance with Section 228(d)(1) of the Delaware General Corporation Law.</w:t>
      </w:r>
    </w:p>
    <w:p>
      <w:pPr>
        <w:spacing w:after="0" w:line="184"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 xml:space="preserve">Any copy, facsimile or other reliable reproduction of a consent in writing may be substituted or used in lieu of the original writing for any and all purposes for which the original writing could be used, </w:t>
      </w:r>
      <w:r>
        <w:rPr>
          <w:rFonts w:ascii="Times New Roman" w:cs="Times New Roman" w:eastAsia="Times New Roman" w:hAnsi="Times New Roman"/>
          <w:sz w:val="22"/>
          <w:szCs w:val="22"/>
          <w:i w:val="1"/>
          <w:iCs w:val="1"/>
          <w:color w:val="auto"/>
        </w:rPr>
        <w:t>provided that</w:t>
      </w:r>
      <w:r>
        <w:rPr>
          <w:rFonts w:ascii="Times New Roman" w:cs="Times New Roman" w:eastAsia="Times New Roman" w:hAnsi="Times New Roman"/>
          <w:sz w:val="22"/>
          <w:szCs w:val="22"/>
          <w:color w:val="auto"/>
        </w:rPr>
        <w:t xml:space="preserve"> such copy, facsimile or other reproduction shall be a complete reproduction of the entire original writing.</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BOARD OF DIRECTORS</w:t>
      </w:r>
    </w:p>
    <w:p>
      <w:pPr>
        <w:spacing w:after="0" w:line="196"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1.</w:t>
      </w:r>
      <w:r>
        <w:rPr>
          <w:sz w:val="20"/>
          <w:szCs w:val="20"/>
          <w:color w:val="auto"/>
        </w:rPr>
        <w:tab/>
      </w:r>
      <w:r>
        <w:rPr>
          <w:rFonts w:ascii="Times New Roman" w:cs="Times New Roman" w:eastAsia="Times New Roman" w:hAnsi="Times New Roman"/>
          <w:sz w:val="21"/>
          <w:szCs w:val="21"/>
          <w:u w:val="single" w:color="auto"/>
          <w:color w:val="auto"/>
        </w:rPr>
        <w:t>Number and Term of Office</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The number of directors who shall constitute the whole Board of Directors shall be such number as the Board of Directors shall from time to time have designated. Each director shall be elected for a term of one year and until his or her successor is elected and qualified, except as otherwise provided herein or required by law.</w:t>
      </w:r>
    </w:p>
    <w:p>
      <w:pPr>
        <w:spacing w:after="0" w:line="17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Whenever the authorized number of directors is increased between annual meetings of the stockholders, a majority of the directors then in office shall have the power to elect such new directors for the balance of a term and until their successors are elected and qualified. Any decrease in the authorized number of directors shall not become effective until the expiration of the term of the directors then in office unless, at the time of such decrease, there shall be vacancies on the board which are being eliminated by the decrease.</w:t>
      </w:r>
    </w:p>
    <w:p>
      <w:pPr>
        <w:spacing w:after="0" w:line="18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Removal of Directors; Resignation</w:t>
      </w:r>
      <w:r>
        <w:rPr>
          <w:rFonts w:ascii="Times New Roman" w:cs="Times New Roman" w:eastAsia="Times New Roman" w:hAnsi="Times New Roman"/>
          <w:sz w:val="22"/>
          <w:szCs w:val="22"/>
          <w:color w:val="auto"/>
        </w:rPr>
        <w:t xml:space="preserve"> Unless otherwise provided by the Certificate of Incorporation or these bylaws, any director or the entire Board of Directors may be removed, with or without cause, by the holders of a majority of shares entitled to vote at an election of directors. Any director may resign at any time upon notice given in writing or by electronic transmission to the Corporation. Such resignation shall be effective upon receipt unless it is specified to be effective at some other time or upon the happening of some other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24" w:right="339" w:bottom="1440" w:gutter="0" w:footer="0" w:header="0"/>
        </w:sectPr>
      </w:pPr>
    </w:p>
    <w:bookmarkStart w:id="305" w:name="page306"/>
    <w:bookmarkEnd w:id="305"/>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3.</w:t>
      </w:r>
      <w:r>
        <w:rPr>
          <w:sz w:val="20"/>
          <w:szCs w:val="20"/>
          <w:color w:val="auto"/>
        </w:rPr>
        <w:tab/>
      </w:r>
      <w:r>
        <w:rPr>
          <w:rFonts w:ascii="Times New Roman" w:cs="Times New Roman" w:eastAsia="Times New Roman" w:hAnsi="Times New Roman"/>
          <w:sz w:val="21"/>
          <w:szCs w:val="21"/>
          <w:u w:val="single" w:color="auto"/>
          <w:color w:val="auto"/>
        </w:rPr>
        <w:t>Vacancies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Unless otherwise provided in the Corporation’s Certificate of Incorporation, as it may be amended, if the office of any director becomes vacant by reason of death, resignation, disqualification, removal or other cause, a majority of the directors remaining in office, although less than a quorum, may elect a successor for the unexpired term and until his or her successor is elected and qualified. Unless otherwise provided in the Corporation’s Certificate of Incorporation, as it may be amended, vacancies and newly created directorships resulting from any increase in the authorized number of directors may be filled by a majority of the directors then in office, though less than a quorum, or by a sole remaining director, and the directors so chosen shall hold office until the next annual election and until their successors are duly elected and shall qualify, unless sooner displaced. If there are no directors in office, then an election of directors may be held in the manner provided by statute.</w:t>
      </w:r>
    </w:p>
    <w:p>
      <w:pPr>
        <w:spacing w:after="0" w:line="184"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4.</w:t>
      </w:r>
      <w:r>
        <w:rPr>
          <w:sz w:val="20"/>
          <w:szCs w:val="20"/>
          <w:color w:val="auto"/>
        </w:rPr>
        <w:tab/>
      </w:r>
      <w:r>
        <w:rPr>
          <w:rFonts w:ascii="Times New Roman" w:cs="Times New Roman" w:eastAsia="Times New Roman" w:hAnsi="Times New Roman"/>
          <w:sz w:val="21"/>
          <w:szCs w:val="21"/>
          <w:u w:val="single" w:color="auto"/>
          <w:color w:val="auto"/>
        </w:rPr>
        <w:t>Regular Meetings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Regular meetings of the Board of Directors shall be held at such place or places, on such date or dates, and at such time or times as shall have been established by the Board of Directors and publicized among all directors. A notice of each regular meeting shall not be required.</w:t>
      </w:r>
    </w:p>
    <w:p>
      <w:pPr>
        <w:spacing w:after="0" w:line="172"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5.</w:t>
      </w:r>
      <w:r>
        <w:rPr>
          <w:sz w:val="20"/>
          <w:szCs w:val="20"/>
          <w:color w:val="auto"/>
        </w:rPr>
        <w:tab/>
      </w:r>
      <w:r>
        <w:rPr>
          <w:rFonts w:ascii="Times New Roman" w:cs="Times New Roman" w:eastAsia="Times New Roman" w:hAnsi="Times New Roman"/>
          <w:sz w:val="21"/>
          <w:szCs w:val="21"/>
          <w:u w:val="single" w:color="auto"/>
          <w:color w:val="auto"/>
        </w:rPr>
        <w:t>Special Meetings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Special meetings of the Board of Directors may be called by one-third of the directors then in office (rounded up to the nearest whole number) or by the President and shall be held at such place, on such date, and at such time as they or he or she shall fix. Notice of the place, date, and time of each such special meeting shall be given to each director by whom it is not waived by mailing written notice not less than five days before the meeting or by telegraphing or telexing or by facsimile or electronic transmission of the same not less than 24 hours before the meeting. Unless otherwise indicated in the notice thereof, any and all business may be transacted at a special meeting. A meeting may be held at any time without notice if all the directors are present (except as otherwise provided by law) or if those not present waive notice of the meeting in writing, either before or after such meeting.</w:t>
      </w:r>
    </w:p>
    <w:p>
      <w:pPr>
        <w:spacing w:after="0" w:line="184"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6.</w:t>
      </w:r>
      <w:r>
        <w:rPr>
          <w:sz w:val="20"/>
          <w:szCs w:val="20"/>
          <w:color w:val="auto"/>
        </w:rPr>
        <w:tab/>
      </w:r>
      <w:r>
        <w:rPr>
          <w:rFonts w:ascii="Times New Roman" w:cs="Times New Roman" w:eastAsia="Times New Roman" w:hAnsi="Times New Roman"/>
          <w:sz w:val="21"/>
          <w:szCs w:val="21"/>
          <w:u w:val="single" w:color="auto"/>
          <w:color w:val="auto"/>
        </w:rPr>
        <w:t>Quorum</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 xml:space="preserve">At any meeting of the Board of Directors, the greater of (a) a majority of the directors then in office at the time quorum is to be determined and (b) one-third of the total number of directors fixed pursuant to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of these Bylaws shall constitute a quorum for the transaction of business. Less than a quorum may adjourn any meeting from time to time, and the meeting may be held as adjourned without further notice.</w:t>
      </w:r>
    </w:p>
    <w:p>
      <w:pPr>
        <w:spacing w:after="0" w:line="179"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7.</w:t>
      </w:r>
      <w:r>
        <w:rPr>
          <w:sz w:val="20"/>
          <w:szCs w:val="20"/>
          <w:color w:val="auto"/>
        </w:rPr>
        <w:tab/>
      </w:r>
      <w:r>
        <w:rPr>
          <w:rFonts w:ascii="Times New Roman" w:cs="Times New Roman" w:eastAsia="Times New Roman" w:hAnsi="Times New Roman"/>
          <w:sz w:val="21"/>
          <w:szCs w:val="21"/>
          <w:u w:val="single" w:color="auto"/>
          <w:color w:val="auto"/>
        </w:rPr>
        <w:t>Participation in Meetings By Conference Telephone</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Members of the Board of Directors, or of any committee thereof, may participate in a meeting of such Board of Directors or committee by means of conference telephone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24" w:right="339" w:bottom="1440" w:gutter="0" w:footer="0" w:header="0"/>
        </w:sectPr>
      </w:pPr>
    </w:p>
    <w:bookmarkStart w:id="306" w:name="page307"/>
    <w:bookmarkEnd w:id="306"/>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communications equipment by means of which all persons participating in the meeting can hear each other, and such participation shall constitute presence in person at such meeting.</w:t>
      </w:r>
    </w:p>
    <w:p>
      <w:pPr>
        <w:spacing w:after="0" w:line="157"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8.</w:t>
      </w:r>
      <w:r>
        <w:rPr>
          <w:sz w:val="20"/>
          <w:szCs w:val="20"/>
          <w:color w:val="auto"/>
        </w:rPr>
        <w:tab/>
      </w:r>
      <w:r>
        <w:rPr>
          <w:rFonts w:ascii="Times New Roman" w:cs="Times New Roman" w:eastAsia="Times New Roman" w:hAnsi="Times New Roman"/>
          <w:sz w:val="21"/>
          <w:szCs w:val="21"/>
          <w:u w:val="single" w:color="auto"/>
          <w:color w:val="auto"/>
        </w:rPr>
        <w:t>Conduct of Business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21"/>
          <w:szCs w:val="21"/>
          <w:color w:val="auto"/>
        </w:rPr>
        <w:t>At any meeting of the Board of Directors, business shall be transacted in such order and manner as the Board of Directors may from time to time determine, and all matters shall be determined by the vote of a majority of the directors present, except as otherwise provided herein or required by law. Action may be taken by the Board of Directors without a meeting if all members thereof consent thereto in writing or by electronic transmission, and the writing or writings or electronic transmission or transmissions are filed with the minutes of proceedings of the Board of Directors. Such filing shall be in paper form if the minutes are maintained in paper form and shall be in electronic form if the minutes are maintained in electronic form.</w:t>
      </w:r>
    </w:p>
    <w:p>
      <w:pPr>
        <w:spacing w:after="0" w:line="170"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9.</w:t>
      </w:r>
      <w:r>
        <w:rPr>
          <w:sz w:val="20"/>
          <w:szCs w:val="20"/>
          <w:color w:val="auto"/>
        </w:rPr>
        <w:tab/>
      </w:r>
      <w:r>
        <w:rPr>
          <w:rFonts w:ascii="Times New Roman" w:cs="Times New Roman" w:eastAsia="Times New Roman" w:hAnsi="Times New Roman"/>
          <w:sz w:val="21"/>
          <w:szCs w:val="21"/>
          <w:u w:val="single" w:color="auto"/>
          <w:color w:val="auto"/>
        </w:rPr>
        <w:t>Compensation of Directors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Directors, as such, may receive, pursuant to resolution of the Board of Directors, fixed fees and other compensation for their services as directors, including, without limitation, their services as members of committees of the Board of Directors.</w:t>
      </w:r>
    </w:p>
    <w:p>
      <w:pPr>
        <w:spacing w:after="0" w:line="157"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2"/>
          <w:szCs w:val="22"/>
          <w:color w:val="auto"/>
        </w:rPr>
        <w:t>Section 10.</w:t>
      </w:r>
      <w:r>
        <w:rPr>
          <w:sz w:val="20"/>
          <w:szCs w:val="20"/>
          <w:color w:val="auto"/>
        </w:rPr>
        <w:tab/>
      </w:r>
      <w:r>
        <w:rPr>
          <w:rFonts w:ascii="Times New Roman" w:cs="Times New Roman" w:eastAsia="Times New Roman" w:hAnsi="Times New Roman"/>
          <w:sz w:val="21"/>
          <w:szCs w:val="21"/>
          <w:u w:val="single" w:color="auto"/>
          <w:color w:val="auto"/>
        </w:rPr>
        <w:t>Board Removal of Chief Executive Officer</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If the Board of Directors consists of less than five (5) directors, a termination of the Company’s chief executive officer shall not occur without a unanimous vote of the Board of Directors; provided, however, that if the Company’s chief executive officer is serving on the Board of Directors, such vote shall not require the approval of the director then serving as chief executive officer.</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COMMITTEES</w:t>
      </w:r>
    </w:p>
    <w:p>
      <w:pPr>
        <w:spacing w:after="0" w:line="196"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1.</w:t>
      </w:r>
      <w:r>
        <w:rPr>
          <w:sz w:val="20"/>
          <w:szCs w:val="20"/>
          <w:color w:val="auto"/>
        </w:rPr>
        <w:tab/>
      </w:r>
      <w:r>
        <w:rPr>
          <w:rFonts w:ascii="Times New Roman" w:cs="Times New Roman" w:eastAsia="Times New Roman" w:hAnsi="Times New Roman"/>
          <w:sz w:val="21"/>
          <w:szCs w:val="21"/>
          <w:u w:val="single" w:color="auto"/>
          <w:color w:val="auto"/>
        </w:rPr>
        <w:t>Committees of the Board of Directors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The Board of Directors may from time to time designate committees of the Board of Directors, with such lawfully delegable powers and duties as it thereby confers, to serve at the pleasure of the Board of Directors and shall, for those committees and any others provided for herein, elect a director or directors to serve as the member or members, designating, if it desires, other directors as alternate members who may replace any absent or disqualified member at any meeting of the committee. In the absence or disqualification of any member of any committee and any alternate member in his or her place, the member or members of the committee present at the meeting and not disqualified from voting, whether or not he or she or they constitute a quorum, may by unanimous vote appoint another member of the Board of Directors to act at the meeting in the place of the absent or disqualified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24" w:right="339" w:bottom="1440" w:gutter="0" w:footer="0" w:header="0"/>
        </w:sectPr>
      </w:pPr>
    </w:p>
    <w:bookmarkStart w:id="307" w:name="page308"/>
    <w:bookmarkEnd w:id="307"/>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2.</w:t>
      </w:r>
      <w:r>
        <w:rPr>
          <w:sz w:val="20"/>
          <w:szCs w:val="20"/>
          <w:color w:val="auto"/>
        </w:rPr>
        <w:tab/>
      </w:r>
      <w:r>
        <w:rPr>
          <w:rFonts w:ascii="Times New Roman" w:cs="Times New Roman" w:eastAsia="Times New Roman" w:hAnsi="Times New Roman"/>
          <w:sz w:val="21"/>
          <w:szCs w:val="21"/>
          <w:u w:val="single" w:color="auto"/>
          <w:color w:val="auto"/>
        </w:rPr>
        <w:t>Conduct of Business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Each committee may determine the procedural rules for meeting and conducting its business and shall act in accordance therewith, except as otherwise provided herein or required by law. Adequate provision shall be made for notice to members of all meetings; one-third of the members shall constitute a quorum unless the committee shall consist of one or two members, in which event one member shall constitute a quorum; and all matters shall be determined by a majority vote of the members present. Action may be taken by any committee without a meeting if all members thereof consent thereto in writing or by electronic transmission, and the writing or writings or electronic transmission or transmissions are filed with the minutes of the proceedings of such committee. Such filing shall be in paper form if the minutes are maintained in paper form and shall be in electronic form if the minutes are maintained in electronic form.</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OFFICERS</w:t>
      </w:r>
    </w:p>
    <w:p>
      <w:pPr>
        <w:spacing w:after="0" w:line="209"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1.</w:t>
      </w:r>
      <w:r>
        <w:rPr>
          <w:sz w:val="20"/>
          <w:szCs w:val="20"/>
          <w:color w:val="auto"/>
        </w:rPr>
        <w:tab/>
      </w:r>
      <w:r>
        <w:rPr>
          <w:rFonts w:ascii="Times New Roman" w:cs="Times New Roman" w:eastAsia="Times New Roman" w:hAnsi="Times New Roman"/>
          <w:sz w:val="21"/>
          <w:szCs w:val="21"/>
          <w:u w:val="single" w:color="auto"/>
          <w:color w:val="auto"/>
        </w:rPr>
        <w:t>Generally</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officers of the Corporation will be chosen by the Board of Directors and will consist of a President, a Secretary, a Treasurer and such other officers, as may from time to time be appointed by the Board of Directors. Officers shall be elected by the Board of Directors, which shall consider that subject at its first meeting after every annual meeting of stockholders. Each officer shall hold office until his or her successor is elected and qualified or until his or her earlier resignation or removal. Any number of offices may be held by the same person.</w:t>
      </w:r>
    </w:p>
    <w:p>
      <w:pPr>
        <w:spacing w:after="0" w:line="18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Subject to any limitations which may be set forth in a resolution of the Board of Directors, all deeds, leases, transfers, contracts, bonds, notes and other obligations to be entered into by the Corporation in the ordinary course of its business without director action may be executed on behalf of the Corporation by a President or by any other officer, employee or agent of the Corporation as the Board of Directors may authorize.</w:t>
      </w:r>
    </w:p>
    <w:p>
      <w:pPr>
        <w:spacing w:after="0" w:line="179"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2.</w:t>
      </w:r>
      <w:r>
        <w:rPr>
          <w:sz w:val="20"/>
          <w:szCs w:val="20"/>
          <w:color w:val="auto"/>
        </w:rPr>
        <w:tab/>
      </w:r>
      <w:r>
        <w:rPr>
          <w:rFonts w:ascii="Times New Roman" w:cs="Times New Roman" w:eastAsia="Times New Roman" w:hAnsi="Times New Roman"/>
          <w:sz w:val="21"/>
          <w:szCs w:val="21"/>
          <w:u w:val="single" w:color="auto"/>
          <w:color w:val="auto"/>
        </w:rPr>
        <w:t>President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2"/>
          <w:szCs w:val="22"/>
          <w:color w:val="auto"/>
        </w:rPr>
        <w:t>The President shall be the chief executive officer of the Corporation. Subject to the provisions of these Bylaws and to the direction of the Board of Directors, the President shall have the responsibility for the general management and control of the business and affairs of the Corporation and shall perform all duties and have all powers which are commonly incident to the office of chief executive or which are delegated to him or her by the Board of Directors. He or she shall have power to sign all stock certificates, contracts and other instruments of the Corporation which are authorized and shall have general supervision and direction of all of the other officers, employees and agents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24" w:right="339" w:bottom="1440" w:gutter="0" w:footer="0" w:header="0"/>
        </w:sectPr>
      </w:pPr>
    </w:p>
    <w:bookmarkStart w:id="308" w:name="page309"/>
    <w:bookmarkEnd w:id="308"/>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3.</w:t>
      </w:r>
      <w:r>
        <w:rPr>
          <w:sz w:val="20"/>
          <w:szCs w:val="20"/>
          <w:color w:val="auto"/>
        </w:rPr>
        <w:tab/>
      </w:r>
      <w:r>
        <w:rPr>
          <w:rFonts w:ascii="Times New Roman" w:cs="Times New Roman" w:eastAsia="Times New Roman" w:hAnsi="Times New Roman"/>
          <w:sz w:val="21"/>
          <w:szCs w:val="21"/>
          <w:u w:val="single" w:color="auto"/>
          <w:color w:val="auto"/>
        </w:rPr>
        <w:t>Vice President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Each Vice President shall have such powers and duties as may be delegated to him or her by the Board of Directors. One Vice President shall be designated by the Board of Directors to perform the duties and exercise the powers of the President in the event of the President’s absence or disability.</w:t>
      </w:r>
    </w:p>
    <w:p>
      <w:pPr>
        <w:spacing w:after="0" w:line="172"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4.</w:t>
      </w:r>
      <w:r>
        <w:rPr>
          <w:sz w:val="20"/>
          <w:szCs w:val="20"/>
          <w:color w:val="auto"/>
        </w:rPr>
        <w:tab/>
      </w:r>
      <w:r>
        <w:rPr>
          <w:rFonts w:ascii="Times New Roman" w:cs="Times New Roman" w:eastAsia="Times New Roman" w:hAnsi="Times New Roman"/>
          <w:sz w:val="21"/>
          <w:szCs w:val="21"/>
          <w:u w:val="single" w:color="auto"/>
          <w:color w:val="auto"/>
        </w:rPr>
        <w:t>Treasurer</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The Treasurer shall have the responsibility for maintaining the financial records of the Corporation. He or she shall make such disbursements of the funds of the Corporation as are authorized and shall render from time to time an account of all such transactions and of the financial condition of the Corporation. The Treasurer shall also perform such other duties as the Board of Directors may from time to time prescribe.</w:t>
      </w:r>
    </w:p>
    <w:p>
      <w:pPr>
        <w:spacing w:after="0" w:line="179"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5.</w:t>
      </w:r>
      <w:r>
        <w:rPr>
          <w:sz w:val="20"/>
          <w:szCs w:val="20"/>
          <w:color w:val="auto"/>
        </w:rPr>
        <w:tab/>
      </w:r>
      <w:r>
        <w:rPr>
          <w:rFonts w:ascii="Times New Roman" w:cs="Times New Roman" w:eastAsia="Times New Roman" w:hAnsi="Times New Roman"/>
          <w:sz w:val="21"/>
          <w:szCs w:val="21"/>
          <w:u w:val="single" w:color="auto"/>
          <w:color w:val="auto"/>
        </w:rPr>
        <w:t>Secretary</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right="20" w:firstLine="648"/>
        <w:spacing w:after="0" w:line="270" w:lineRule="auto"/>
        <w:rPr>
          <w:sz w:val="20"/>
          <w:szCs w:val="20"/>
          <w:color w:val="auto"/>
        </w:rPr>
      </w:pPr>
      <w:r>
        <w:rPr>
          <w:rFonts w:ascii="Times New Roman" w:cs="Times New Roman" w:eastAsia="Times New Roman" w:hAnsi="Times New Roman"/>
          <w:sz w:val="22"/>
          <w:szCs w:val="22"/>
          <w:color w:val="auto"/>
        </w:rPr>
        <w:t>The Secretary shall issue all authorized notices for, and shall keep minutes of, all meetings of the stockholders and the Board of Directors. He or she shall have charge of the corporate books and shall perform such other duties as the Board of Directors may from time to time prescribe.</w:t>
      </w:r>
    </w:p>
    <w:p>
      <w:pPr>
        <w:spacing w:after="0" w:line="172"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6.</w:t>
      </w:r>
      <w:r>
        <w:rPr>
          <w:sz w:val="20"/>
          <w:szCs w:val="20"/>
          <w:color w:val="auto"/>
        </w:rPr>
        <w:tab/>
      </w:r>
      <w:r>
        <w:rPr>
          <w:rFonts w:ascii="Times New Roman" w:cs="Times New Roman" w:eastAsia="Times New Roman" w:hAnsi="Times New Roman"/>
          <w:sz w:val="21"/>
          <w:szCs w:val="21"/>
          <w:u w:val="single" w:color="auto"/>
          <w:color w:val="auto"/>
        </w:rPr>
        <w:t>Chairman of the Board</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Unless otherwise provided by the Board of Directors, the Chairman of the Board of Directors, if one is elected, shall preside, when present, at all meetings of the stockholders and the Board of Directors. The Chairman of the Board shall have such other powers and shall perform such duties as the Board of Directors may from time to time designate.</w:t>
      </w:r>
    </w:p>
    <w:p>
      <w:pPr>
        <w:spacing w:after="0" w:line="172"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7.</w:t>
      </w:r>
      <w:r>
        <w:rPr>
          <w:sz w:val="20"/>
          <w:szCs w:val="20"/>
          <w:color w:val="auto"/>
        </w:rPr>
        <w:tab/>
      </w:r>
      <w:r>
        <w:rPr>
          <w:rFonts w:ascii="Times New Roman" w:cs="Times New Roman" w:eastAsia="Times New Roman" w:hAnsi="Times New Roman"/>
          <w:sz w:val="21"/>
          <w:szCs w:val="21"/>
          <w:u w:val="single" w:color="auto"/>
          <w:color w:val="auto"/>
        </w:rPr>
        <w:t>Delegation of Authority</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The Board of Directors may from time to time delegate the powers or duties of any officer to any other officers or agents, notwithstanding any provision hereof.</w:t>
      </w:r>
    </w:p>
    <w:p>
      <w:pPr>
        <w:spacing w:after="0" w:line="157"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8.</w:t>
      </w:r>
      <w:r>
        <w:rPr>
          <w:sz w:val="20"/>
          <w:szCs w:val="20"/>
          <w:color w:val="auto"/>
        </w:rPr>
        <w:tab/>
      </w:r>
      <w:r>
        <w:rPr>
          <w:rFonts w:ascii="Times New Roman" w:cs="Times New Roman" w:eastAsia="Times New Roman" w:hAnsi="Times New Roman"/>
          <w:sz w:val="21"/>
          <w:szCs w:val="21"/>
          <w:u w:val="single" w:color="auto"/>
          <w:color w:val="auto"/>
        </w:rPr>
        <w:t>Removal</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Any officer of the Corporation may be removed at any time, with or without cause, by the Board of Directors.</w:t>
      </w:r>
    </w:p>
    <w:p>
      <w:pPr>
        <w:spacing w:after="0" w:line="233"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9.</w:t>
      </w:r>
      <w:r>
        <w:rPr>
          <w:sz w:val="20"/>
          <w:szCs w:val="20"/>
          <w:color w:val="auto"/>
        </w:rPr>
        <w:tab/>
      </w:r>
      <w:r>
        <w:rPr>
          <w:rFonts w:ascii="Times New Roman" w:cs="Times New Roman" w:eastAsia="Times New Roman" w:hAnsi="Times New Roman"/>
          <w:sz w:val="21"/>
          <w:szCs w:val="21"/>
          <w:u w:val="single" w:color="auto"/>
          <w:color w:val="auto"/>
        </w:rPr>
        <w:t>Action with Respect to Securities of Other Corporations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Unless otherwise directed by the Board of Directors, the President or any officer of the Corporation authorized by the President shall have power to vote and otherwise act on behalf of the Corporation, in person or by proxy, at any meeting of stockholders of or with respect to any action of stockholders of any other corporation in which this Corporation may hold securities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24" w:right="339" w:bottom="1440" w:gutter="0" w:footer="0" w:header="0"/>
        </w:sectPr>
      </w:pPr>
    </w:p>
    <w:bookmarkStart w:id="309" w:name="page310"/>
    <w:bookmarkEnd w:id="309"/>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otherwise to exercise any and all rights and powers which this Corporation may possess by reason of its ownership of securities in such other corporation.</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STOCK</w:t>
      </w:r>
    </w:p>
    <w:p>
      <w:pPr>
        <w:spacing w:after="0" w:line="196"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1.</w:t>
      </w:r>
      <w:r>
        <w:rPr>
          <w:sz w:val="20"/>
          <w:szCs w:val="20"/>
          <w:color w:val="auto"/>
        </w:rPr>
        <w:tab/>
      </w:r>
      <w:r>
        <w:rPr>
          <w:rFonts w:ascii="Times New Roman" w:cs="Times New Roman" w:eastAsia="Times New Roman" w:hAnsi="Times New Roman"/>
          <w:sz w:val="21"/>
          <w:szCs w:val="21"/>
          <w:u w:val="single" w:color="auto"/>
          <w:color w:val="auto"/>
        </w:rPr>
        <w:t>Certificates of Stock</w:t>
      </w:r>
      <w:r>
        <w:rPr>
          <w:rFonts w:ascii="Times New Roman" w:cs="Times New Roman" w:eastAsia="Times New Roman" w:hAnsi="Times New Roman"/>
          <w:sz w:val="21"/>
          <w:szCs w:val="21"/>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2"/>
          <w:szCs w:val="22"/>
          <w:color w:val="auto"/>
        </w:rPr>
        <w:t xml:space="preserve">The shares of the Corporation shall be represented by certificates, </w:t>
      </w:r>
      <w:r>
        <w:rPr>
          <w:rFonts w:ascii="Times New Roman" w:cs="Times New Roman" w:eastAsia="Times New Roman" w:hAnsi="Times New Roman"/>
          <w:sz w:val="22"/>
          <w:szCs w:val="22"/>
          <w:i w:val="1"/>
          <w:iCs w:val="1"/>
          <w:color w:val="auto"/>
        </w:rPr>
        <w:t>provided that</w:t>
      </w:r>
      <w:r>
        <w:rPr>
          <w:rFonts w:ascii="Times New Roman" w:cs="Times New Roman" w:eastAsia="Times New Roman" w:hAnsi="Times New Roman"/>
          <w:sz w:val="22"/>
          <w:szCs w:val="22"/>
          <w:color w:val="auto"/>
        </w:rPr>
        <w:t xml:space="preserve"> the Board may provide by resolution or resolutions that some or all of any or all classes or series of its stock shall be uncertificated shares. Any such resolution shall not apply to shares represented by a certificate until such certificate is surrendered to the Corporation. Each holder of stock represented by certificates shall be entitled to a certificate signed by, or in the name of the Corporation, by any two of the President, a Vice President, the Secretary, an Assistant Secretary, the Treasurer, an Assistant Treasurer or any other authorized officers of the Corporation, certifying the number of shares owned by him or her. Any or all of the signatures on the certificate may be by facsimile.</w:t>
      </w:r>
    </w:p>
    <w:p>
      <w:pPr>
        <w:spacing w:after="0" w:line="184"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2.</w:t>
      </w:r>
      <w:r>
        <w:rPr>
          <w:sz w:val="20"/>
          <w:szCs w:val="20"/>
          <w:color w:val="auto"/>
        </w:rPr>
        <w:tab/>
      </w:r>
      <w:r>
        <w:rPr>
          <w:rFonts w:ascii="Times New Roman" w:cs="Times New Roman" w:eastAsia="Times New Roman" w:hAnsi="Times New Roman"/>
          <w:sz w:val="21"/>
          <w:szCs w:val="21"/>
          <w:u w:val="single" w:color="auto"/>
          <w:color w:val="auto"/>
        </w:rPr>
        <w:t>Transfers of Stock</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 xml:space="preserve">Transfers of stock shall be made only upon the transfer books of the Corporation kept at an office of the Corporation or by transfer agents designated to transfer shares of the stock of the Corporation. Except where a certificate is issued in accordance with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of these Bylaws, an outstanding certificate, if one has been issued, for the number of shares involved shall be surrendered for cancellation before a new certificate, if any, is issued therefor.</w:t>
      </w:r>
    </w:p>
    <w:p>
      <w:pPr>
        <w:spacing w:after="0" w:line="179"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3.</w:t>
      </w:r>
      <w:r>
        <w:rPr>
          <w:sz w:val="20"/>
          <w:szCs w:val="20"/>
          <w:color w:val="auto"/>
        </w:rPr>
        <w:tab/>
      </w:r>
      <w:r>
        <w:rPr>
          <w:rFonts w:ascii="Times New Roman" w:cs="Times New Roman" w:eastAsia="Times New Roman" w:hAnsi="Times New Roman"/>
          <w:sz w:val="21"/>
          <w:szCs w:val="21"/>
          <w:u w:val="single" w:color="auto"/>
          <w:color w:val="auto"/>
        </w:rPr>
        <w:t>Record Date</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In order that the Corporation may determine the stockholders entitled to notice of any meeting of stockholders or any adjournment thereof, the Board of Directors may, except as otherwise required by law, fix a record date, which record date shall not precede the date upon which the resolution fixing the record date is adopted by the Board of Directors, and which record date shall not be more than 60 nor less than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24" w:right="339" w:bottom="1440" w:gutter="0" w:footer="0" w:header="0"/>
        </w:sectPr>
      </w:pPr>
    </w:p>
    <w:bookmarkStart w:id="310" w:name="page311"/>
    <w:bookmarkEnd w:id="310"/>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 xml:space="preserve">for determination of stockholders entitled to vote in accordance with the foregoing provisions of 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at the adjourned meeting.</w:t>
      </w:r>
    </w:p>
    <w:p>
      <w:pPr>
        <w:spacing w:after="0" w:line="15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2"/>
          <w:szCs w:val="22"/>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In order that the Corporation may determine the stockholders entitled to consent to corporate action without a meeting, (including by telegram, cablegram or other electronic transmission as permitted by law), the Board of Directors may fix a record date, which shall not precede the date upon which the resolution fixing the record date is adopted by the Board of Directors, and which record date shall be not more than ten days after the date upon which the resolution fixing the record date is adopted. If no record date has been fixed by the Board of Directors and no prior action by the Board of Directors is required by the Delaware General Corporation Law, the record date shall be the first date on which a consent setting forth the action taken or proposed to be taken is delivered to the Corporation in the manner prescribed by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Article I</w:t>
      </w:r>
      <w:r>
        <w:rPr>
          <w:rFonts w:ascii="Times New Roman" w:cs="Times New Roman" w:eastAsia="Times New Roman" w:hAnsi="Times New Roman"/>
          <w:sz w:val="22"/>
          <w:szCs w:val="22"/>
          <w:color w:val="auto"/>
        </w:rPr>
        <w:t xml:space="preserve"> hereof. If no record date has been fixed by the Board of Directors and prior action by the Board of Directors is required by the Delaware General Corporation Law with respect to the proposed action by consent of the stockholders without a meeting, the record date for determining stockholders entitled to consent to corporate action without a meeting shall be at the close of business on the day on which the Board of Directors adopts the resolution taking such prior action.</w:t>
      </w:r>
    </w:p>
    <w:p>
      <w:pPr>
        <w:spacing w:after="0" w:line="195"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4.</w:t>
      </w:r>
      <w:r>
        <w:rPr>
          <w:sz w:val="20"/>
          <w:szCs w:val="20"/>
          <w:color w:val="auto"/>
        </w:rPr>
        <w:tab/>
      </w:r>
      <w:r>
        <w:rPr>
          <w:rFonts w:ascii="Times New Roman" w:cs="Times New Roman" w:eastAsia="Times New Roman" w:hAnsi="Times New Roman"/>
          <w:sz w:val="21"/>
          <w:szCs w:val="21"/>
          <w:u w:val="single" w:color="auto"/>
          <w:color w:val="auto"/>
        </w:rPr>
        <w:t>Lost, Stolen or Destroyed Certificates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In the event of the loss, theft or destruction of any certificate of stock, another may be issued in its place pursuant to such regulations as the Board of Directors may establish concerning proof of such loss, theft or destruction and concerning the giving of a satisfactory bond or bonds of indemnity.</w:t>
      </w:r>
    </w:p>
    <w:p>
      <w:pPr>
        <w:spacing w:after="0" w:line="172"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5.</w:t>
      </w:r>
      <w:r>
        <w:rPr>
          <w:sz w:val="20"/>
          <w:szCs w:val="20"/>
          <w:color w:val="auto"/>
        </w:rPr>
        <w:tab/>
      </w:r>
      <w:r>
        <w:rPr>
          <w:rFonts w:ascii="Times New Roman" w:cs="Times New Roman" w:eastAsia="Times New Roman" w:hAnsi="Times New Roman"/>
          <w:sz w:val="21"/>
          <w:szCs w:val="21"/>
          <w:u w:val="single" w:color="auto"/>
          <w:color w:val="auto"/>
        </w:rPr>
        <w:t>Regulations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The issue, transfer, conversion and registration of certificates of stock shall be governed by such other regulations as the Board of Directors may establish.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24" w:right="339" w:bottom="1440" w:gutter="0" w:footer="0" w:header="0"/>
        </w:sectPr>
      </w:pPr>
    </w:p>
    <w:bookmarkStart w:id="311" w:name="page312"/>
    <w:bookmarkEnd w:id="311"/>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RESTRICTION ON TRANSFERS</w:t>
      </w:r>
    </w:p>
    <w:p>
      <w:pPr>
        <w:spacing w:after="0" w:line="196"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1.</w:t>
      </w:r>
      <w:r>
        <w:rPr>
          <w:sz w:val="20"/>
          <w:szCs w:val="20"/>
          <w:color w:val="auto"/>
        </w:rPr>
        <w:tab/>
      </w:r>
      <w:r>
        <w:rPr>
          <w:rFonts w:ascii="Times New Roman" w:cs="Times New Roman" w:eastAsia="Times New Roman" w:hAnsi="Times New Roman"/>
          <w:sz w:val="21"/>
          <w:szCs w:val="21"/>
          <w:u w:val="single" w:color="auto"/>
          <w:color w:val="auto"/>
        </w:rPr>
        <w:t>Transfer Restrictions</w:t>
      </w:r>
      <w:r>
        <w:rPr>
          <w:rFonts w:ascii="Times New Roman" w:cs="Times New Roman" w:eastAsia="Times New Roman" w:hAnsi="Times New Roman"/>
          <w:sz w:val="21"/>
          <w:szCs w:val="21"/>
          <w:color w:val="auto"/>
        </w:rPr>
        <w:t>.</w:t>
      </w:r>
    </w:p>
    <w:p>
      <w:pPr>
        <w:spacing w:after="0" w:line="22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Before any holder (“</w:t>
      </w:r>
      <w:r>
        <w:rPr>
          <w:rFonts w:ascii="Times New Roman" w:cs="Times New Roman" w:eastAsia="Times New Roman" w:hAnsi="Times New Roman"/>
          <w:sz w:val="22"/>
          <w:szCs w:val="22"/>
          <w:b w:val="1"/>
          <w:bCs w:val="1"/>
          <w:color w:val="auto"/>
        </w:rPr>
        <w:t>Stockholder</w:t>
      </w:r>
      <w:r>
        <w:rPr>
          <w:rFonts w:ascii="Times New Roman" w:cs="Times New Roman" w:eastAsia="Times New Roman" w:hAnsi="Times New Roman"/>
          <w:sz w:val="22"/>
          <w:szCs w:val="22"/>
          <w:color w:val="auto"/>
        </w:rPr>
        <w:t>”) of shares of common stock of the Corporation (the “</w:t>
      </w:r>
      <w:r>
        <w:rPr>
          <w:rFonts w:ascii="Times New Roman" w:cs="Times New Roman" w:eastAsia="Times New Roman" w:hAnsi="Times New Roman"/>
          <w:sz w:val="22"/>
          <w:szCs w:val="22"/>
          <w:b w:val="1"/>
          <w:bCs w:val="1"/>
          <w:color w:val="auto"/>
        </w:rPr>
        <w:t>Shares</w:t>
      </w:r>
      <w:r>
        <w:rPr>
          <w:rFonts w:ascii="Times New Roman" w:cs="Times New Roman" w:eastAsia="Times New Roman" w:hAnsi="Times New Roman"/>
          <w:sz w:val="22"/>
          <w:szCs w:val="22"/>
          <w:color w:val="auto"/>
        </w:rPr>
        <w:t>”) excluding (a) any Shares issued upon conversion of preferred stock of the Corporation, (b) any Shares held by an institutional holder of preferred stock of the Corporation and (c) any Shares issued prior to the approval of these Amended and Restated Bylaws, provided that the holder thereof consented in writing to the approval of these Amended and Restated Bylaws, may Transfer (as such term is defined below) Shares (or any interest therein) to another prospective holder, such Stockholder must obtain the prior written consent of the Corporation upon resolutions duly approved by the Board of Directors, which consent may be withheld in its sole discretion. “</w:t>
      </w:r>
      <w:r>
        <w:rPr>
          <w:rFonts w:ascii="Times New Roman" w:cs="Times New Roman" w:eastAsia="Times New Roman" w:hAnsi="Times New Roman"/>
          <w:sz w:val="22"/>
          <w:szCs w:val="22"/>
          <w:b w:val="1"/>
          <w:bCs w:val="1"/>
          <w:color w:val="auto"/>
        </w:rPr>
        <w:t>Transfer</w:t>
      </w:r>
      <w:r>
        <w:rPr>
          <w:rFonts w:ascii="Times New Roman" w:cs="Times New Roman" w:eastAsia="Times New Roman" w:hAnsi="Times New Roman"/>
          <w:sz w:val="22"/>
          <w:szCs w:val="22"/>
          <w:color w:val="auto"/>
        </w:rPr>
        <w:t>” shall mean with respect to any security, the direct or indirect assignment, sale, transfer, tender, pledge, hypothecation, or the grant, creation or suffrage of a lien or encumbrance in or upon, or the gift, placement in trust, or the Constructive Sale (as such term is defined below) or other disposition of such security (including transfer by testamentary or intestate succession, merger or otherwise by operation of law) or any right, title or interest therein (including, but not limited to, any right or power to vote to which the holder thereof may be entitled, whether such right or power is granted by proxy or otherwise), or the record or beneficial ownership thereof, the offer to make such a sale, transfer, Constructive Sale or other disposition, and each agreement, arrangement or understanding, whether or not in writing, to effect any of the foregoing. “</w:t>
      </w:r>
      <w:r>
        <w:rPr>
          <w:rFonts w:ascii="Times New Roman" w:cs="Times New Roman" w:eastAsia="Times New Roman" w:hAnsi="Times New Roman"/>
          <w:sz w:val="22"/>
          <w:szCs w:val="22"/>
          <w:b w:val="1"/>
          <w:bCs w:val="1"/>
          <w:color w:val="auto"/>
        </w:rPr>
        <w:t>Constructive Sale</w:t>
      </w:r>
      <w:r>
        <w:rPr>
          <w:rFonts w:ascii="Times New Roman" w:cs="Times New Roman" w:eastAsia="Times New Roman" w:hAnsi="Times New Roman"/>
          <w:sz w:val="22"/>
          <w:szCs w:val="22"/>
          <w:color w:val="auto"/>
        </w:rPr>
        <w:t>” shall mean, with respect to any security, a short sale with respect to such security, entering into or acquiring an offsetting derivative contract with respect to such security, entering into or acquiring a futures or forward contract to deliver such security, or entering into any other hedging or other derivative transaction that has the effect of materially changing the economic benefits and risks of ownership. Any purported Transfer of any Shares of the Corporation’s stock effected in violation of this section shall be null and void and shall have no force or effect and the Corporation shall not register any such purported Transfer</w:t>
      </w:r>
    </w:p>
    <w:p>
      <w:pPr>
        <w:spacing w:after="0" w:line="203"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2.</w:t>
      </w:r>
      <w:r>
        <w:rPr>
          <w:sz w:val="20"/>
          <w:szCs w:val="20"/>
          <w:color w:val="auto"/>
        </w:rPr>
        <w:tab/>
      </w:r>
      <w:r>
        <w:rPr>
          <w:rFonts w:ascii="Times New Roman" w:cs="Times New Roman" w:eastAsia="Times New Roman" w:hAnsi="Times New Roman"/>
          <w:sz w:val="21"/>
          <w:szCs w:val="21"/>
          <w:u w:val="single" w:color="auto"/>
          <w:color w:val="auto"/>
        </w:rPr>
        <w:t>Exceptions for Certain Transfers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Notwithstanding the foregoing, the provisions of </w:t>
      </w:r>
      <w:r>
        <w:rPr>
          <w:rFonts w:ascii="Times New Roman" w:cs="Times New Roman" w:eastAsia="Times New Roman" w:hAnsi="Times New Roman"/>
          <w:sz w:val="22"/>
          <w:szCs w:val="22"/>
          <w:u w:val="single" w:color="auto"/>
          <w:color w:val="auto"/>
        </w:rPr>
        <w:t>Article VI, Section 1</w:t>
      </w:r>
      <w:r>
        <w:rPr>
          <w:rFonts w:ascii="Times New Roman" w:cs="Times New Roman" w:eastAsia="Times New Roman" w:hAnsi="Times New Roman"/>
          <w:sz w:val="22"/>
          <w:szCs w:val="22"/>
          <w:color w:val="auto"/>
        </w:rPr>
        <w:t xml:space="preserve"> shall not apply to the following transactions:</w:t>
      </w:r>
    </w:p>
    <w:p>
      <w:pPr>
        <w:spacing w:after="0" w:line="233" w:lineRule="exact"/>
        <w:rPr>
          <w:sz w:val="20"/>
          <w:szCs w:val="20"/>
          <w:color w:val="auto"/>
        </w:rPr>
      </w:pPr>
    </w:p>
    <w:p>
      <w:pPr>
        <w:jc w:val="both"/>
        <w:ind w:firstLine="1304"/>
        <w:spacing w:after="0" w:line="251" w:lineRule="auto"/>
        <w:tabs>
          <w:tab w:leader="none" w:pos="1786"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Stockholder who is an individual, the transfer without consideration of any Shares made for bona fide estate planning purposes, either during a Stockholder’s lifetime or on death by will or intestacy to (i) his or her spouse or Spousal Equivalent, child (natural or adopted), sibling, or any other direct lineal antecedent or descendant of such Stockholder (or his or her spouse or Spousal Equivalent) (all of the foregoing collectively referred to as “</w:t>
      </w:r>
      <w:r>
        <w:rPr>
          <w:rFonts w:ascii="Times New Roman" w:cs="Times New Roman" w:eastAsia="Times New Roman" w:hAnsi="Times New Roman"/>
          <w:sz w:val="22"/>
          <w:szCs w:val="22"/>
          <w:b w:val="1"/>
          <w:bCs w:val="1"/>
          <w:color w:val="auto"/>
        </w:rPr>
        <w:t>family members</w:t>
      </w:r>
      <w:r>
        <w:rPr>
          <w:rFonts w:ascii="Times New Roman" w:cs="Times New Roman" w:eastAsia="Times New Roman" w:hAnsi="Times New Roman"/>
          <w:sz w:val="22"/>
          <w:szCs w:val="22"/>
          <w:color w:val="auto"/>
        </w:rPr>
        <w:t>”), or any other relative approved by the Corporation upon resolutions duly approved by the Board of Directors or (ii) any custodian or trustee of any trust, partnership or limited liability company solely for the benefit of, or the ownership interests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24" w:right="339" w:bottom="1440" w:gutter="0" w:footer="0" w:header="0"/>
        </w:sectPr>
      </w:pPr>
    </w:p>
    <w:bookmarkStart w:id="312" w:name="page313"/>
    <w:bookmarkEnd w:id="312"/>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which are owned wholly by, such Stockholder or any such family members. “</w:t>
      </w:r>
      <w:r>
        <w:rPr>
          <w:rFonts w:ascii="Times New Roman" w:cs="Times New Roman" w:eastAsia="Times New Roman" w:hAnsi="Times New Roman"/>
          <w:sz w:val="22"/>
          <w:szCs w:val="22"/>
          <w:b w:val="1"/>
          <w:bCs w:val="1"/>
          <w:color w:val="auto"/>
        </w:rPr>
        <w:t>Spousal Equivalent</w:t>
      </w:r>
      <w:r>
        <w:rPr>
          <w:rFonts w:ascii="Times New Roman" w:cs="Times New Roman" w:eastAsia="Times New Roman" w:hAnsi="Times New Roman"/>
          <w:sz w:val="22"/>
          <w:szCs w:val="22"/>
          <w:color w:val="auto"/>
        </w:rPr>
        <w:t>” as used herein shall mean an individual who is registered with any state governmental entity as a domestic partner of the relevant person to whom such individual may be a Spousal Equivalent (a “</w:t>
      </w:r>
      <w:r>
        <w:rPr>
          <w:rFonts w:ascii="Times New Roman" w:cs="Times New Roman" w:eastAsia="Times New Roman" w:hAnsi="Times New Roman"/>
          <w:sz w:val="22"/>
          <w:szCs w:val="22"/>
          <w:b w:val="1"/>
          <w:bCs w:val="1"/>
          <w:color w:val="auto"/>
        </w:rPr>
        <w:t>Registered Domestic Partner</w:t>
      </w:r>
      <w:r>
        <w:rPr>
          <w:rFonts w:ascii="Times New Roman" w:cs="Times New Roman" w:eastAsia="Times New Roman" w:hAnsi="Times New Roman"/>
          <w:sz w:val="22"/>
          <w:szCs w:val="22"/>
          <w:color w:val="auto"/>
        </w:rPr>
        <w:t>”) or who (i) irrespective of whether or not the relevant person to whom such individual may be a Spousal Equivalent and the Spousal Equivalent are the same sex, was the sole spousal equivalent of the other for the last twelve (12) months, (ii) intended to remain so indefinitely, (iii) was not married to anyone else nor a Registered Domestic Partner with anyone else, (iv) was at least 18 years of age and mentally competent to consent to contract, (v) was not related by blood to a degree of closeness that which would prohibit legal marriage in the state in which they legally reside, (vi) was jointly responsible for the other’s common welfare and financial obligations, and (vii) resided with the other in the same residence for the last twelve (12) months and intends to do so indefinitely; or</w:t>
      </w:r>
    </w:p>
    <w:p>
      <w:pPr>
        <w:spacing w:after="0" w:line="184" w:lineRule="exact"/>
        <w:rPr>
          <w:sz w:val="20"/>
          <w:szCs w:val="20"/>
          <w:color w:val="auto"/>
        </w:rPr>
      </w:pPr>
    </w:p>
    <w:p>
      <w:pPr>
        <w:ind w:firstLine="1304"/>
        <w:spacing w:after="0" w:line="271" w:lineRule="auto"/>
        <w:tabs>
          <w:tab w:leader="none" w:pos="1953"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Stockholder that is an entity, the transfer without consideration of any Shares by a Stockholder to its stockholders, members, partners, other equity holders, or affiliates.</w:t>
      </w:r>
    </w:p>
    <w:p>
      <w:pPr>
        <w:spacing w:after="0" w:line="158"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3.</w:t>
      </w:r>
      <w:r>
        <w:rPr>
          <w:sz w:val="20"/>
          <w:szCs w:val="20"/>
          <w:color w:val="auto"/>
        </w:rPr>
        <w:tab/>
      </w:r>
      <w:r>
        <w:rPr>
          <w:rFonts w:ascii="Times New Roman" w:cs="Times New Roman" w:eastAsia="Times New Roman" w:hAnsi="Times New Roman"/>
          <w:sz w:val="21"/>
          <w:szCs w:val="21"/>
          <w:u w:val="single" w:color="auto"/>
          <w:color w:val="auto"/>
        </w:rPr>
        <w:t>Subsequent Transfers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 xml:space="preserve">In the case of any transfer consented to by the Corporation or described in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above or otherwise, the transferee, assignee, or other recipient shall receive and hold the Shares subject to the provisions of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and there shall be no further transfer of such stock except in accordance with </w:t>
      </w:r>
      <w:r>
        <w:rPr>
          <w:rFonts w:ascii="Times New Roman" w:cs="Times New Roman" w:eastAsia="Times New Roman" w:hAnsi="Times New Roman"/>
          <w:sz w:val="22"/>
          <w:szCs w:val="22"/>
          <w:u w:val="single" w:color="auto"/>
          <w:color w:val="auto"/>
        </w:rPr>
        <w:t>Sections 1</w:t>
      </w:r>
      <w:r>
        <w:rPr>
          <w:rFonts w:ascii="Times New Roman" w:cs="Times New Roman" w:eastAsia="Times New Roman" w:hAnsi="Times New Roman"/>
          <w:sz w:val="22"/>
          <w:szCs w:val="22"/>
          <w:color w:val="auto"/>
        </w:rPr>
        <w:t xml:space="preserve">, 2, and 3 of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4.</w:t>
      </w:r>
      <w:r>
        <w:rPr>
          <w:sz w:val="20"/>
          <w:szCs w:val="20"/>
          <w:color w:val="auto"/>
        </w:rPr>
        <w:tab/>
      </w:r>
      <w:r>
        <w:rPr>
          <w:rFonts w:ascii="Times New Roman" w:cs="Times New Roman" w:eastAsia="Times New Roman" w:hAnsi="Times New Roman"/>
          <w:sz w:val="21"/>
          <w:szCs w:val="21"/>
          <w:u w:val="single" w:color="auto"/>
          <w:color w:val="auto"/>
        </w:rPr>
        <w:t>Termination of Restriction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The restrictions in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shall terminate upon the earlier to occur of (i) the closing of a Sale Event (as defined below); or (ii) the first sale of common stock of the Corporation to the general public pursuant to a registration statement filed with and declared effective by the Securities and Exchange Commission under the Securities Act of 1933, as amended (the “</w:t>
      </w:r>
      <w:r>
        <w:rPr>
          <w:rFonts w:ascii="Times New Roman" w:cs="Times New Roman" w:eastAsia="Times New Roman" w:hAnsi="Times New Roman"/>
          <w:sz w:val="22"/>
          <w:szCs w:val="22"/>
          <w:b w:val="1"/>
          <w:bCs w:val="1"/>
          <w:color w:val="auto"/>
        </w:rPr>
        <w:t>Securities Act</w:t>
      </w:r>
      <w:r>
        <w:rPr>
          <w:rFonts w:ascii="Times New Roman" w:cs="Times New Roman" w:eastAsia="Times New Roman" w:hAnsi="Times New Roman"/>
          <w:sz w:val="22"/>
          <w:szCs w:val="22"/>
          <w:color w:val="auto"/>
        </w:rPr>
        <w:t>”). Upon termination of such restrictions, a new certificate or certificates representing the Shares not repurchased shall be issued, on request, without the legend referred to below and delivered to each Stockholder.</w:t>
      </w:r>
    </w:p>
    <w:p>
      <w:pPr>
        <w:spacing w:after="0" w:line="17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For purposes of these bylaws, “</w:t>
      </w:r>
      <w:r>
        <w:rPr>
          <w:rFonts w:ascii="Times New Roman" w:cs="Times New Roman" w:eastAsia="Times New Roman" w:hAnsi="Times New Roman"/>
          <w:sz w:val="22"/>
          <w:szCs w:val="22"/>
          <w:b w:val="1"/>
          <w:bCs w:val="1"/>
          <w:color w:val="auto"/>
        </w:rPr>
        <w:t>Sale Event</w:t>
      </w:r>
      <w:r>
        <w:rPr>
          <w:rFonts w:ascii="Times New Roman" w:cs="Times New Roman" w:eastAsia="Times New Roman" w:hAnsi="Times New Roman"/>
          <w:sz w:val="22"/>
          <w:szCs w:val="22"/>
          <w:color w:val="auto"/>
        </w:rPr>
        <w:t xml:space="preserve">” means the consummation of (i) the dissolution or liquidation of the Corporation, (ii) the sale of all or substantially all of the assets of the Corporation on a consolidated basis to an unrelated person or entity, (iii) a merger, reorganization or consolidation pursuant to which the holders of the Corporation’s outstanding voting power immediately prior to such transaction do not own a majority of the outstanding voting power of the surviving or resulting entity (or its ultimate parent, if applicable), (iv) the acquisition of all or a majority of the outstanding voting stock of the Corporation in a single transaction or a series of related transactions by a Person or group of Persons, or (v) any other acquisition of the business of the Corporation, as determined by the Board of Directors;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Corporation’s Initial Public Offering, any subsequent public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24" w:right="339" w:bottom="1440" w:gutter="0" w:footer="0" w:header="0"/>
        </w:sectPr>
      </w:pPr>
    </w:p>
    <w:bookmarkStart w:id="313" w:name="page314"/>
    <w:bookmarkEnd w:id="313"/>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2"/>
          <w:szCs w:val="22"/>
          <w:color w:val="auto"/>
        </w:rPr>
        <w:t>or another capital-raising event, or a merger effected solely to change the Corporation’s domicile shall not constitute a “</w:t>
      </w:r>
      <w:r>
        <w:rPr>
          <w:rFonts w:ascii="Times New Roman" w:cs="Times New Roman" w:eastAsia="Times New Roman" w:hAnsi="Times New Roman"/>
          <w:sz w:val="22"/>
          <w:szCs w:val="22"/>
          <w:b w:val="1"/>
          <w:bCs w:val="1"/>
          <w:color w:val="auto"/>
        </w:rPr>
        <w:t>Sale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Event</w:t>
      </w:r>
      <w:r>
        <w:rPr>
          <w:rFonts w:ascii="Times New Roman" w:cs="Times New Roman" w:eastAsia="Times New Roman" w:hAnsi="Times New Roman"/>
          <w:sz w:val="22"/>
          <w:szCs w:val="22"/>
          <w:color w:val="auto"/>
        </w:rPr>
        <w:t>”.</w:t>
      </w:r>
    </w:p>
    <w:p>
      <w:pPr>
        <w:spacing w:after="0" w:line="151"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shall mean any individual, corporation, partnership (limited or general), limited liability company, limited liability partnership, association, trust, joint venture, unincorporated organization or any similar entity.</w:t>
      </w:r>
    </w:p>
    <w:p>
      <w:pPr>
        <w:spacing w:after="0" w:line="151"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Initial Public Offering</w:t>
      </w:r>
      <w:r>
        <w:rPr>
          <w:rFonts w:ascii="Times New Roman" w:cs="Times New Roman" w:eastAsia="Times New Roman" w:hAnsi="Times New Roman"/>
          <w:sz w:val="22"/>
          <w:szCs w:val="22"/>
          <w:color w:val="auto"/>
        </w:rPr>
        <w:t>” means the consummation of the first firm commitment underwritten public offering pursuant to an effective registration statement under the Securities Act covering the offer and sale by the Corporation of its equity securities, as a result of or following which the Shares shall be publicly held.</w:t>
      </w:r>
    </w:p>
    <w:p>
      <w:pPr>
        <w:spacing w:after="0" w:line="170"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5.</w:t>
      </w:r>
      <w:r>
        <w:rPr>
          <w:sz w:val="20"/>
          <w:szCs w:val="20"/>
          <w:color w:val="auto"/>
        </w:rPr>
        <w:tab/>
      </w:r>
      <w:r>
        <w:rPr>
          <w:rFonts w:ascii="Times New Roman" w:cs="Times New Roman" w:eastAsia="Times New Roman" w:hAnsi="Times New Roman"/>
          <w:sz w:val="21"/>
          <w:szCs w:val="21"/>
          <w:u w:val="single" w:color="auto"/>
          <w:color w:val="auto"/>
        </w:rPr>
        <w:t>Legend</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The certificate or certificates representing the Shares shall bear the following legend (as well as any legends required by applicable state and federal corporate and securities laws):</w:t>
      </w:r>
    </w:p>
    <w:p>
      <w:pPr>
        <w:spacing w:after="0" w:line="157"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THE SHARES REPRESENTED BY THIS CERTIFICATE ARE SUBJECT TO RESTRICTIONS ON TRANSFER CONTAINED IN THE BYLAWS OF THE CORPORATION.</w:t>
      </w:r>
    </w:p>
    <w:p>
      <w:pPr>
        <w:spacing w:after="0" w:line="157"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6.</w:t>
      </w:r>
      <w:r>
        <w:rPr>
          <w:sz w:val="20"/>
          <w:szCs w:val="20"/>
          <w:color w:val="auto"/>
        </w:rPr>
        <w:tab/>
      </w:r>
      <w:r>
        <w:rPr>
          <w:rFonts w:ascii="Times New Roman" w:cs="Times New Roman" w:eastAsia="Times New Roman" w:hAnsi="Times New Roman"/>
          <w:sz w:val="19"/>
          <w:szCs w:val="19"/>
          <w:u w:val="single" w:color="auto"/>
          <w:color w:val="auto"/>
        </w:rPr>
        <w:t>Waiver</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right="20" w:firstLine="648"/>
        <w:spacing w:after="0" w:line="270" w:lineRule="auto"/>
        <w:rPr>
          <w:sz w:val="20"/>
          <w:szCs w:val="20"/>
          <w:color w:val="auto"/>
        </w:rPr>
      </w:pPr>
      <w:r>
        <w:rPr>
          <w:rFonts w:ascii="Times New Roman" w:cs="Times New Roman" w:eastAsia="Times New Roman" w:hAnsi="Times New Roman"/>
          <w:sz w:val="22"/>
          <w:szCs w:val="22"/>
          <w:color w:val="auto"/>
        </w:rPr>
        <w:t xml:space="preserve">The provisions of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may be waived, with respect to any transaction subject thereto, by the Corporation upon resolutions duly approved by the Board of Directors;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such restrictions shall continue to apply to the Shares subsequent to such transaction.</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NOTICES</w:t>
      </w:r>
    </w:p>
    <w:p>
      <w:pPr>
        <w:spacing w:after="0" w:line="207"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1.</w:t>
      </w:r>
      <w:r>
        <w:rPr>
          <w:sz w:val="20"/>
          <w:szCs w:val="20"/>
          <w:color w:val="auto"/>
        </w:rPr>
        <w:tab/>
      </w: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If mailed, notice to stockholders shall be deemed given when deposited in the mail, postage prepaid, directed to the stockholder at such stockholder’s address as it appears on the records of the Corporation. Without limiting the manner by which notice otherwise may be given effectively to stockholders, any notice to stockholders may be given by electronic transmission in the manner provided in Section 232 of the Delaware General Corporation Law.</w:t>
      </w:r>
    </w:p>
    <w:p>
      <w:pPr>
        <w:spacing w:after="0" w:line="179"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2.</w:t>
      </w:r>
      <w:r>
        <w:rPr>
          <w:sz w:val="20"/>
          <w:szCs w:val="20"/>
          <w:color w:val="auto"/>
        </w:rPr>
        <w:tab/>
      </w:r>
      <w:r>
        <w:rPr>
          <w:rFonts w:ascii="Times New Roman" w:cs="Times New Roman" w:eastAsia="Times New Roman" w:hAnsi="Times New Roman"/>
          <w:sz w:val="21"/>
          <w:szCs w:val="21"/>
          <w:u w:val="single" w:color="auto"/>
          <w:color w:val="auto"/>
        </w:rPr>
        <w:t>Waivers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A written waiver of any notice, signed by a stockholder or director, or waiver by electronic transmission by such person, whether given before or after the time of the event for which notice is to be given, shall be deemed equivalent to the notice required to be given to such person. Neither the business nor the purpose of any meeting need be specified in such a waiver. Attendance of a person at a meeting shall constitute a waiver of notice of such meeting, except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24" w:right="339" w:bottom="1440" w:gutter="0" w:footer="0" w:header="0"/>
        </w:sectPr>
      </w:pPr>
    </w:p>
    <w:bookmarkStart w:id="314" w:name="page315"/>
    <w:bookmarkEnd w:id="314"/>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when the person attends a meeting for the express purpose of objecting at the beginning of the meeting to the transaction of any business because the meeting is not lawfully called or convened.</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196"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1.</w:t>
      </w:r>
      <w:r>
        <w:rPr>
          <w:sz w:val="20"/>
          <w:szCs w:val="20"/>
          <w:color w:val="auto"/>
        </w:rPr>
        <w:tab/>
      </w:r>
      <w:r>
        <w:rPr>
          <w:rFonts w:ascii="Times New Roman" w:cs="Times New Roman" w:eastAsia="Times New Roman" w:hAnsi="Times New Roman"/>
          <w:sz w:val="21"/>
          <w:szCs w:val="21"/>
          <w:u w:val="single" w:color="auto"/>
          <w:color w:val="auto"/>
        </w:rPr>
        <w:t>Facsimile Signatures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In addition to the provisions for use of facsimile signatures elsewhere specifically authorized in these Bylaws, facsimile signatures of any officer or officers of the Corporation may be used whenever and as authorized by the Board of Directors or a committee thereof.</w:t>
      </w:r>
    </w:p>
    <w:p>
      <w:pPr>
        <w:spacing w:after="0" w:line="172"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2.</w:t>
      </w:r>
      <w:r>
        <w:rPr>
          <w:sz w:val="20"/>
          <w:szCs w:val="20"/>
          <w:color w:val="auto"/>
        </w:rPr>
        <w:tab/>
      </w:r>
      <w:r>
        <w:rPr>
          <w:rFonts w:ascii="Times New Roman" w:cs="Times New Roman" w:eastAsia="Times New Roman" w:hAnsi="Times New Roman"/>
          <w:sz w:val="21"/>
          <w:szCs w:val="21"/>
          <w:u w:val="single" w:color="auto"/>
          <w:color w:val="auto"/>
        </w:rPr>
        <w:t>Corporate Seal</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The Board of Directors may provide a suitable seal, containing the name of the Corporation, which seal shall be in the charge of the Secretary. If and when so directed by the Board of Directors or a committee thereof, duplicates of the seal may be kept and used by the Treasurer or by an Assistant Secretary or Assistant Treasurer.</w:t>
      </w:r>
    </w:p>
    <w:p>
      <w:pPr>
        <w:spacing w:after="0" w:line="172"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3.</w:t>
      </w:r>
      <w:r>
        <w:rPr>
          <w:sz w:val="20"/>
          <w:szCs w:val="20"/>
          <w:color w:val="auto"/>
        </w:rPr>
        <w:tab/>
      </w:r>
      <w:r>
        <w:rPr>
          <w:rFonts w:ascii="Times New Roman" w:cs="Times New Roman" w:eastAsia="Times New Roman" w:hAnsi="Times New Roman"/>
          <w:sz w:val="21"/>
          <w:szCs w:val="21"/>
          <w:u w:val="single" w:color="auto"/>
          <w:color w:val="auto"/>
        </w:rPr>
        <w:t>Reliance upon Books, Reports and Records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2"/>
          <w:szCs w:val="22"/>
          <w:color w:val="auto"/>
        </w:rPr>
        <w:t>Each director, each member of any committee designated by the Board of Directors, and each officer of the Corporation shall, in the performance of his or her duties, be fully protected in relying in good faith upon the books of account or other records of the Corporation and upon such information, opinions, reports or statements presented to the Corporation by any of its officers or employees, or committees of the Board of Directors so designated, or by any other person as to matters which such director or committee member reasonably believes are within such other person’s professional or expert competence and who has been selected with reasonable care by or on behalf of the Corporation.</w:t>
      </w:r>
    </w:p>
    <w:p>
      <w:pPr>
        <w:spacing w:after="0" w:line="185"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4.</w:t>
      </w:r>
      <w:r>
        <w:rPr>
          <w:sz w:val="20"/>
          <w:szCs w:val="20"/>
          <w:color w:val="auto"/>
        </w:rPr>
        <w:tab/>
      </w:r>
      <w:r>
        <w:rPr>
          <w:rFonts w:ascii="Times New Roman" w:cs="Times New Roman" w:eastAsia="Times New Roman" w:hAnsi="Times New Roman"/>
          <w:sz w:val="21"/>
          <w:szCs w:val="21"/>
          <w:u w:val="single" w:color="auto"/>
          <w:color w:val="auto"/>
        </w:rPr>
        <w:t>Fiscal Year</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fiscal year of the Corporation shall be as fixed by the Board of Directors.</w:t>
      </w:r>
    </w:p>
    <w:p>
      <w:pPr>
        <w:spacing w:after="0" w:line="233"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5.</w:t>
      </w:r>
      <w:r>
        <w:rPr>
          <w:sz w:val="20"/>
          <w:szCs w:val="20"/>
          <w:color w:val="auto"/>
        </w:rPr>
        <w:tab/>
      </w:r>
      <w:r>
        <w:rPr>
          <w:rFonts w:ascii="Times New Roman" w:cs="Times New Roman" w:eastAsia="Times New Roman" w:hAnsi="Times New Roman"/>
          <w:sz w:val="21"/>
          <w:szCs w:val="21"/>
          <w:u w:val="single" w:color="auto"/>
          <w:color w:val="auto"/>
        </w:rPr>
        <w:t>Offices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The Corporation may also have offices at such other places both within and without the State of Delaware as the Board of Directors may from time to time determine or the business of the Corporation may require.</w:t>
      </w:r>
    </w:p>
    <w:p>
      <w:pPr>
        <w:spacing w:after="0" w:line="157"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6.</w:t>
      </w:r>
      <w:r>
        <w:rPr>
          <w:sz w:val="20"/>
          <w:szCs w:val="20"/>
          <w:color w:val="auto"/>
        </w:rPr>
        <w:tab/>
      </w:r>
      <w:r>
        <w:rPr>
          <w:rFonts w:ascii="Times New Roman" w:cs="Times New Roman" w:eastAsia="Times New Roman" w:hAnsi="Times New Roman"/>
          <w:sz w:val="21"/>
          <w:szCs w:val="21"/>
          <w:u w:val="single" w:color="auto"/>
          <w:color w:val="auto"/>
        </w:rPr>
        <w:t>Records and Reports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The application and requirements of Section 1501 of the California General Corporation Law are hereby expressly waived to the fullest extent permitted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24" w:right="339" w:bottom="1440" w:gutter="0" w:footer="0" w:header="0"/>
        </w:sectPr>
      </w:pPr>
    </w:p>
    <w:bookmarkStart w:id="315" w:name="page316"/>
    <w:bookmarkEnd w:id="315"/>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7.</w:t>
      </w:r>
      <w:r>
        <w:rPr>
          <w:sz w:val="20"/>
          <w:szCs w:val="20"/>
          <w:color w:val="auto"/>
        </w:rPr>
        <w:tab/>
      </w:r>
      <w:r>
        <w:rPr>
          <w:rFonts w:ascii="Times New Roman" w:cs="Times New Roman" w:eastAsia="Times New Roman" w:hAnsi="Times New Roman"/>
          <w:sz w:val="21"/>
          <w:szCs w:val="21"/>
          <w:u w:val="single" w:color="auto"/>
          <w:color w:val="auto"/>
        </w:rPr>
        <w:t>Time Periods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In applying any provision of these Bylaws which requires that an act be done or not be done a specified number of days prior to an event or that an act be done during a period of a specified number of days prior to an event, calendar days shall be used, the day of the doing of the act shall be excluded, and the day of the event shall be included.</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INDEMNIFICATION OF DIRECTORS AND OFFICERS</w:t>
      </w:r>
    </w:p>
    <w:p>
      <w:pPr>
        <w:spacing w:after="0" w:line="209"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1.</w:t>
      </w:r>
      <w:r>
        <w:rPr>
          <w:sz w:val="20"/>
          <w:szCs w:val="20"/>
          <w:color w:val="auto"/>
        </w:rPr>
        <w:tab/>
      </w:r>
      <w:r>
        <w:rPr>
          <w:rFonts w:ascii="Times New Roman" w:cs="Times New Roman" w:eastAsia="Times New Roman" w:hAnsi="Times New Roman"/>
          <w:sz w:val="21"/>
          <w:szCs w:val="21"/>
          <w:u w:val="single" w:color="auto"/>
          <w:color w:val="auto"/>
        </w:rPr>
        <w:t>Right to Indemnification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1"/>
          <w:szCs w:val="21"/>
          <w:color w:val="auto"/>
        </w:rPr>
        <w:t>Each person who was or is made a party to or is threatened to be made a party to or is otherwise involved in any action, suit or proceeding, whether civil, criminal, administrative or investigative (hereinafter a “</w:t>
      </w:r>
      <w:r>
        <w:rPr>
          <w:rFonts w:ascii="Times New Roman" w:cs="Times New Roman" w:eastAsia="Times New Roman" w:hAnsi="Times New Roman"/>
          <w:sz w:val="21"/>
          <w:szCs w:val="21"/>
          <w:b w:val="1"/>
          <w:bCs w:val="1"/>
          <w:color w:val="auto"/>
        </w:rPr>
        <w:t>proceeding</w:t>
      </w:r>
      <w:r>
        <w:rPr>
          <w:rFonts w:ascii="Times New Roman" w:cs="Times New Roman" w:eastAsia="Times New Roman" w:hAnsi="Times New Roman"/>
          <w:sz w:val="21"/>
          <w:szCs w:val="21"/>
          <w:color w:val="auto"/>
        </w:rPr>
        <w:t>”), by reason of the fact that he or she is or was a director or an officer of the Corporation or is or was serving at the request of the Corporation as a director, officer, or trustee of another corporation or of a partnership, joint venture, trust or other enterprise, including service with respect to an employee benefit plan (hereinafter an “</w:t>
      </w:r>
      <w:r>
        <w:rPr>
          <w:rFonts w:ascii="Times New Roman" w:cs="Times New Roman" w:eastAsia="Times New Roman" w:hAnsi="Times New Roman"/>
          <w:sz w:val="21"/>
          <w:szCs w:val="21"/>
          <w:b w:val="1"/>
          <w:bCs w:val="1"/>
          <w:color w:val="auto"/>
        </w:rPr>
        <w:t>indemnitee</w:t>
      </w:r>
      <w:r>
        <w:rPr>
          <w:rFonts w:ascii="Times New Roman" w:cs="Times New Roman" w:eastAsia="Times New Roman" w:hAnsi="Times New Roman"/>
          <w:sz w:val="21"/>
          <w:szCs w:val="21"/>
          <w:color w:val="auto"/>
        </w:rPr>
        <w:t xml:space="preserve">”), whether the basis of such proceeding is alleged action in an official capacity as a director, officer or trustee, or in any other capacity while serving as a director, officer or trustee, shall be indemnified and held harmless by the Corporation to the fullest extent permitted by Delaware law, as the same exists or may hereafter be amended (but, in the case of any such amendment, only to the extent that such amendment permits the Corporation to provide broader indemnification rights than such law permitted the Corporation to provide prior to such amendment) against all expense, liability and loss (including attorneys’ fees, judgments, fines, ERISA excise taxes or penalties and amounts paid in settlement) reasonably incurred or suffered by such indemnitee in connection therewith;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xml:space="preserve">, that, except as provided in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xml:space="preserve"> with respect to proceedings to enforce rights to indemnification, the Corporation shall indemnify any such indemnitee in connection with a proceeding (or part thereof) initiated by such indemnitee only if such proceeding (or part thereof) was authorized by the Board of Directors of the Corporation.</w:t>
      </w:r>
    </w:p>
    <w:p>
      <w:pPr>
        <w:spacing w:after="0" w:line="179"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2.</w:t>
      </w:r>
      <w:r>
        <w:rPr>
          <w:sz w:val="20"/>
          <w:szCs w:val="20"/>
          <w:color w:val="auto"/>
        </w:rPr>
        <w:tab/>
      </w:r>
      <w:r>
        <w:rPr>
          <w:rFonts w:ascii="Times New Roman" w:cs="Times New Roman" w:eastAsia="Times New Roman" w:hAnsi="Times New Roman"/>
          <w:sz w:val="21"/>
          <w:szCs w:val="21"/>
          <w:u w:val="single" w:color="auto"/>
          <w:color w:val="auto"/>
        </w:rPr>
        <w:t>Right to Advancement of Expenses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 xml:space="preserve">In addition to the right to indemnification conferred in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an indemnitee shall also have the right to be paid by the Corporation the expenses (including attorney’s fees) incurred in defending any such proceeding in advance of its final disposition (hereinafter an “</w:t>
      </w:r>
      <w:r>
        <w:rPr>
          <w:rFonts w:ascii="Times New Roman" w:cs="Times New Roman" w:eastAsia="Times New Roman" w:hAnsi="Times New Roman"/>
          <w:sz w:val="22"/>
          <w:szCs w:val="22"/>
          <w:b w:val="1"/>
          <w:bCs w:val="1"/>
          <w:color w:val="auto"/>
        </w:rPr>
        <w:t>advancement of expenses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if the Delaware General Corporation Law requires, an advancement of expenses incurred by an indemnitee in his or her capacity as a director or officer (and not in any other capacity in which service was or is rendered by such indemnitee, including, without limitation, service to an employee benefit plan) shall be made only upon delivery to the Corporation of an undertaking (hereinafter an “</w:t>
      </w:r>
      <w:r>
        <w:rPr>
          <w:rFonts w:ascii="Times New Roman" w:cs="Times New Roman" w:eastAsia="Times New Roman" w:hAnsi="Times New Roman"/>
          <w:sz w:val="22"/>
          <w:szCs w:val="22"/>
          <w:b w:val="1"/>
          <w:bCs w:val="1"/>
          <w:color w:val="auto"/>
        </w:rPr>
        <w:t>undertaking</w:t>
      </w:r>
      <w:r>
        <w:rPr>
          <w:rFonts w:ascii="Times New Roman" w:cs="Times New Roman" w:eastAsia="Times New Roman" w:hAnsi="Times New Roman"/>
          <w:sz w:val="22"/>
          <w:szCs w:val="22"/>
          <w:color w:val="auto"/>
        </w:rPr>
        <w:t>”), by or on behalf of such indemnitee, to repay all amounts so advanced if it shall ultimately be determined by final judicial decision from which there is no further right to appeal (hereinafter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24" w:right="339" w:bottom="1440" w:gutter="0" w:footer="0" w:header="0"/>
        </w:sectPr>
      </w:pPr>
    </w:p>
    <w:bookmarkStart w:id="316" w:name="page317"/>
    <w:bookmarkEnd w:id="316"/>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final adjudication</w:t>
      </w:r>
      <w:r>
        <w:rPr>
          <w:rFonts w:ascii="Times New Roman" w:cs="Times New Roman" w:eastAsia="Times New Roman" w:hAnsi="Times New Roman"/>
          <w:sz w:val="21"/>
          <w:szCs w:val="21"/>
          <w:color w:val="auto"/>
        </w:rPr>
        <w:t xml:space="preserve">”) that such indemnitee is not entitled to be indemnified for such expenses under this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 xml:space="preserve"> or otherwise.</w:t>
      </w:r>
    </w:p>
    <w:p>
      <w:pPr>
        <w:spacing w:after="0" w:line="249"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3.</w:t>
      </w:r>
      <w:r>
        <w:rPr>
          <w:sz w:val="20"/>
          <w:szCs w:val="20"/>
          <w:color w:val="auto"/>
        </w:rPr>
        <w:tab/>
      </w:r>
      <w:r>
        <w:rPr>
          <w:rFonts w:ascii="Times New Roman" w:cs="Times New Roman" w:eastAsia="Times New Roman" w:hAnsi="Times New Roman"/>
          <w:sz w:val="21"/>
          <w:szCs w:val="21"/>
          <w:u w:val="single" w:color="auto"/>
          <w:color w:val="auto"/>
        </w:rPr>
        <w:t>Right of Indemnitee to Bring Suit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1"/>
          <w:szCs w:val="21"/>
          <w:color w:val="auto"/>
        </w:rPr>
        <w:t xml:space="preserve">If a claim under </w:t>
      </w:r>
      <w:r>
        <w:rPr>
          <w:rFonts w:ascii="Times New Roman" w:cs="Times New Roman" w:eastAsia="Times New Roman" w:hAnsi="Times New Roman"/>
          <w:sz w:val="21"/>
          <w:szCs w:val="21"/>
          <w:u w:val="single" w:color="auto"/>
          <w:color w:val="auto"/>
        </w:rPr>
        <w:t>Section 1</w:t>
      </w:r>
      <w:r>
        <w:rPr>
          <w:rFonts w:ascii="Times New Roman" w:cs="Times New Roman" w:eastAsia="Times New Roman" w:hAnsi="Times New Roman"/>
          <w:sz w:val="21"/>
          <w:szCs w:val="21"/>
          <w:color w:val="auto"/>
        </w:rPr>
        <w:t xml:space="preserve"> or 2 of this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xml:space="preserve"> is not paid in full by the Corporation within 60 days after a written claim has been received by the Corporation, except in the case of a claim for an advancement of expenses, in which case the applicable period shall be 20 days, the indemnitee may at any time thereafter bring suit against the Corporation to recover the unpaid amount of the claim. To the fullest extent permitted by law, if successful in whole or in part in any such suit, or in a suit brought by the Corporation to recover an advancement of expenses pursuant to the terms of an undertaking, the indemnitee shall be entitled to be paid also the expense of prosecuting or defending such suit. In (i) any suit brought by the indemnitee to enforce a right to indemnification hereunder (but not in a suit brought by the indemnitee to enforce a right to an advancement of expenses) it shall be a defense that, and (ii) in any suit brought by the Corporation to recover an advancement of expenses pursuant to the terms of an undertaking, the Corporation shall be entitled to recover such expenses upon a final adjudication that, the indemnitee has not met any applicable standard for indemnification set forth in the Delaware General Corporation Law.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Delaware General Corporation Law, nor an actual determination by the Corporation (including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xml:space="preserve"> or otherwise, shall be on the Corporation.</w:t>
      </w:r>
    </w:p>
    <w:p>
      <w:pPr>
        <w:spacing w:after="0" w:line="183"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4.</w:t>
      </w:r>
      <w:r>
        <w:rPr>
          <w:sz w:val="20"/>
          <w:szCs w:val="20"/>
          <w:color w:val="auto"/>
        </w:rPr>
        <w:tab/>
      </w:r>
      <w:r>
        <w:rPr>
          <w:rFonts w:ascii="Times New Roman" w:cs="Times New Roman" w:eastAsia="Times New Roman" w:hAnsi="Times New Roman"/>
          <w:sz w:val="21"/>
          <w:szCs w:val="21"/>
          <w:u w:val="single" w:color="auto"/>
          <w:color w:val="auto"/>
        </w:rPr>
        <w:t>Non-Exclusivity of Rights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 xml:space="preserve">The rights to indemnification and to the advancement of expenses conferred in this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shall not be exclusive of any other right which any person may have or hereafter acquire under any statute, the Corporation’s Certificate of Incorporation, Bylaws, agreement, vote of stockholders or disinterested directors or otherwise.</w:t>
      </w:r>
    </w:p>
    <w:p>
      <w:pPr>
        <w:spacing w:after="0" w:line="172"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5.</w:t>
      </w:r>
      <w:r>
        <w:rPr>
          <w:sz w:val="20"/>
          <w:szCs w:val="20"/>
          <w:color w:val="auto"/>
        </w:rPr>
        <w:tab/>
      </w:r>
      <w:r>
        <w:rPr>
          <w:rFonts w:ascii="Times New Roman" w:cs="Times New Roman" w:eastAsia="Times New Roman" w:hAnsi="Times New Roman"/>
          <w:sz w:val="21"/>
          <w:szCs w:val="21"/>
          <w:u w:val="single" w:color="auto"/>
          <w:color w:val="auto"/>
        </w:rPr>
        <w:t>Insurance</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The Corporation may maintain insurance, at its expense, to protect itself and any director, officer, employee or agent of the Corporation or another corporation, partnership, joint venture,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24" w:right="339" w:bottom="1440" w:gutter="0" w:footer="0" w:header="0"/>
        </w:sectPr>
      </w:pPr>
    </w:p>
    <w:bookmarkStart w:id="317" w:name="page318"/>
    <w:bookmarkEnd w:id="317"/>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trust or other enterprise against any expense, liability or loss, whether or not the Corporation would have the power to indemnify such person against such expense, liability or loss under the Delaware General Corporation Law.</w:t>
      </w:r>
    </w:p>
    <w:p>
      <w:pPr>
        <w:spacing w:after="0" w:line="157"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6.</w:t>
      </w:r>
      <w:r>
        <w:rPr>
          <w:sz w:val="20"/>
          <w:szCs w:val="20"/>
          <w:color w:val="auto"/>
        </w:rPr>
        <w:tab/>
      </w:r>
      <w:r>
        <w:rPr>
          <w:rFonts w:ascii="Times New Roman" w:cs="Times New Roman" w:eastAsia="Times New Roman" w:hAnsi="Times New Roman"/>
          <w:sz w:val="21"/>
          <w:szCs w:val="21"/>
          <w:u w:val="single" w:color="auto"/>
          <w:color w:val="auto"/>
        </w:rPr>
        <w:t>Indemnification of Employees and Agents of the Corporation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8"/>
        <w:spacing w:after="0" w:line="288" w:lineRule="auto"/>
        <w:rPr>
          <w:sz w:val="20"/>
          <w:szCs w:val="20"/>
          <w:color w:val="auto"/>
        </w:rPr>
      </w:pPr>
      <w:r>
        <w:rPr>
          <w:rFonts w:ascii="Times New Roman" w:cs="Times New Roman" w:eastAsia="Times New Roman" w:hAnsi="Times New Roman"/>
          <w:sz w:val="21"/>
          <w:szCs w:val="21"/>
          <w:color w:val="auto"/>
        </w:rPr>
        <w:t xml:space="preserve">The Corporation may, to the extent authorized from time to time by the Board of Directors, grant rights to indemnification and to the advancement of expenses to any employee or agent of the Corporation to the fullest extent of the provisions of this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xml:space="preserve"> with respect to the indemnification and advancement of expenses of directors and officers of the Corporation.</w:t>
      </w:r>
    </w:p>
    <w:p>
      <w:pPr>
        <w:spacing w:after="0" w:line="157"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7.</w:t>
      </w:r>
      <w:r>
        <w:rPr>
          <w:sz w:val="20"/>
          <w:szCs w:val="20"/>
          <w:color w:val="auto"/>
        </w:rPr>
        <w:tab/>
      </w:r>
      <w:r>
        <w:rPr>
          <w:rFonts w:ascii="Times New Roman" w:cs="Times New Roman" w:eastAsia="Times New Roman" w:hAnsi="Times New Roman"/>
          <w:sz w:val="21"/>
          <w:szCs w:val="21"/>
          <w:u w:val="single" w:color="auto"/>
          <w:color w:val="auto"/>
        </w:rPr>
        <w:t>Nature of Rights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2"/>
          <w:szCs w:val="22"/>
          <w:color w:val="auto"/>
        </w:rPr>
        <w:t xml:space="preserve">The rights conferred upon indemnitees in this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shall be contract rights and such rights shall continue as to an indemnitee who has ceased to be a director, officer or trustee and shall inure to the benefit of the indemnitee’s heirs, executors and administrators. Any amendment, alteration or repeal of this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that adversely affects any right of an indemnitee or its successors shall be prospective only and shall not limit, eliminate, or impair any such right with respect to any proceeding involving any occurrence or alleged occurrence of any action or omission to act that took place prior to such amendment, alteration or repeal.</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X</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AMENDMENTS</w:t>
      </w:r>
    </w:p>
    <w:p>
      <w:pPr>
        <w:spacing w:after="0" w:line="207"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These Bylaws may be amended or repealed by the Board of Directors at any meeting or by the stockholders at any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24" w:right="339" w:bottom="1440" w:gutter="0" w:footer="0" w:header="0"/>
        </w:sectPr>
      </w:pPr>
    </w:p>
    <w:bookmarkStart w:id="318" w:name="page319"/>
    <w:bookmarkEnd w:id="318"/>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CERTIFICATE OF SECRETARY OF</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CHIME FINANCIAL, INC.</w:t>
      </w:r>
    </w:p>
    <w:p>
      <w:pPr>
        <w:spacing w:after="0" w:line="221"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The undersigned, Christopher Britt, hereby certifies that he or she is the duly elected and acting Secretary of Chime Financial, Inc., a Delaware corporation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and that the Bylaws attached hereto constitute the Amended and Restated Bylaws of said Corporation as duly adopted by Action by Unanimous Written Consent By the Board of Directors and Action by Written Consent of the Stockholders on November 20, 2019</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undersigned has hereunto subscribed his or her name this 20th day of November, 2019</w:t>
      </w:r>
    </w:p>
    <w:p>
      <w:pPr>
        <w:spacing w:after="0" w:line="26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/s/ Christopher Britt</w:t>
      </w:r>
    </w:p>
    <w:p>
      <w:pPr>
        <w:spacing w:after="0" w:line="3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Christopher Britt,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-160020</wp:posOffset>
            </wp:positionV>
            <wp:extent cx="379730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 Page of Bylaws]</w:t>
      </w:r>
    </w:p>
    <w:p>
      <w:pPr>
        <w:sectPr>
          <w:pgSz w:w="11900" w:h="16838" w:orient="portrait"/>
          <w:cols w:equalWidth="0" w:num="1">
            <w:col w:w="11240"/>
          </w:cols>
          <w:pgMar w:left="320" w:top="610" w:right="339" w:bottom="1440" w:gutter="0" w:footer="0" w:header="0"/>
        </w:sectPr>
      </w:pPr>
    </w:p>
    <w:bookmarkStart w:id="319" w:name="page320"/>
    <w:bookmarkEnd w:id="319"/>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INVESTORS’ RIGHTS AGREEMENT</w:t>
      </w:r>
    </w:p>
    <w:p>
      <w:pPr>
        <w:spacing w:after="0" w:line="197" w:lineRule="exact"/>
        <w:rPr>
          <w:sz w:val="20"/>
          <w:szCs w:val="20"/>
          <w:color w:val="auto"/>
        </w:rPr>
      </w:pPr>
    </w:p>
    <w:p>
      <w:pPr>
        <w:jc w:val="both"/>
        <w:ind w:firstLine="1296"/>
        <w:spacing w:after="0" w:line="243" w:lineRule="auto"/>
        <w:rPr>
          <w:sz w:val="20"/>
          <w:szCs w:val="20"/>
          <w:color w:val="auto"/>
        </w:rPr>
      </w:pPr>
      <w:r>
        <w:rPr>
          <w:rFonts w:ascii="Times New Roman" w:cs="Times New Roman" w:eastAsia="Times New Roman" w:hAnsi="Times New Roman"/>
          <w:sz w:val="22"/>
          <w:szCs w:val="22"/>
          <w:color w:val="auto"/>
        </w:rPr>
        <w:t>This AMENDED AND RESTATED INVESTORS’ RIGHTS AGREEMENT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xml:space="preserve">”) is made as of August 9, 2021, by and among </w:t>
      </w:r>
      <w:r>
        <w:rPr>
          <w:rFonts w:ascii="Times New Roman" w:cs="Times New Roman" w:eastAsia="Times New Roman" w:hAnsi="Times New Roman"/>
          <w:sz w:val="22"/>
          <w:szCs w:val="22"/>
          <w:b w:val="1"/>
          <w:bCs w:val="1"/>
          <w:color w:val="auto"/>
        </w:rPr>
        <w:t>Chime Financial, Inc.</w:t>
      </w:r>
      <w:r>
        <w:rPr>
          <w:rFonts w:ascii="Times New Roman" w:cs="Times New Roman" w:eastAsia="Times New Roman" w:hAnsi="Times New Roman"/>
          <w:sz w:val="22"/>
          <w:szCs w:val="22"/>
          <w:color w:val="auto"/>
        </w:rPr>
        <w:t>, a Delaware corporation (f/k/a 1debit,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the investors listed on Schedule A hereto, each of which is herein referred to as an “</w:t>
      </w:r>
      <w:r>
        <w:rPr>
          <w:rFonts w:ascii="Times New Roman" w:cs="Times New Roman" w:eastAsia="Times New Roman" w:hAnsi="Times New Roman"/>
          <w:sz w:val="22"/>
          <w:szCs w:val="22"/>
          <w:u w:val="single" w:color="auto"/>
          <w:color w:val="auto"/>
        </w:rPr>
        <w:t>Investor</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u w:val="single" w:color="auto"/>
          <w:color w:val="auto"/>
        </w:rPr>
        <w:t>Investors</w:t>
      </w:r>
      <w:r>
        <w:rPr>
          <w:rFonts w:ascii="Times New Roman" w:cs="Times New Roman" w:eastAsia="Times New Roman" w:hAnsi="Times New Roman"/>
          <w:sz w:val="22"/>
          <w:szCs w:val="22"/>
          <w:color w:val="auto"/>
        </w:rPr>
        <w:t>”, and the holders of Common Stock (as defined below) listed on Schedule B hereto, each of which is herein referred to as a “</w:t>
      </w:r>
      <w:r>
        <w:rPr>
          <w:rFonts w:ascii="Times New Roman" w:cs="Times New Roman" w:eastAsia="Times New Roman" w:hAnsi="Times New Roman"/>
          <w:sz w:val="22"/>
          <w:szCs w:val="22"/>
          <w:u w:val="single" w:color="auto"/>
          <w:color w:val="auto"/>
        </w:rPr>
        <w:t>Common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Holder</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u w:val="single" w:color="auto"/>
          <w:color w:val="auto"/>
        </w:rPr>
        <w:t>Key Holders</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06"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and certain of the Investors (the “</w:t>
      </w:r>
      <w:r>
        <w:rPr>
          <w:rFonts w:ascii="Times New Roman" w:cs="Times New Roman" w:eastAsia="Times New Roman" w:hAnsi="Times New Roman"/>
          <w:sz w:val="22"/>
          <w:szCs w:val="22"/>
          <w:u w:val="single" w:color="auto"/>
          <w:color w:val="auto"/>
        </w:rPr>
        <w:t>New Investors</w:t>
      </w:r>
      <w:r>
        <w:rPr>
          <w:rFonts w:ascii="Times New Roman" w:cs="Times New Roman" w:eastAsia="Times New Roman" w:hAnsi="Times New Roman"/>
          <w:sz w:val="22"/>
          <w:szCs w:val="22"/>
          <w:color w:val="auto"/>
        </w:rPr>
        <w:t>”) are parties to that certain Series 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Preferred Stock Purchase Agreement, dated as of August 6, 2021 (the “</w:t>
      </w:r>
      <w:r>
        <w:rPr>
          <w:rFonts w:ascii="Times New Roman" w:cs="Times New Roman" w:eastAsia="Times New Roman" w:hAnsi="Times New Roman"/>
          <w:sz w:val="22"/>
          <w:szCs w:val="22"/>
          <w:u w:val="single" w:color="auto"/>
          <w:color w:val="auto"/>
        </w:rPr>
        <w:t>Series G Agreement</w:t>
      </w:r>
      <w:r>
        <w:rPr>
          <w:rFonts w:ascii="Times New Roman" w:cs="Times New Roman" w:eastAsia="Times New Roman" w:hAnsi="Times New Roman"/>
          <w:sz w:val="22"/>
          <w:szCs w:val="22"/>
          <w:color w:val="auto"/>
        </w:rPr>
        <w:t>”); and</w:t>
      </w:r>
    </w:p>
    <w:p>
      <w:pPr>
        <w:spacing w:after="0" w:line="136"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certain of the Investors (the “</w:t>
      </w:r>
      <w:r>
        <w:rPr>
          <w:rFonts w:ascii="Times New Roman" w:cs="Times New Roman" w:eastAsia="Times New Roman" w:hAnsi="Times New Roman"/>
          <w:sz w:val="22"/>
          <w:szCs w:val="22"/>
          <w:u w:val="single" w:color="auto"/>
          <w:color w:val="auto"/>
        </w:rPr>
        <w:t>Existing Investors</w:t>
      </w:r>
      <w:r>
        <w:rPr>
          <w:rFonts w:ascii="Times New Roman" w:cs="Times New Roman" w:eastAsia="Times New Roman" w:hAnsi="Times New Roman"/>
          <w:sz w:val="22"/>
          <w:szCs w:val="22"/>
          <w:color w:val="auto"/>
        </w:rPr>
        <w:t>”) hold shares of the Company’s Series F Preferred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par value $0.0001 per share (the “</w:t>
      </w:r>
      <w:r>
        <w:rPr>
          <w:rFonts w:ascii="Times New Roman" w:cs="Times New Roman" w:eastAsia="Times New Roman" w:hAnsi="Times New Roman"/>
          <w:sz w:val="22"/>
          <w:szCs w:val="22"/>
          <w:u w:val="single" w:color="auto"/>
          <w:color w:val="auto"/>
        </w:rPr>
        <w:t>Series F Preferred Stock</w:t>
      </w:r>
      <w:r>
        <w:rPr>
          <w:rFonts w:ascii="Times New Roman" w:cs="Times New Roman" w:eastAsia="Times New Roman" w:hAnsi="Times New Roman"/>
          <w:sz w:val="22"/>
          <w:szCs w:val="22"/>
          <w:color w:val="auto"/>
        </w:rPr>
        <w:t>”), Series E Preferred Stock, par value $0.0001 per share (the “</w:t>
      </w:r>
      <w:r>
        <w:rPr>
          <w:rFonts w:ascii="Times New Roman" w:cs="Times New Roman" w:eastAsia="Times New Roman" w:hAnsi="Times New Roman"/>
          <w:sz w:val="22"/>
          <w:szCs w:val="22"/>
          <w:u w:val="single" w:color="auto"/>
          <w:color w:val="auto"/>
        </w:rPr>
        <w:t>Series E Preferred Stock</w:t>
      </w:r>
      <w:r>
        <w:rPr>
          <w:rFonts w:ascii="Times New Roman" w:cs="Times New Roman" w:eastAsia="Times New Roman" w:hAnsi="Times New Roman"/>
          <w:sz w:val="22"/>
          <w:szCs w:val="22"/>
          <w:color w:val="auto"/>
        </w:rPr>
        <w:t>”), Series D Preferred Stock, par value $0.0001 per share (the “</w:t>
      </w:r>
      <w:r>
        <w:rPr>
          <w:rFonts w:ascii="Times New Roman" w:cs="Times New Roman" w:eastAsia="Times New Roman" w:hAnsi="Times New Roman"/>
          <w:sz w:val="22"/>
          <w:szCs w:val="22"/>
          <w:u w:val="single" w:color="auto"/>
          <w:color w:val="auto"/>
        </w:rPr>
        <w:t>Series D Preferred Stock</w:t>
      </w:r>
      <w:r>
        <w:rPr>
          <w:rFonts w:ascii="Times New Roman" w:cs="Times New Roman" w:eastAsia="Times New Roman" w:hAnsi="Times New Roman"/>
          <w:sz w:val="22"/>
          <w:szCs w:val="22"/>
          <w:color w:val="auto"/>
        </w:rPr>
        <w:t>”), Series C-1 Preferred Stock, par value $0.0001 per share (the “</w:t>
      </w:r>
      <w:r>
        <w:rPr>
          <w:rFonts w:ascii="Times New Roman" w:cs="Times New Roman" w:eastAsia="Times New Roman" w:hAnsi="Times New Roman"/>
          <w:sz w:val="22"/>
          <w:szCs w:val="22"/>
          <w:u w:val="single" w:color="auto"/>
          <w:color w:val="auto"/>
        </w:rPr>
        <w:t>Series C-1 Preferred Stock</w:t>
      </w:r>
      <w:r>
        <w:rPr>
          <w:rFonts w:ascii="Times New Roman" w:cs="Times New Roman" w:eastAsia="Times New Roman" w:hAnsi="Times New Roman"/>
          <w:sz w:val="22"/>
          <w:szCs w:val="22"/>
          <w:color w:val="auto"/>
        </w:rPr>
        <w:t>”), Series C Preferred Stock, par value $0.0001 per share (the “</w:t>
      </w:r>
      <w:r>
        <w:rPr>
          <w:rFonts w:ascii="Times New Roman" w:cs="Times New Roman" w:eastAsia="Times New Roman" w:hAnsi="Times New Roman"/>
          <w:sz w:val="22"/>
          <w:szCs w:val="22"/>
          <w:u w:val="single" w:color="auto"/>
          <w:color w:val="auto"/>
        </w:rPr>
        <w:t>Series C Preferred Stock</w:t>
      </w:r>
      <w:r>
        <w:rPr>
          <w:rFonts w:ascii="Times New Roman" w:cs="Times New Roman" w:eastAsia="Times New Roman" w:hAnsi="Times New Roman"/>
          <w:sz w:val="22"/>
          <w:szCs w:val="22"/>
          <w:color w:val="auto"/>
        </w:rPr>
        <w:t>”), Company’s Series B Preferred Stock, par value $0.0001 per share (the “</w:t>
      </w:r>
      <w:r>
        <w:rPr>
          <w:rFonts w:ascii="Times New Roman" w:cs="Times New Roman" w:eastAsia="Times New Roman" w:hAnsi="Times New Roman"/>
          <w:sz w:val="22"/>
          <w:szCs w:val="22"/>
          <w:u w:val="single" w:color="auto"/>
          <w:color w:val="auto"/>
        </w:rPr>
        <w:t>Series B Preferred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Stock</w:t>
      </w:r>
      <w:r>
        <w:rPr>
          <w:rFonts w:ascii="Times New Roman" w:cs="Times New Roman" w:eastAsia="Times New Roman" w:hAnsi="Times New Roman"/>
          <w:sz w:val="22"/>
          <w:szCs w:val="22"/>
          <w:color w:val="auto"/>
        </w:rPr>
        <w:t>”), Series A-2 Preferred Stock, par value $0.0001 per share (the “</w:t>
      </w:r>
      <w:r>
        <w:rPr>
          <w:rFonts w:ascii="Times New Roman" w:cs="Times New Roman" w:eastAsia="Times New Roman" w:hAnsi="Times New Roman"/>
          <w:sz w:val="22"/>
          <w:szCs w:val="22"/>
          <w:u w:val="single" w:color="auto"/>
          <w:color w:val="auto"/>
        </w:rPr>
        <w:t>Series A-2 Preferred Stock</w:t>
      </w:r>
      <w:r>
        <w:rPr>
          <w:rFonts w:ascii="Times New Roman" w:cs="Times New Roman" w:eastAsia="Times New Roman" w:hAnsi="Times New Roman"/>
          <w:sz w:val="22"/>
          <w:szCs w:val="22"/>
          <w:color w:val="auto"/>
        </w:rPr>
        <w:t>”), the Company’s Series A Preferred Stock, par value $0.0001 per share (the “</w:t>
      </w:r>
      <w:r>
        <w:rPr>
          <w:rFonts w:ascii="Times New Roman" w:cs="Times New Roman" w:eastAsia="Times New Roman" w:hAnsi="Times New Roman"/>
          <w:sz w:val="22"/>
          <w:szCs w:val="22"/>
          <w:u w:val="single" w:color="auto"/>
          <w:color w:val="auto"/>
        </w:rPr>
        <w:t>Series A Preferred Stock</w:t>
      </w:r>
      <w:r>
        <w:rPr>
          <w:rFonts w:ascii="Times New Roman" w:cs="Times New Roman" w:eastAsia="Times New Roman" w:hAnsi="Times New Roman"/>
          <w:sz w:val="22"/>
          <w:szCs w:val="22"/>
          <w:color w:val="auto"/>
        </w:rPr>
        <w:t>”) and/or shares of the Company’s Series Seed Preferred Stock, par value $0.0001 per share (the “</w:t>
      </w:r>
      <w:r>
        <w:rPr>
          <w:rFonts w:ascii="Times New Roman" w:cs="Times New Roman" w:eastAsia="Times New Roman" w:hAnsi="Times New Roman"/>
          <w:sz w:val="22"/>
          <w:szCs w:val="22"/>
          <w:u w:val="single" w:color="auto"/>
          <w:color w:val="auto"/>
        </w:rPr>
        <w:t>Series Seed Preferred Stock</w:t>
      </w:r>
      <w:r>
        <w:rPr>
          <w:rFonts w:ascii="Times New Roman" w:cs="Times New Roman" w:eastAsia="Times New Roman" w:hAnsi="Times New Roman"/>
          <w:sz w:val="22"/>
          <w:szCs w:val="22"/>
          <w:color w:val="auto"/>
        </w:rPr>
        <w:t>”) and are parties to an Amended and Restated Investors’ Rights Agreement dated as of September 18, 2020 among the Company, certain of the Key Holders and the Existing Investors (the “</w:t>
      </w:r>
      <w:r>
        <w:rPr>
          <w:rFonts w:ascii="Times New Roman" w:cs="Times New Roman" w:eastAsia="Times New Roman" w:hAnsi="Times New Roman"/>
          <w:sz w:val="22"/>
          <w:szCs w:val="22"/>
          <w:u w:val="single" w:color="auto"/>
          <w:color w:val="auto"/>
        </w:rPr>
        <w:t>Prior Agreement</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firstLine="1296"/>
        <w:spacing w:after="0"/>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in order to induce the New Investors to purchase Series G Preferred Stock, par value $0.0001 per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 (the “</w:t>
      </w:r>
      <w:r>
        <w:rPr>
          <w:rFonts w:ascii="Times New Roman" w:cs="Times New Roman" w:eastAsia="Times New Roman" w:hAnsi="Times New Roman"/>
          <w:sz w:val="22"/>
          <w:szCs w:val="22"/>
          <w:u w:val="single" w:color="auto"/>
          <w:color w:val="auto"/>
        </w:rPr>
        <w:t>Series G Preferred Stock</w:t>
      </w:r>
      <w:r>
        <w:rPr>
          <w:rFonts w:ascii="Times New Roman" w:cs="Times New Roman" w:eastAsia="Times New Roman" w:hAnsi="Times New Roman"/>
          <w:sz w:val="22"/>
          <w:szCs w:val="22"/>
          <w:color w:val="auto"/>
        </w:rPr>
        <w:t>” and, collectively with the Series F Preferred Stock, Series E Preferred Stock, Series D Preferred Stock, Series C-1 Preferred Stock, Series C Preferred Stock, Series B Preferred Stock, Series A-2 Preferred Stock, Series A Preferred Stock and the Series Seed Preferred Stock, the “</w:t>
      </w:r>
      <w:r>
        <w:rPr>
          <w:rFonts w:ascii="Times New Roman" w:cs="Times New Roman" w:eastAsia="Times New Roman" w:hAnsi="Times New Roman"/>
          <w:sz w:val="22"/>
          <w:szCs w:val="22"/>
          <w:u w:val="single" w:color="auto"/>
          <w:color w:val="auto"/>
        </w:rPr>
        <w:t>Preferred Stock</w:t>
      </w:r>
      <w:r>
        <w:rPr>
          <w:rFonts w:ascii="Times New Roman" w:cs="Times New Roman" w:eastAsia="Times New Roman" w:hAnsi="Times New Roman"/>
          <w:sz w:val="22"/>
          <w:szCs w:val="22"/>
          <w:color w:val="auto"/>
        </w:rPr>
        <w:t>”), and invest funds in the Company pursuant to the Series G Agreement, the Investors, the Key Holders, and the Company hereby agree that this Agreement shall govern the rights of the Investors and the Key Holders to cause the Company to register shares of Common Stock, par value $0.0001 per share (the “</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issued or issuable to them and certain other matters as set forth herein;</w:t>
      </w:r>
    </w:p>
    <w:p>
      <w:pPr>
        <w:spacing w:after="0" w:line="187" w:lineRule="exact"/>
        <w:rPr>
          <w:sz w:val="20"/>
          <w:szCs w:val="20"/>
          <w:color w:val="auto"/>
        </w:rPr>
      </w:pPr>
    </w:p>
    <w:p>
      <w:pPr>
        <w:jc w:val="both"/>
        <w:ind w:right="20" w:firstLine="1296"/>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the Company, the Key Holders and the Existing Investors agree to amend and restate the Prior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in its entirety as set forth herein.</w:t>
      </w:r>
    </w:p>
    <w:p>
      <w:pPr>
        <w:spacing w:after="0" w:line="16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THE PARTIES HEREBY AGREE AS FOLLOWS:</w:t>
      </w:r>
    </w:p>
    <w:p>
      <w:pPr>
        <w:spacing w:after="0" w:line="210" w:lineRule="exact"/>
        <w:rPr>
          <w:sz w:val="20"/>
          <w:szCs w:val="20"/>
          <w:color w:val="auto"/>
        </w:rPr>
      </w:pPr>
    </w:p>
    <w:p>
      <w:pPr>
        <w:ind w:left="1080" w:hanging="424"/>
        <w:spacing w:after="0"/>
        <w:tabs>
          <w:tab w:leader="none" w:pos="1080"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of Prior Agreement; Waiver of Participation Right</w:t>
      </w: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9" w:lineRule="exact"/>
        <w:rPr>
          <w:rFonts w:ascii="Times New Roman" w:cs="Times New Roman" w:eastAsia="Times New Roman" w:hAnsi="Times New Roman"/>
          <w:sz w:val="22"/>
          <w:szCs w:val="22"/>
          <w:color w:val="auto"/>
        </w:rPr>
      </w:pPr>
    </w:p>
    <w:p>
      <w:pPr>
        <w:ind w:left="55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17" w:right="339" w:bottom="1440" w:gutter="0" w:footer="0" w:header="0"/>
        </w:sectPr>
      </w:pPr>
    </w:p>
    <w:bookmarkStart w:id="320" w:name="page321"/>
    <w:bookmarkEnd w:id="320"/>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Pursuant to Section 4.7 of the Prior Agreement, effective and contingent upon execution of this Agreement by the Company, Existing Investors holding the requisite majority of the outstanding Registrable Securities and, with respect to Section 2.1, Section 2.2, Section 2.3 and certain portions of Section 4.7, the requisite majority of the outstanding shares of the Company’s Registerable Securities held by Major Investors (as that term is defined in the Prior Agreement) and the requisite majority of the outstanding shares of Series C-1 Preferred Stock, the Prior Agreement is hereby amended and restated in its entirety to read as set forth in this Agreement, and the Company, the Existing Investors and the Key Holders shall be bound by the provisions hereof as the sole agreement of the Company, the Existing Investors and the Key Holders with respect to the subject matter hereof. The Major Investors, which includes the requite investors pursuant to Section 4.7 of the Prior Agreement, hereby waive the participation right, including the notice requirements, set forth in Section 2.4 of the Prior Agreement with respect to the issuance of Series G Preferred Stock.</w:t>
      </w:r>
    </w:p>
    <w:p>
      <w:pPr>
        <w:spacing w:after="0" w:line="181" w:lineRule="exact"/>
        <w:rPr>
          <w:sz w:val="20"/>
          <w:szCs w:val="20"/>
          <w:color w:val="auto"/>
        </w:rPr>
      </w:pPr>
    </w:p>
    <w:p>
      <w:pPr>
        <w:ind w:left="1040" w:hanging="384"/>
        <w:spacing w:after="0"/>
        <w:tabs>
          <w:tab w:leader="none" w:pos="1040"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Registration Rights</w:t>
      </w:r>
      <w:r>
        <w:rPr>
          <w:rFonts w:ascii="Times New Roman" w:cs="Times New Roman" w:eastAsia="Times New Roman" w:hAnsi="Times New Roman"/>
          <w:sz w:val="22"/>
          <w:szCs w:val="22"/>
          <w:color w:val="auto"/>
        </w:rPr>
        <w:t>. The Company covenants and agrees as follows:</w:t>
      </w:r>
    </w:p>
    <w:p>
      <w:pPr>
        <w:spacing w:after="0" w:line="206" w:lineRule="exact"/>
        <w:rPr>
          <w:rFonts w:ascii="Times New Roman" w:cs="Times New Roman" w:eastAsia="Times New Roman" w:hAnsi="Times New Roman"/>
          <w:sz w:val="22"/>
          <w:szCs w:val="22"/>
          <w:color w:val="auto"/>
        </w:rPr>
      </w:pP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For purposes of this Agreement:</w:t>
      </w:r>
    </w:p>
    <w:p>
      <w:pPr>
        <w:spacing w:after="0" w:line="219" w:lineRule="exact"/>
        <w:rPr>
          <w:rFonts w:ascii="Times New Roman" w:cs="Times New Roman" w:eastAsia="Times New Roman" w:hAnsi="Times New Roman"/>
          <w:sz w:val="22"/>
          <w:szCs w:val="22"/>
          <w:color w:val="auto"/>
        </w:rPr>
      </w:pPr>
    </w:p>
    <w:p>
      <w:pPr>
        <w:ind w:left="2400" w:hanging="448"/>
        <w:spacing w:after="0"/>
        <w:tabs>
          <w:tab w:leader="none" w:pos="2400" w:val="left"/>
        </w:tabs>
        <w:numPr>
          <w:ilvl w:val="1"/>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Act</w:t>
      </w:r>
      <w:r>
        <w:rPr>
          <w:rFonts w:ascii="Times New Roman" w:cs="Times New Roman" w:eastAsia="Times New Roman" w:hAnsi="Times New Roman"/>
          <w:sz w:val="22"/>
          <w:szCs w:val="22"/>
          <w:color w:val="auto"/>
        </w:rPr>
        <w:t>” means the Securities Act of 1933, as amended.</w:t>
      </w:r>
    </w:p>
    <w:p>
      <w:pPr>
        <w:spacing w:after="0" w:line="206" w:lineRule="exact"/>
        <w:rPr>
          <w:rFonts w:ascii="Times New Roman" w:cs="Times New Roman" w:eastAsia="Times New Roman" w:hAnsi="Times New Roman"/>
          <w:sz w:val="22"/>
          <w:szCs w:val="22"/>
          <w:color w:val="auto"/>
        </w:rPr>
      </w:pPr>
    </w:p>
    <w:p>
      <w:pPr>
        <w:jc w:val="both"/>
        <w:ind w:firstLine="1952"/>
        <w:spacing w:after="0" w:line="239" w:lineRule="auto"/>
        <w:tabs>
          <w:tab w:leader="none" w:pos="2489" w:val="left"/>
        </w:tabs>
        <w:numPr>
          <w:ilvl w:val="1"/>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with respect to any specified person, any other person who or which, directly or indirectly, controls, is controlled by, or is under common control with such specified person, including, without limitation, any general partner, officer, director or manager of such person and any venture capital or similar investment fund now or hereafter existing that is controlled by one or more general partners or managing members of, or is under common investment management with, such person. With respect to DST Global VI, L.P., DSTG VI Investments, L.P., DSTG VI Investments-A, L.P., DST Investments XXI, L.P., DST Global VII, L.P. and DSTG VII Investments-1, L.P. and DSTG VII Investments-4, L.P. (collectively, “</w:t>
      </w:r>
      <w:r>
        <w:rPr>
          <w:rFonts w:ascii="Times New Roman" w:cs="Times New Roman" w:eastAsia="Times New Roman" w:hAnsi="Times New Roman"/>
          <w:sz w:val="22"/>
          <w:szCs w:val="22"/>
          <w:u w:val="single" w:color="auto"/>
          <w:color w:val="auto"/>
        </w:rPr>
        <w:t>DST</w:t>
      </w:r>
      <w:r>
        <w:rPr>
          <w:rFonts w:ascii="Times New Roman" w:cs="Times New Roman" w:eastAsia="Times New Roman" w:hAnsi="Times New Roman"/>
          <w:sz w:val="22"/>
          <w:szCs w:val="22"/>
          <w:color w:val="auto"/>
        </w:rPr>
        <w:t>”), “Affiliate” shall include each of Jesmond Holdings, L.P. (“</w:t>
      </w:r>
      <w:r>
        <w:rPr>
          <w:rFonts w:ascii="Times New Roman" w:cs="Times New Roman" w:eastAsia="Times New Roman" w:hAnsi="Times New Roman"/>
          <w:sz w:val="22"/>
          <w:szCs w:val="22"/>
          <w:u w:val="single" w:color="auto"/>
          <w:color w:val="auto"/>
        </w:rPr>
        <w:t>Jesmond</w:t>
      </w:r>
      <w:r>
        <w:rPr>
          <w:rFonts w:ascii="Times New Roman" w:cs="Times New Roman" w:eastAsia="Times New Roman" w:hAnsi="Times New Roman"/>
          <w:sz w:val="22"/>
          <w:szCs w:val="22"/>
          <w:color w:val="auto"/>
        </w:rPr>
        <w:t>”) and Saurabh Gupta (“</w:t>
      </w:r>
      <w:r>
        <w:rPr>
          <w:rFonts w:ascii="Times New Roman" w:cs="Times New Roman" w:eastAsia="Times New Roman" w:hAnsi="Times New Roman"/>
          <w:sz w:val="22"/>
          <w:szCs w:val="22"/>
          <w:u w:val="single" w:color="auto"/>
          <w:color w:val="auto"/>
        </w:rPr>
        <w:t>Gupta</w:t>
      </w:r>
      <w:r>
        <w:rPr>
          <w:rFonts w:ascii="Times New Roman" w:cs="Times New Roman" w:eastAsia="Times New Roman" w:hAnsi="Times New Roman"/>
          <w:sz w:val="22"/>
          <w:szCs w:val="22"/>
          <w:color w:val="auto"/>
        </w:rPr>
        <w:t>”). With respect to SVF II Aggregator (DE) LLC (“</w:t>
      </w:r>
      <w:r>
        <w:rPr>
          <w:rFonts w:ascii="Times New Roman" w:cs="Times New Roman" w:eastAsia="Times New Roman" w:hAnsi="Times New Roman"/>
          <w:sz w:val="22"/>
          <w:szCs w:val="22"/>
          <w:u w:val="single" w:color="auto"/>
          <w:color w:val="auto"/>
        </w:rPr>
        <w:t>SoftBank</w:t>
      </w:r>
      <w:r>
        <w:rPr>
          <w:rFonts w:ascii="Times New Roman" w:cs="Times New Roman" w:eastAsia="Times New Roman" w:hAnsi="Times New Roman"/>
          <w:sz w:val="22"/>
          <w:szCs w:val="22"/>
          <w:color w:val="auto"/>
        </w:rPr>
        <w:t>”), “Affiliate” shall include any successor fund to SoftBank Vision Fund II-2 L.P. that is managed by an affiliate of SoftBank including SB Investment Advisors (UK) Limited or SB Investment Advisors (US) Inc.</w:t>
      </w:r>
    </w:p>
    <w:p>
      <w:pPr>
        <w:spacing w:after="0" w:line="180" w:lineRule="exact"/>
        <w:rPr>
          <w:rFonts w:ascii="Times New Roman" w:cs="Times New Roman" w:eastAsia="Times New Roman" w:hAnsi="Times New Roman"/>
          <w:sz w:val="22"/>
          <w:szCs w:val="22"/>
          <w:color w:val="auto"/>
        </w:rPr>
      </w:pPr>
    </w:p>
    <w:p>
      <w:pPr>
        <w:ind w:left="2400" w:hanging="448"/>
        <w:spacing w:after="0"/>
        <w:tabs>
          <w:tab w:leader="none" w:pos="2400" w:val="left"/>
        </w:tabs>
        <w:numPr>
          <w:ilvl w:val="1"/>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means the Company’s Board of Directors.</w:t>
      </w:r>
    </w:p>
    <w:p>
      <w:pPr>
        <w:spacing w:after="0" w:line="206" w:lineRule="exact"/>
        <w:rPr>
          <w:rFonts w:ascii="Times New Roman" w:cs="Times New Roman" w:eastAsia="Times New Roman" w:hAnsi="Times New Roman"/>
          <w:sz w:val="22"/>
          <w:szCs w:val="22"/>
          <w:color w:val="auto"/>
        </w:rPr>
      </w:pPr>
    </w:p>
    <w:p>
      <w:pPr>
        <w:jc w:val="both"/>
        <w:ind w:firstLine="1952"/>
        <w:spacing w:after="0" w:line="243" w:lineRule="auto"/>
        <w:tabs>
          <w:tab w:leader="none" w:pos="2489" w:val="left"/>
        </w:tabs>
        <w:numPr>
          <w:ilvl w:val="1"/>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Direct Listing</w:t>
      </w:r>
      <w:r>
        <w:rPr>
          <w:rFonts w:ascii="Times New Roman" w:cs="Times New Roman" w:eastAsia="Times New Roman" w:hAnsi="Times New Roman"/>
          <w:sz w:val="22"/>
          <w:szCs w:val="22"/>
          <w:color w:val="auto"/>
        </w:rPr>
        <w:t>” means the Company’s initial listing of its Common Stock on a national securities exchange by means of a registration statement on Form S-1 filed by the Company with the SEC that registers shares of existing capital stock of the Company for resale. For the avoidance of doubt, a Direct Listing shall not be deemed to be an underwritten offering and shall not involve any underwriting services. Any and all mentions of an underwritten offering or underwriters contained herein shall not apply to a Direct Listing.</w:t>
      </w:r>
    </w:p>
    <w:p>
      <w:pPr>
        <w:spacing w:after="0" w:line="177" w:lineRule="exact"/>
        <w:rPr>
          <w:rFonts w:ascii="Times New Roman" w:cs="Times New Roman" w:eastAsia="Times New Roman" w:hAnsi="Times New Roman"/>
          <w:sz w:val="22"/>
          <w:szCs w:val="22"/>
          <w:color w:val="auto"/>
        </w:rPr>
      </w:pPr>
    </w:p>
    <w:p>
      <w:pPr>
        <w:jc w:val="both"/>
        <w:ind w:firstLine="1952"/>
        <w:spacing w:after="0" w:line="250" w:lineRule="auto"/>
        <w:tabs>
          <w:tab w:leader="none" w:pos="2576" w:val="left"/>
        </w:tabs>
        <w:numPr>
          <w:ilvl w:val="1"/>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Form S-3</w:t>
      </w:r>
      <w:r>
        <w:rPr>
          <w:rFonts w:ascii="Times New Roman" w:cs="Times New Roman" w:eastAsia="Times New Roman" w:hAnsi="Times New Roman"/>
          <w:sz w:val="22"/>
          <w:szCs w:val="22"/>
          <w:color w:val="auto"/>
        </w:rPr>
        <w:t>” means such form under the Act as in effect on the date hereof or any registration form under the Act subsequently adopted by the SEC that permits inclusion or incorporation of substantial information by reference to other documents filed by the Company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24" w:right="339" w:bottom="1440" w:gutter="0" w:footer="0" w:header="0"/>
        </w:sectPr>
      </w:pPr>
    </w:p>
    <w:bookmarkStart w:id="321" w:name="page322"/>
    <w:bookmarkEnd w:id="321"/>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380" w:hanging="428"/>
        <w:spacing w:after="0"/>
        <w:tabs>
          <w:tab w:leader="none" w:pos="2380"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Free Writing Prospectus</w:t>
      </w:r>
      <w:r>
        <w:rPr>
          <w:rFonts w:ascii="Times New Roman" w:cs="Times New Roman" w:eastAsia="Times New Roman" w:hAnsi="Times New Roman"/>
          <w:sz w:val="22"/>
          <w:szCs w:val="22"/>
          <w:color w:val="auto"/>
        </w:rPr>
        <w:t>” means a free-writing prospectus, as defined in Rule 405.</w:t>
      </w:r>
    </w:p>
    <w:p>
      <w:pPr>
        <w:spacing w:after="0" w:line="192" w:lineRule="exact"/>
        <w:rPr>
          <w:rFonts w:ascii="Times New Roman" w:cs="Times New Roman" w:eastAsia="Times New Roman" w:hAnsi="Times New Roman"/>
          <w:sz w:val="22"/>
          <w:szCs w:val="22"/>
          <w:color w:val="auto"/>
        </w:rPr>
      </w:pPr>
    </w:p>
    <w:p>
      <w:pPr>
        <w:jc w:val="both"/>
        <w:ind w:firstLine="1952"/>
        <w:spacing w:after="0" w:line="225" w:lineRule="auto"/>
        <w:tabs>
          <w:tab w:leader="none" w:pos="2435"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Holder</w:t>
      </w:r>
      <w:r>
        <w:rPr>
          <w:rFonts w:ascii="Times New Roman" w:cs="Times New Roman" w:eastAsia="Times New Roman" w:hAnsi="Times New Roman"/>
          <w:sz w:val="22"/>
          <w:szCs w:val="22"/>
          <w:color w:val="auto"/>
        </w:rPr>
        <w:t xml:space="preserve">” means any person owning or having the right to acquire Registrable Securities or any assignee thereof in accordance with Section 1.11 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Key Holders shall not be deemed to be Holders for purposes of Sections 1.2, 1.4, and 1.12.</w:t>
      </w:r>
    </w:p>
    <w:p>
      <w:pPr>
        <w:spacing w:after="0" w:line="179" w:lineRule="exact"/>
        <w:rPr>
          <w:rFonts w:ascii="Times New Roman" w:cs="Times New Roman" w:eastAsia="Times New Roman" w:hAnsi="Times New Roman"/>
          <w:sz w:val="22"/>
          <w:szCs w:val="22"/>
          <w:color w:val="auto"/>
        </w:rPr>
      </w:pPr>
    </w:p>
    <w:p>
      <w:pPr>
        <w:ind w:firstLine="1952"/>
        <w:spacing w:after="0" w:line="284" w:lineRule="auto"/>
        <w:tabs>
          <w:tab w:leader="none" w:pos="2417"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Initial Offering</w:t>
      </w:r>
      <w:r>
        <w:rPr>
          <w:rFonts w:ascii="Times New Roman" w:cs="Times New Roman" w:eastAsia="Times New Roman" w:hAnsi="Times New Roman"/>
          <w:sz w:val="22"/>
          <w:szCs w:val="22"/>
          <w:color w:val="auto"/>
        </w:rPr>
        <w:t>” means the Company’s first firm commitment underwritten public offering of its Common Stock under the Act.</w:t>
      </w:r>
    </w:p>
    <w:p>
      <w:pPr>
        <w:spacing w:after="0" w:line="143" w:lineRule="exact"/>
        <w:rPr>
          <w:rFonts w:ascii="Times New Roman" w:cs="Times New Roman" w:eastAsia="Times New Roman" w:hAnsi="Times New Roman"/>
          <w:sz w:val="22"/>
          <w:szCs w:val="22"/>
          <w:color w:val="auto"/>
        </w:rPr>
      </w:pPr>
    </w:p>
    <w:p>
      <w:pPr>
        <w:ind w:left="2360" w:hanging="408"/>
        <w:spacing w:after="0"/>
        <w:tabs>
          <w:tab w:leader="none" w:pos="2360"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1934 Act</w:t>
      </w:r>
      <w:r>
        <w:rPr>
          <w:rFonts w:ascii="Times New Roman" w:cs="Times New Roman" w:eastAsia="Times New Roman" w:hAnsi="Times New Roman"/>
          <w:sz w:val="22"/>
          <w:szCs w:val="22"/>
          <w:color w:val="auto"/>
        </w:rPr>
        <w:t>” means the Securities Exchange Act of 1934, as amended.</w:t>
      </w:r>
    </w:p>
    <w:p>
      <w:pPr>
        <w:spacing w:after="0" w:line="219" w:lineRule="exact"/>
        <w:rPr>
          <w:rFonts w:ascii="Times New Roman" w:cs="Times New Roman" w:eastAsia="Times New Roman" w:hAnsi="Times New Roman"/>
          <w:sz w:val="22"/>
          <w:szCs w:val="22"/>
          <w:color w:val="auto"/>
        </w:rPr>
      </w:pPr>
    </w:p>
    <w:p>
      <w:pPr>
        <w:jc w:val="both"/>
        <w:ind w:right="20" w:firstLine="1952"/>
        <w:spacing w:after="0" w:line="257" w:lineRule="auto"/>
        <w:tabs>
          <w:tab w:leader="none" w:pos="2396"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terms “</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registered</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registration</w:t>
      </w:r>
      <w:r>
        <w:rPr>
          <w:rFonts w:ascii="Times New Roman" w:cs="Times New Roman" w:eastAsia="Times New Roman" w:hAnsi="Times New Roman"/>
          <w:sz w:val="22"/>
          <w:szCs w:val="22"/>
          <w:color w:val="auto"/>
        </w:rPr>
        <w:t>” refer to a registration effected by preparing and filing a registration statement or similar document in compliance with the Act, and the declaration or ordering of effectiveness of such registration statement or document.</w:t>
      </w:r>
    </w:p>
    <w:p>
      <w:pPr>
        <w:spacing w:after="0" w:line="186" w:lineRule="exact"/>
        <w:rPr>
          <w:rFonts w:ascii="Times New Roman" w:cs="Times New Roman" w:eastAsia="Times New Roman" w:hAnsi="Times New Roman"/>
          <w:sz w:val="22"/>
          <w:szCs w:val="22"/>
          <w:color w:val="auto"/>
        </w:rPr>
      </w:pPr>
    </w:p>
    <w:p>
      <w:pPr>
        <w:jc w:val="both"/>
        <w:ind w:firstLine="1952"/>
        <w:spacing w:after="0" w:line="247" w:lineRule="auto"/>
        <w:tabs>
          <w:tab w:leader="none" w:pos="2471"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Registrable Securities</w:t>
      </w:r>
      <w:r>
        <w:rPr>
          <w:rFonts w:ascii="Times New Roman" w:cs="Times New Roman" w:eastAsia="Times New Roman" w:hAnsi="Times New Roman"/>
          <w:sz w:val="22"/>
          <w:szCs w:val="22"/>
          <w:color w:val="auto"/>
        </w:rPr>
        <w:t xml:space="preserve">” means (i) any Common Stock acquired by the Investors and any Common Stock issuable or issued upon conversion of the Series A Preferred Stock, the Series A-2 Preferred Stock, the Series B Preferred Stock, the Series C Preferred Stock, the Series C-1 Preferred Stock, the Series D Preferred Stock, the Series E Preferred Stock, the Series F Preferred Stock and the Series G Preferred Stock; (ii) the 39,005,446 shares of Common Stock issued to the Key Holders;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such shares of Common Stock held by Key Holders shall not be deemed Registrable Securities for the purposes of Sections 1.2, 1.4, 1.12, 2.1, 2.2, 2.3, 2.4 and 4.7 and (iii) solely for the purposes of Section 1.13, any Common Stock issuable or issued upon conversion of the Series Seed Preferred Stock; and (iv) any Common Stock of the Company issued as (or issuable upon the conversion or exercise of any warrant, right or other security that is issued as) a dividend or other distribution with respect to, or in exchange for, or in replacement of, the shares referenced in (i) and (ii) above, excluding in all cases, however, any Registrable Securities sold by a person in a transaction in which his rights under this Section 1 are not assigned. In addition, the number of shares of Registrable Securities outstanding shall equal the aggregate of the number of shares of Common Stock outstanding that are, and the number of shares of Common Stock issuable pursuant to then exercisable or convertible securities that are, Registrable Securities.</w:t>
      </w:r>
    </w:p>
    <w:p>
      <w:pPr>
        <w:spacing w:after="0" w:line="192" w:lineRule="exact"/>
        <w:rPr>
          <w:rFonts w:ascii="Times New Roman" w:cs="Times New Roman" w:eastAsia="Times New Roman" w:hAnsi="Times New Roman"/>
          <w:sz w:val="22"/>
          <w:szCs w:val="22"/>
          <w:color w:val="auto"/>
        </w:rPr>
      </w:pPr>
    </w:p>
    <w:p>
      <w:pPr>
        <w:ind w:firstLine="1952"/>
        <w:spacing w:after="0" w:line="271" w:lineRule="auto"/>
        <w:tabs>
          <w:tab w:leader="none" w:pos="2486"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Restated Certificate</w:t>
      </w:r>
      <w:r>
        <w:rPr>
          <w:rFonts w:ascii="Times New Roman" w:cs="Times New Roman" w:eastAsia="Times New Roman" w:hAnsi="Times New Roman"/>
          <w:sz w:val="22"/>
          <w:szCs w:val="22"/>
          <w:color w:val="auto"/>
        </w:rPr>
        <w:t>” shall mean the Company’s Amended and Restated Certificate of Incorporation, as amended and/or restated from time to time.</w:t>
      </w:r>
    </w:p>
    <w:p>
      <w:pPr>
        <w:spacing w:after="0" w:line="157" w:lineRule="exact"/>
        <w:rPr>
          <w:rFonts w:ascii="Times New Roman" w:cs="Times New Roman" w:eastAsia="Times New Roman" w:hAnsi="Times New Roman"/>
          <w:sz w:val="22"/>
          <w:szCs w:val="22"/>
          <w:color w:val="auto"/>
        </w:rPr>
      </w:pPr>
    </w:p>
    <w:p>
      <w:pPr>
        <w:ind w:left="2480" w:hanging="528"/>
        <w:spacing w:after="0"/>
        <w:tabs>
          <w:tab w:leader="none" w:pos="2480"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Rule 144</w:t>
      </w:r>
      <w:r>
        <w:rPr>
          <w:rFonts w:ascii="Times New Roman" w:cs="Times New Roman" w:eastAsia="Times New Roman" w:hAnsi="Times New Roman"/>
          <w:sz w:val="22"/>
          <w:szCs w:val="22"/>
          <w:color w:val="auto"/>
        </w:rPr>
        <w:t>” shall mean Rule 144 under the Act.</w:t>
      </w:r>
    </w:p>
    <w:p>
      <w:pPr>
        <w:spacing w:after="0" w:line="233" w:lineRule="exact"/>
        <w:rPr>
          <w:rFonts w:ascii="Times New Roman" w:cs="Times New Roman" w:eastAsia="Times New Roman" w:hAnsi="Times New Roman"/>
          <w:sz w:val="22"/>
          <w:szCs w:val="22"/>
          <w:color w:val="auto"/>
        </w:rPr>
      </w:pPr>
    </w:p>
    <w:p>
      <w:pPr>
        <w:ind w:firstLine="1952"/>
        <w:spacing w:after="0" w:line="271" w:lineRule="auto"/>
        <w:tabs>
          <w:tab w:leader="none" w:pos="2444"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Rule 144(b)(1)(i)</w:t>
      </w:r>
      <w:r>
        <w:rPr>
          <w:rFonts w:ascii="Times New Roman" w:cs="Times New Roman" w:eastAsia="Times New Roman" w:hAnsi="Times New Roman"/>
          <w:sz w:val="22"/>
          <w:szCs w:val="22"/>
          <w:color w:val="auto"/>
        </w:rPr>
        <w:t>” shall mean subsection (b)(1)(i) of Rule 144 under the Act as it applies to persons who have held shares for more than one (1) year.</w:t>
      </w:r>
    </w:p>
    <w:p>
      <w:pPr>
        <w:spacing w:after="0" w:line="157"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Rule 405</w:t>
      </w:r>
      <w:r>
        <w:rPr>
          <w:rFonts w:ascii="Times New Roman" w:cs="Times New Roman" w:eastAsia="Times New Roman" w:hAnsi="Times New Roman"/>
          <w:sz w:val="22"/>
          <w:szCs w:val="22"/>
          <w:color w:val="auto"/>
        </w:rPr>
        <w:t>” shall mean Rule 405 under the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24" w:right="339" w:bottom="1440" w:gutter="0" w:footer="0" w:header="0"/>
        </w:sectPr>
      </w:pPr>
    </w:p>
    <w:bookmarkStart w:id="322" w:name="page323"/>
    <w:bookmarkEnd w:id="322"/>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960"/>
        <w:spacing w:after="0"/>
        <w:tabs>
          <w:tab w:leader="none" w:pos="2400" w:val="left"/>
        </w:tabs>
        <w:rPr>
          <w:sz w:val="20"/>
          <w:szCs w:val="20"/>
          <w:color w:val="auto"/>
        </w:rPr>
      </w:pPr>
      <w:r>
        <w:rPr>
          <w:rFonts w:ascii="Times New Roman" w:cs="Times New Roman" w:eastAsia="Times New Roman" w:hAnsi="Times New Roman"/>
          <w:sz w:val="22"/>
          <w:szCs w:val="22"/>
          <w:color w:val="auto"/>
        </w:rPr>
        <w:t>(p)</w:t>
      </w:r>
      <w:r>
        <w:rPr>
          <w:sz w:val="20"/>
          <w:szCs w:val="20"/>
          <w:color w:val="auto"/>
        </w:rPr>
        <w:tab/>
      </w:r>
      <w:r>
        <w:rPr>
          <w:rFonts w:ascii="Times New Roman" w:cs="Times New Roman" w:eastAsia="Times New Roman" w:hAnsi="Times New Roman"/>
          <w:sz w:val="21"/>
          <w:szCs w:val="21"/>
          <w:color w:val="auto"/>
        </w:rPr>
        <w:t>The term “</w:t>
      </w:r>
      <w:r>
        <w:rPr>
          <w:rFonts w:ascii="Times New Roman" w:cs="Times New Roman" w:eastAsia="Times New Roman" w:hAnsi="Times New Roman"/>
          <w:sz w:val="21"/>
          <w:szCs w:val="21"/>
          <w:u w:val="single" w:color="auto"/>
          <w:color w:val="auto"/>
        </w:rPr>
        <w:t>SEC</w:t>
      </w:r>
      <w:r>
        <w:rPr>
          <w:rFonts w:ascii="Times New Roman" w:cs="Times New Roman" w:eastAsia="Times New Roman" w:hAnsi="Times New Roman"/>
          <w:sz w:val="21"/>
          <w:szCs w:val="21"/>
          <w:color w:val="auto"/>
        </w:rPr>
        <w:t>” shall mean the Securities and Exchange Commission.</w:t>
      </w:r>
    </w:p>
    <w:p>
      <w:pPr>
        <w:spacing w:after="0" w:line="193"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Certain other capitalized terms used herein, but not defined herein, have the meanings given to such terms in the Certificate of Incorporation, unless the context otherwise requires.</w:t>
      </w:r>
    </w:p>
    <w:p>
      <w:pPr>
        <w:spacing w:after="0" w:line="177"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u w:val="single" w:color="auto"/>
          <w:color w:val="auto"/>
        </w:rPr>
        <w:t>Request for Registration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952"/>
        <w:spacing w:after="0" w:line="273" w:lineRule="auto"/>
        <w:tabs>
          <w:tab w:leader="none" w:pos="2414" w:val="left"/>
        </w:tabs>
        <w:numPr>
          <w:ilvl w:val="1"/>
          <w:numId w:val="1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conditions of this Section 1.2, if the Company shall receive at any time after the earlier of (i) five (5) years after the date of this Agreement, (ii) six (6) months after the effective date of the Initial Offering or (iii) three</w:t>
      </w:r>
    </w:p>
    <w:p>
      <w:pPr>
        <w:spacing w:after="0" w:line="1" w:lineRule="exact"/>
        <w:rPr>
          <w:rFonts w:ascii="Times New Roman" w:cs="Times New Roman" w:eastAsia="Times New Roman" w:hAnsi="Times New Roman"/>
          <w:sz w:val="21"/>
          <w:szCs w:val="21"/>
          <w:color w:val="auto"/>
        </w:rPr>
      </w:pPr>
    </w:p>
    <w:p>
      <w:pPr>
        <w:jc w:val="both"/>
        <w:ind w:firstLine="8"/>
        <w:spacing w:after="0" w:line="246" w:lineRule="auto"/>
        <w:tabs>
          <w:tab w:leader="none" w:pos="319"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months after the Direct Listing, a written request from the Holders of thirty percent (30%) of the Registrable Securities (for purposes of this Section 1.2, the “</w:t>
      </w:r>
      <w:r>
        <w:rPr>
          <w:rFonts w:ascii="Times New Roman" w:cs="Times New Roman" w:eastAsia="Times New Roman" w:hAnsi="Times New Roman"/>
          <w:sz w:val="22"/>
          <w:szCs w:val="22"/>
          <w:u w:val="single" w:color="auto"/>
          <w:color w:val="auto"/>
        </w:rPr>
        <w:t>Initiating Holders</w:t>
      </w:r>
      <w:r>
        <w:rPr>
          <w:rFonts w:ascii="Times New Roman" w:cs="Times New Roman" w:eastAsia="Times New Roman" w:hAnsi="Times New Roman"/>
          <w:sz w:val="22"/>
          <w:szCs w:val="22"/>
          <w:color w:val="auto"/>
        </w:rPr>
        <w:t>”) that the Company file a registration statement under the Act covering the registration of Registrable Securities with an anticipated aggregate offering price of at least $120,000,000, then the Company shall, within twenty (20) days of the receipt thereof, give written notice of such request to all Holders, and subject to the limitations of this Section 1.2, use its commercially reasonable efforts to effect, as soon as practicable, the registration under the Act of all Registrable Securities that the Holders request to be registered in a written request received by the Company within twenty (20) days of the mailing of the Company’s notice pursuant to this Section 1.2(a).</w:t>
      </w:r>
    </w:p>
    <w:p>
      <w:pPr>
        <w:spacing w:after="0" w:line="185" w:lineRule="exact"/>
        <w:rPr>
          <w:rFonts w:ascii="Times New Roman" w:cs="Times New Roman" w:eastAsia="Times New Roman" w:hAnsi="Times New Roman"/>
          <w:sz w:val="22"/>
          <w:szCs w:val="22"/>
          <w:color w:val="auto"/>
        </w:rPr>
      </w:pPr>
    </w:p>
    <w:p>
      <w:pPr>
        <w:jc w:val="both"/>
        <w:ind w:firstLine="1952"/>
        <w:spacing w:after="0" w:line="247" w:lineRule="auto"/>
        <w:tabs>
          <w:tab w:leader="none" w:pos="2505" w:val="left"/>
        </w:tabs>
        <w:numPr>
          <w:ilvl w:val="1"/>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Initiating Holders intend to distribute the Registrable Securities covered by their request by means of an underwriting, they shall so advise the Company as a part of their request made pursuant to this Section 1.2, and the Company shall include such information in the written notice referred to in Section 1.2(a). In such event the right of any Holder to include its Registrable Securities in such registration shall be conditioned upon such Holder’s participation in such underwriting and the inclusion of such Holder’s Registrable Securities in the underwriting (unless otherwise mutually agreed by a majority in interest of the Initiating Holders and such Holder) to the extent provided herein. All Holders proposing to distribute their securities through such underwriting shall enter into an underwriting agreement in customary form with the underwriter or underwriters selected for such underwriting by those Initiating Holders holding a majority of the Registrable Securities then held by all Initiating Holders (which underwriter or underwriters shall be reasonably acceptable to the Company). Notwithstanding any other provision of this Section 1.2, if the underwriter advises the Company that marketing factors require a limitation on the number of securities underwritten (including Registrable Securities), then the Company shall so advise all Holders of Registrable Securities that would otherwise be underwritten pursuant hereto, and the number of shares that may be included in the underwriting shall be allocated to the Holders of such Registrable Securities pro rata based on the number of Registrable Securities held by all such Holders (including the Initiating Holders). In no event shall any Registrable Securities be excluded from such underwriting unless all other securities are first excluded. Any Registrable Securities excluded or withdrawn from such underwriting shall be withdrawn from the registration.</w:t>
      </w:r>
    </w:p>
    <w:p>
      <w:pPr>
        <w:spacing w:after="0" w:line="194" w:lineRule="exact"/>
        <w:rPr>
          <w:rFonts w:ascii="Times New Roman" w:cs="Times New Roman" w:eastAsia="Times New Roman" w:hAnsi="Times New Roman"/>
          <w:sz w:val="22"/>
          <w:szCs w:val="22"/>
          <w:color w:val="auto"/>
        </w:rPr>
      </w:pPr>
    </w:p>
    <w:p>
      <w:pPr>
        <w:ind w:left="2440" w:hanging="488"/>
        <w:spacing w:after="0"/>
        <w:tabs>
          <w:tab w:leader="none" w:pos="2440" w:val="left"/>
        </w:tabs>
        <w:numPr>
          <w:ilvl w:val="1"/>
          <w:numId w:val="2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the Company shall not be required to effect a registration pursuant to</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this Section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24" w:right="339" w:bottom="1440" w:gutter="0" w:footer="0" w:header="0"/>
        </w:sectPr>
      </w:pPr>
    </w:p>
    <w:bookmarkStart w:id="323" w:name="page324"/>
    <w:bookmarkEnd w:id="323"/>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firstLine="2600"/>
        <w:spacing w:after="0" w:line="257" w:lineRule="auto"/>
        <w:tabs>
          <w:tab w:leader="none" w:pos="3087"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any particular jurisdiction in which the Company would be required to execute a general consent to service of process in effecting such registration, unless the Company is already subject to service in such jurisdiction and except as may be required under the Act; or</w:t>
      </w:r>
    </w:p>
    <w:p>
      <w:pPr>
        <w:spacing w:after="0" w:line="159" w:lineRule="exact"/>
        <w:rPr>
          <w:rFonts w:ascii="Times New Roman" w:cs="Times New Roman" w:eastAsia="Times New Roman" w:hAnsi="Times New Roman"/>
          <w:sz w:val="22"/>
          <w:szCs w:val="22"/>
          <w:color w:val="auto"/>
        </w:rPr>
      </w:pPr>
    </w:p>
    <w:p>
      <w:pPr>
        <w:ind w:firstLine="2600"/>
        <w:spacing w:after="0" w:line="236" w:lineRule="auto"/>
        <w:tabs>
          <w:tab w:leader="none" w:pos="3156"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Company has effected two (2) registrations pursuant to this Section 1.2, and such registrations have been declared or ordered effective; or</w:t>
      </w:r>
    </w:p>
    <w:p>
      <w:pPr>
        <w:spacing w:after="0" w:line="163" w:lineRule="exact"/>
        <w:rPr>
          <w:rFonts w:ascii="Times New Roman" w:cs="Times New Roman" w:eastAsia="Times New Roman" w:hAnsi="Times New Roman"/>
          <w:sz w:val="22"/>
          <w:szCs w:val="22"/>
          <w:color w:val="auto"/>
        </w:rPr>
      </w:pPr>
    </w:p>
    <w:p>
      <w:pPr>
        <w:jc w:val="both"/>
        <w:ind w:firstLine="2600"/>
        <w:spacing w:after="0" w:line="244" w:lineRule="auto"/>
        <w:tabs>
          <w:tab w:leader="none" w:pos="3217"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during the period starting with the date sixty (60) days prior to the Company’s good faith estimate of the date of the filing of and ending on a date one hundred eighty (180) days following the effective date of a Company-initiated registration subject to Section 1.3 below,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Company is actively employing in good faith all commercially reasonable efforts to cause such registration statement to become effective; or</w:t>
      </w:r>
    </w:p>
    <w:p>
      <w:pPr>
        <w:spacing w:after="0" w:line="172" w:lineRule="exact"/>
        <w:rPr>
          <w:rFonts w:ascii="Times New Roman" w:cs="Times New Roman" w:eastAsia="Times New Roman" w:hAnsi="Times New Roman"/>
          <w:sz w:val="22"/>
          <w:szCs w:val="22"/>
          <w:color w:val="auto"/>
        </w:rPr>
      </w:pPr>
    </w:p>
    <w:p>
      <w:pPr>
        <w:ind w:firstLine="2600"/>
        <w:spacing w:after="0" w:line="271" w:lineRule="auto"/>
        <w:tabs>
          <w:tab w:leader="none" w:pos="3120"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Initiating Holders propose to dispose of Registrable Securities that may be registered on Form S-3 pursuant to Section 1.4 hereof; or</w:t>
      </w:r>
    </w:p>
    <w:p>
      <w:pPr>
        <w:spacing w:after="0" w:line="144" w:lineRule="exact"/>
        <w:rPr>
          <w:rFonts w:ascii="Times New Roman" w:cs="Times New Roman" w:eastAsia="Times New Roman" w:hAnsi="Times New Roman"/>
          <w:sz w:val="22"/>
          <w:szCs w:val="22"/>
          <w:color w:val="auto"/>
        </w:rPr>
      </w:pPr>
    </w:p>
    <w:p>
      <w:pPr>
        <w:jc w:val="both"/>
        <w:ind w:firstLine="2600"/>
        <w:spacing w:after="0" w:line="260" w:lineRule="auto"/>
        <w:tabs>
          <w:tab w:leader="none" w:pos="3136" w:val="left"/>
        </w:tabs>
        <w:numPr>
          <w:ilvl w:val="0"/>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Company shall furnish to Holders requesting a registration statement pursuant to this Section 1.2 a certificate signed by the Company’s Chief Executive Officer or Chairman of the Board stating that in the good faith</w:t>
      </w:r>
    </w:p>
    <w:p>
      <w:pPr>
        <w:spacing w:after="0" w:line="241" w:lineRule="auto"/>
        <w:rPr>
          <w:sz w:val="20"/>
          <w:szCs w:val="20"/>
          <w:color w:val="auto"/>
        </w:rPr>
      </w:pPr>
      <w:r>
        <w:rPr>
          <w:rFonts w:ascii="Times New Roman" w:cs="Times New Roman" w:eastAsia="Times New Roman" w:hAnsi="Times New Roman"/>
          <w:sz w:val="21"/>
          <w:szCs w:val="21"/>
          <w:color w:val="auto"/>
        </w:rPr>
        <w:t>judgment of the Board, it would be seriously detrimental to the Company and its stockholders for such registration statement to be effected at such time, in which event the Company shall have the right to defer such filing for a period of not more than ninety</w:t>
      </w:r>
    </w:p>
    <w:p>
      <w:pPr>
        <w:spacing w:after="0" w:line="1" w:lineRule="exact"/>
        <w:rPr>
          <w:sz w:val="20"/>
          <w:szCs w:val="20"/>
          <w:color w:val="auto"/>
        </w:rPr>
      </w:pPr>
    </w:p>
    <w:p>
      <w:pPr>
        <w:jc w:val="both"/>
        <w:ind w:firstLine="8"/>
        <w:spacing w:after="0" w:line="238" w:lineRule="auto"/>
        <w:tabs>
          <w:tab w:leader="none" w:pos="432"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days after receipt of the request of the Initiating Holders,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right shall be exercised by the Company not more than once in any twelve (12) month period, and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the Company shall not register any securities for the account of itself or any other stockholder during such ninety (90) day period (other than a registration relating solely to the sale of securities of participants in a Company stock plan, a registration relating to a corporate reorganization or transaction under Rule 145 of the Act, a registration on any form that does not include substantially the same information as would be required to be included in a registration statement covering the sale of the Registrable Securities, or a registration in which the only Common Stock being registered is Common Stock issuable upon conversion of debt securities that are also being registered).</w:t>
      </w:r>
    </w:p>
    <w:p>
      <w:pPr>
        <w:spacing w:after="0" w:line="177"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1"/>
          <w:szCs w:val="21"/>
          <w:u w:val="single" w:color="auto"/>
          <w:color w:val="auto"/>
        </w:rPr>
        <w:t>Company Registration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2440" w:hanging="488"/>
        <w:spacing w:after="0"/>
        <w:tabs>
          <w:tab w:leader="none" w:pos="2440" w:val="left"/>
        </w:tabs>
        <w:numPr>
          <w:ilvl w:val="1"/>
          <w:numId w:val="2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(but without any obligation to do so) the Company proposes to register (including for this purpose</w:t>
      </w:r>
    </w:p>
    <w:p>
      <w:pPr>
        <w:spacing w:after="0" w:line="25" w:lineRule="exact"/>
        <w:rPr>
          <w:rFonts w:ascii="Times New Roman" w:cs="Times New Roman" w:eastAsia="Times New Roman" w:hAnsi="Times New Roman"/>
          <w:sz w:val="21"/>
          <w:szCs w:val="21"/>
          <w:color w:val="auto"/>
        </w:rPr>
      </w:pPr>
    </w:p>
    <w:p>
      <w:pPr>
        <w:jc w:val="both"/>
        <w:ind w:firstLine="8"/>
        <w:spacing w:after="0" w:line="236" w:lineRule="auto"/>
        <w:tabs>
          <w:tab w:leader="none" w:pos="291"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registration effected by the Company for stockholders other than the Holders and (ii) in a Direct Listing involving the registration of shares held by other Holders or by stockholders other than the Holders) any of its stock or other securities under the Act in connection with the public offering of such securities or, in the case of a Direct Listing, the registration of shares for sale on a national securities exchange (other than (i) a registration relating to a demand pursuant to Section 1.2 or (ii) a registration relating solely to the sale of securities of participants in a Company stock plan, a registration relating to a corporate reorganization or transaction under Rule 145 of the Act, a registration on any form that does not include substantially the same information as would be required to be included in a registration statement covering the sale of the Registrable Securities, or a registration in which the only Common Stock being registered is Common Stock issuable upon conversion of debt securities that are also being registered), the Company shall, at such time, promptly give each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24" w:right="339" w:bottom="1440" w:gutter="0" w:footer="0" w:header="0"/>
        </w:sectPr>
      </w:pPr>
    </w:p>
    <w:bookmarkStart w:id="324" w:name="page325"/>
    <w:bookmarkEnd w:id="324"/>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written notice of such registration. Upon the written request of each Holder given within twenty (20) days after mailing of such notice by the Company in accordance with Section 4.5, the Company shall, subject to the provisions of Section 1.3(c), use its commercially reasonable efforts to cause to be registered under the Act all of the Registrable Securities that each such Holder requests to be registered.</w:t>
      </w:r>
    </w:p>
    <w:p>
      <w:pPr>
        <w:spacing w:after="0" w:line="173" w:lineRule="exact"/>
        <w:rPr>
          <w:sz w:val="20"/>
          <w:szCs w:val="20"/>
          <w:color w:val="auto"/>
        </w:rPr>
      </w:pPr>
    </w:p>
    <w:p>
      <w:pPr>
        <w:jc w:val="both"/>
        <w:ind w:firstLine="1952"/>
        <w:spacing w:after="0" w:line="220" w:lineRule="auto"/>
        <w:tabs>
          <w:tab w:leader="none" w:pos="2506"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 to Terminate Registration</w:t>
      </w:r>
      <w:r>
        <w:rPr>
          <w:rFonts w:ascii="Times New Roman" w:cs="Times New Roman" w:eastAsia="Times New Roman" w:hAnsi="Times New Roman"/>
          <w:sz w:val="22"/>
          <w:szCs w:val="22"/>
          <w:color w:val="auto"/>
        </w:rPr>
        <w:t>. The Company shall have the right to terminate or withdraw any registration initiated by it under this Section 1.3 prior to the effectiveness of such registration whether or not any Holder has elected to include securities in such registration. The expenses of such withdrawn registration shall be borne by the Company in accordance with Section 1.7 hereof.</w:t>
      </w:r>
    </w:p>
    <w:p>
      <w:pPr>
        <w:spacing w:after="0" w:line="165" w:lineRule="exact"/>
        <w:rPr>
          <w:rFonts w:ascii="Times New Roman" w:cs="Times New Roman" w:eastAsia="Times New Roman" w:hAnsi="Times New Roman"/>
          <w:sz w:val="22"/>
          <w:szCs w:val="22"/>
          <w:color w:val="auto"/>
        </w:rPr>
      </w:pPr>
    </w:p>
    <w:p>
      <w:pPr>
        <w:jc w:val="both"/>
        <w:ind w:firstLine="1952"/>
        <w:spacing w:after="0" w:line="236" w:lineRule="auto"/>
        <w:tabs>
          <w:tab w:leader="none" w:pos="2440"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Underwriting Requirements</w:t>
      </w:r>
      <w:r>
        <w:rPr>
          <w:rFonts w:ascii="Times New Roman" w:cs="Times New Roman" w:eastAsia="Times New Roman" w:hAnsi="Times New Roman"/>
          <w:sz w:val="22"/>
          <w:szCs w:val="22"/>
          <w:color w:val="auto"/>
        </w:rPr>
        <w:t xml:space="preserve">. In connection with any offering involving an underwriting of shares of the Company’s capital stock, the Company shall not be required under this Section 1.3 to include any of the Holders’ securities in such underwriting unless they accept the terms of the underwriting as agreed upon between the Company and the underwriters selected by the Company (or by other persons entitled to select the underwriters) and enter into an underwriting agreement in customary form with such underwriters, and then only in such quantity as the underwriters determine in their sole discretion will not jeopardize the success of the offering by the Company. If the total amount of securities, including Registrable Securities, requested by stockholders to be included in such offering exceeds the amount of securities sold other than by the Company that the underwriters determine in their sole discretion is compatible with the success of the offering, then the Company shall be required to include in the offering only that number of such securities, including Registrable Securities, that the underwriters determine in their sole discretion will not jeopardize the success of the offering. In no event shall any Registrable Securities be excluded from such offering unless all other stockholders’ securities have been first excluded. In the event that the underwriters determine that less than all of the Registrable Securities requested to be registered can be included in such offering, then the Registrable Securities that are included in such offering shall be apportioned pro rata among the selling Holders based on the number of Registrable Securities held by all selling Holders or in such other proportions as shall mutually be agreed to by all such selling Holders;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no event shall (x) the amount of securities of the selling Holders included in the offering be reduced below twenty-five percent (25%) of the total amount of securities included in such offering, unless such offering is the Initial Offering, in which case the selling Holders may be excluded if the underwriters make the determination described above and no other stockholder’s securities are included in such offering or (y) any securities held by a Common Holder be included in such offering if any Registrable Securities held by any Holder (and that such Holder has requested to be registered) are excluded from such offering. For purposes of the preceding sentence concerning apportionment, for any selling stockholder that is a Holder of Registrable Securities and that is a venture capital or similar investment fund, partnership or corporation, the affiliated funds, partners, retired partners and stockholders of such Holder, or the estates and family members of any such partners and retired partners and any trusts for the benefit of any of the foregoing persons shall be deemed to be a single “selling Holder,” and any pro rata reduction with respect to such “selling Holder” shall be based upon the aggregate amount of Registrable Securities owned by all such related entities and individuals.</w:t>
      </w:r>
    </w:p>
    <w:p>
      <w:pPr>
        <w:spacing w:after="0" w:line="193" w:lineRule="exact"/>
        <w:rPr>
          <w:sz w:val="20"/>
          <w:szCs w:val="20"/>
          <w:color w:val="auto"/>
        </w:rPr>
      </w:pPr>
    </w:p>
    <w:p>
      <w:pPr>
        <w:ind w:right="20" w:firstLine="1296"/>
        <w:spacing w:after="0" w:line="271" w:lineRule="auto"/>
        <w:rPr>
          <w:sz w:val="20"/>
          <w:szCs w:val="20"/>
          <w:color w:val="auto"/>
        </w:rPr>
      </w:pPr>
      <w:r>
        <w:rPr>
          <w:rFonts w:ascii="Times New Roman" w:cs="Times New Roman" w:eastAsia="Times New Roman" w:hAnsi="Times New Roman"/>
          <w:sz w:val="22"/>
          <w:szCs w:val="22"/>
          <w:color w:val="auto"/>
        </w:rPr>
        <w:t xml:space="preserve">1.4 </w:t>
      </w:r>
      <w:r>
        <w:rPr>
          <w:rFonts w:ascii="Times New Roman" w:cs="Times New Roman" w:eastAsia="Times New Roman" w:hAnsi="Times New Roman"/>
          <w:sz w:val="22"/>
          <w:szCs w:val="22"/>
          <w:u w:val="single" w:color="auto"/>
          <w:color w:val="auto"/>
        </w:rPr>
        <w:t>Form S-3 Registration</w:t>
      </w:r>
      <w:r>
        <w:rPr>
          <w:rFonts w:ascii="Times New Roman" w:cs="Times New Roman" w:eastAsia="Times New Roman" w:hAnsi="Times New Roman"/>
          <w:sz w:val="22"/>
          <w:szCs w:val="22"/>
          <w:color w:val="auto"/>
        </w:rPr>
        <w:t>. In case the Company shall receive from the Holders of at least twenty percent (20%) of the outstanding Series A Preferred Stock, Series A-2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24" w:right="339" w:bottom="1440" w:gutter="0" w:footer="0" w:header="0"/>
        </w:sectPr>
      </w:pPr>
    </w:p>
    <w:bookmarkStart w:id="325" w:name="page326"/>
    <w:bookmarkEnd w:id="325"/>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Preferred Stock, Series B Preferred Stock, Series C Preferred Stock, Series C-1 Preferred Stock, Series D Preferred Stock, Series E Preferred Stock, Series F Preferred Stock and Series G Preferred Stock, voting together on an as-converted basis (or Common Stock issuable upon conversion of the Series A Preferred Stock, Series A-2 Preferred Stock, Series B Preferred Stock, Series C Preferred Stock, Series C-1 Preferred Stock, Series D Preferred Stock, Series E Preferred Stock, Series F Preferred Stock and Series G Preferred Stock or any combination thereof) (for purposes of this Section 1.4, the “</w:t>
      </w:r>
      <w:r>
        <w:rPr>
          <w:rFonts w:ascii="Times New Roman" w:cs="Times New Roman" w:eastAsia="Times New Roman" w:hAnsi="Times New Roman"/>
          <w:sz w:val="22"/>
          <w:szCs w:val="22"/>
          <w:u w:val="single" w:color="auto"/>
          <w:color w:val="auto"/>
        </w:rPr>
        <w:t>S-3 Initiating Holders</w:t>
      </w:r>
      <w:r>
        <w:rPr>
          <w:rFonts w:ascii="Times New Roman" w:cs="Times New Roman" w:eastAsia="Times New Roman" w:hAnsi="Times New Roman"/>
          <w:sz w:val="22"/>
          <w:szCs w:val="22"/>
          <w:color w:val="auto"/>
        </w:rPr>
        <w:t>”) a written request or requests that the Company effect a registration on Form S-3 and any related qualification or compliance with respect to all or a part of the Registrable Securities owned by such Holder or Holders, the Company shall:</w:t>
      </w:r>
    </w:p>
    <w:p>
      <w:pPr>
        <w:spacing w:after="0" w:line="208" w:lineRule="exact"/>
        <w:rPr>
          <w:sz w:val="20"/>
          <w:szCs w:val="20"/>
          <w:color w:val="auto"/>
        </w:rPr>
      </w:pPr>
    </w:p>
    <w:p>
      <w:pPr>
        <w:ind w:left="2420" w:hanging="468"/>
        <w:spacing w:after="0"/>
        <w:tabs>
          <w:tab w:leader="none" w:pos="2420" w:val="left"/>
        </w:tabs>
        <w:numPr>
          <w:ilvl w:val="0"/>
          <w:numId w:val="2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give written notice of the proposed registration, and any related qualification or compliance,</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to all other Holders; and</w:t>
      </w:r>
    </w:p>
    <w:p>
      <w:pPr>
        <w:spacing w:after="0" w:line="195" w:lineRule="exact"/>
        <w:rPr>
          <w:rFonts w:ascii="Times New Roman" w:cs="Times New Roman" w:eastAsia="Times New Roman" w:hAnsi="Times New Roman"/>
          <w:sz w:val="21"/>
          <w:szCs w:val="21"/>
          <w:color w:val="auto"/>
        </w:rPr>
      </w:pPr>
    </w:p>
    <w:p>
      <w:pPr>
        <w:jc w:val="both"/>
        <w:ind w:firstLine="1952"/>
        <w:spacing w:after="0" w:line="251" w:lineRule="auto"/>
        <w:tabs>
          <w:tab w:leader="none" w:pos="2423"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use its commercially reasonable efforts to effect, as soon as practicable, such registration and all such qualifications and compliances as may be so requested and as would permit or facilitate the sale and distribution of all or such portion of such Holders’ Registrable Securities as are specified in such request, together with all or such portion of the Registrable Securities of any other Holders joining in such request as are specified in a written request given within fifteen (15) days after receipt of such written notice from the 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Company shall not be obligated to effect any such registration, qualification or compliance, pursuant to this Section 1.4:</w:t>
      </w:r>
    </w:p>
    <w:p>
      <w:pPr>
        <w:spacing w:after="0" w:line="181" w:lineRule="exact"/>
        <w:rPr>
          <w:rFonts w:ascii="Times New Roman" w:cs="Times New Roman" w:eastAsia="Times New Roman" w:hAnsi="Times New Roman"/>
          <w:sz w:val="22"/>
          <w:szCs w:val="22"/>
          <w:color w:val="auto"/>
        </w:rPr>
      </w:pPr>
    </w:p>
    <w:p>
      <w:pPr>
        <w:ind w:left="3020" w:hanging="420"/>
        <w:spacing w:after="0"/>
        <w:tabs>
          <w:tab w:leader="none" w:pos="3020" w:val="left"/>
        </w:tabs>
        <w:numPr>
          <w:ilvl w:val="1"/>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Form S-3 is not available for such offering by the Holders;</w:t>
      </w:r>
    </w:p>
    <w:p>
      <w:pPr>
        <w:spacing w:after="0" w:line="219" w:lineRule="exact"/>
        <w:rPr>
          <w:rFonts w:ascii="Times New Roman" w:cs="Times New Roman" w:eastAsia="Times New Roman" w:hAnsi="Times New Roman"/>
          <w:sz w:val="22"/>
          <w:szCs w:val="22"/>
          <w:color w:val="auto"/>
        </w:rPr>
      </w:pPr>
    </w:p>
    <w:p>
      <w:pPr>
        <w:jc w:val="both"/>
        <w:ind w:firstLine="2600"/>
        <w:spacing w:after="0" w:line="263" w:lineRule="auto"/>
        <w:tabs>
          <w:tab w:leader="none" w:pos="3149" w:val="left"/>
        </w:tabs>
        <w:numPr>
          <w:ilvl w:val="1"/>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Holders, together with the holders of any other securities of the Company entitled to inclusion in such registration, propose to sell Registrable Securities and such other securities (if any) at an aggregate price to the public (net of any underwriters’ discounts or commissions) of less than $15,000,000;</w:t>
      </w:r>
    </w:p>
    <w:p>
      <w:pPr>
        <w:spacing w:after="0" w:line="167" w:lineRule="exact"/>
        <w:rPr>
          <w:rFonts w:ascii="Times New Roman" w:cs="Times New Roman" w:eastAsia="Times New Roman" w:hAnsi="Times New Roman"/>
          <w:sz w:val="22"/>
          <w:szCs w:val="22"/>
          <w:color w:val="auto"/>
        </w:rPr>
      </w:pPr>
    </w:p>
    <w:p>
      <w:pPr>
        <w:jc w:val="both"/>
        <w:ind w:firstLine="2600"/>
        <w:spacing w:after="0" w:line="248" w:lineRule="auto"/>
        <w:tabs>
          <w:tab w:leader="none" w:pos="3214" w:val="left"/>
        </w:tabs>
        <w:numPr>
          <w:ilvl w:val="1"/>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Company shall furnish to all Holders requesting a registration statement pursuant to this Section 1.4 a certificate signed by the Company’s Chief Executive Officer or Chairman of the Board stating that in the good faith judgment of the Board, it would be seriously detrimental to the Company and its stockholders for such registration statement to be effected at such time, in which event the Company shall have the right to defer such filing for a period of not more than ninety (90) days after receipt of the request of the S-3 Initiating Holders,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right shall be exercised by the Company not more than once in any twelve (12) month period, and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the Company shall not register any securities for the account of itself or any other stockholder during such ninety (90) day period (other than a registration relating solely to the sale of securities of participants in a Company stock plan, a registration relating to a corporate reorganization or transaction under Rule 145 of the Act, a registration on any form that does not include substantially the same information as would be required to be included in a registration statement covering the sale of the Registrable Securities, or a registration in which the only Common Stock being registered is Common Stock issuable upon conversion of debt securities that are also being registered);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24" w:right="339" w:bottom="1440" w:gutter="0" w:footer="0" w:header="0"/>
        </w:sectPr>
      </w:pPr>
    </w:p>
    <w:bookmarkStart w:id="326" w:name="page327"/>
    <w:bookmarkEnd w:id="326"/>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firstLine="2600"/>
        <w:spacing w:after="0" w:line="271" w:lineRule="auto"/>
        <w:tabs>
          <w:tab w:leader="none" w:pos="3148" w:val="left"/>
        </w:tabs>
        <w:numPr>
          <w:ilvl w:val="1"/>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 has, within the twelve (12) month period preceding the date of such request, already effected two (2) registrations on Form S-3 pursuant to this Section 1.4;</w:t>
      </w:r>
    </w:p>
    <w:p>
      <w:pPr>
        <w:spacing w:after="0" w:line="157" w:lineRule="exact"/>
        <w:rPr>
          <w:rFonts w:ascii="Times New Roman" w:cs="Times New Roman" w:eastAsia="Times New Roman" w:hAnsi="Times New Roman"/>
          <w:sz w:val="22"/>
          <w:szCs w:val="22"/>
          <w:color w:val="auto"/>
        </w:rPr>
      </w:pPr>
    </w:p>
    <w:p>
      <w:pPr>
        <w:jc w:val="both"/>
        <w:ind w:firstLine="2600"/>
        <w:spacing w:after="0" w:line="263" w:lineRule="auto"/>
        <w:tabs>
          <w:tab w:leader="none" w:pos="3213" w:val="left"/>
        </w:tabs>
        <w:numPr>
          <w:ilvl w:val="1"/>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any particular jurisdiction in which the Company would be required to qualify to do business or to execute a general consent to service of process in effecting such registration, qualification or compliance unless the Company is already subject to service of process in such jurisdiction and except as may be required under the Act;</w:t>
      </w:r>
    </w:p>
    <w:p>
      <w:pPr>
        <w:spacing w:after="0" w:line="153" w:lineRule="exact"/>
        <w:rPr>
          <w:rFonts w:ascii="Times New Roman" w:cs="Times New Roman" w:eastAsia="Times New Roman" w:hAnsi="Times New Roman"/>
          <w:sz w:val="22"/>
          <w:szCs w:val="22"/>
          <w:color w:val="auto"/>
        </w:rPr>
      </w:pPr>
    </w:p>
    <w:p>
      <w:pPr>
        <w:jc w:val="both"/>
        <w:ind w:firstLine="2600"/>
        <w:spacing w:after="0" w:line="243" w:lineRule="auto"/>
        <w:tabs>
          <w:tab w:leader="none" w:pos="3276" w:val="left"/>
        </w:tabs>
        <w:numPr>
          <w:ilvl w:val="1"/>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Company, within thirty (30) days of receipt of the request of such S-3 Initiating Holders, gives notice of its bona fide intention to effect the filing of a registration statement with the SEC within one hundred twenty (120) days of receipt of such request (other than a registration effected solely to qualify an employee benefit plan or to effect a business combination pursuant to Rule 145),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Company is actively employing in good faith all commercially reasonable efforts to cause such registration statement to become effective; or</w:t>
      </w:r>
    </w:p>
    <w:p>
      <w:pPr>
        <w:spacing w:after="0" w:line="177" w:lineRule="exact"/>
        <w:rPr>
          <w:rFonts w:ascii="Times New Roman" w:cs="Times New Roman" w:eastAsia="Times New Roman" w:hAnsi="Times New Roman"/>
          <w:sz w:val="22"/>
          <w:szCs w:val="22"/>
          <w:color w:val="auto"/>
        </w:rPr>
      </w:pPr>
    </w:p>
    <w:p>
      <w:pPr>
        <w:jc w:val="both"/>
        <w:ind w:firstLine="2600"/>
        <w:spacing w:after="0" w:line="244" w:lineRule="auto"/>
        <w:tabs>
          <w:tab w:leader="none" w:pos="3245" w:val="left"/>
        </w:tabs>
        <w:numPr>
          <w:ilvl w:val="1"/>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during the period starting with the date thirty (30) days prior to the Company’s good faith estimate of the date of the filing of and ending on a date ninety (90) days following the effective date of a Company-initiated registration subject to Section 1.3 above,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Company is actively employing in good faith all commercially reasonable efforts to cause such registration statement to become effective.</w:t>
      </w:r>
    </w:p>
    <w:p>
      <w:pPr>
        <w:spacing w:after="0" w:line="172" w:lineRule="exact"/>
        <w:rPr>
          <w:rFonts w:ascii="Times New Roman" w:cs="Times New Roman" w:eastAsia="Times New Roman" w:hAnsi="Times New Roman"/>
          <w:sz w:val="22"/>
          <w:szCs w:val="22"/>
          <w:color w:val="auto"/>
        </w:rPr>
      </w:pPr>
    </w:p>
    <w:p>
      <w:pPr>
        <w:jc w:val="both"/>
        <w:ind w:firstLine="1952"/>
        <w:spacing w:after="0" w:line="248" w:lineRule="auto"/>
        <w:tabs>
          <w:tab w:leader="none" w:pos="2414"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S-3 Initiating Holders intend to distribute the Registrable Securities covered by their request by means of an underwriting, they shall so advise the Company as a part of their request made pursuant to this Section 1.4 and the Company shall include such information in the written notice referred to in Section 1.4(a). The provisions of Section 1.2(b) shall be applicable to such request (with the substitution of Section 1.4 for references to Section 1.2).</w:t>
      </w:r>
    </w:p>
    <w:p>
      <w:pPr>
        <w:spacing w:after="0" w:line="169" w:lineRule="exact"/>
        <w:rPr>
          <w:rFonts w:ascii="Times New Roman" w:cs="Times New Roman" w:eastAsia="Times New Roman" w:hAnsi="Times New Roman"/>
          <w:sz w:val="22"/>
          <w:szCs w:val="22"/>
          <w:color w:val="auto"/>
        </w:rPr>
      </w:pPr>
    </w:p>
    <w:p>
      <w:pPr>
        <w:jc w:val="both"/>
        <w:ind w:firstLine="1952"/>
        <w:spacing w:after="0" w:line="244" w:lineRule="auto"/>
        <w:tabs>
          <w:tab w:leader="none" w:pos="2514"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foregoing, the Company shall file a registration statement covering the Registrable Securities and other securities so requested to be registered as soon as practicable after receipt of the request or requests of the S-3 Initiating Holders. Registrations effected pursuant to this Section 1.4 shall not be counted as requests for registration effected pursuant to Section 1.2.</w:t>
      </w:r>
    </w:p>
    <w:p>
      <w:pPr>
        <w:spacing w:after="0" w:line="186"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2"/>
          <w:szCs w:val="22"/>
          <w:color w:val="auto"/>
        </w:rPr>
        <w:t>1.5</w:t>
      </w:r>
      <w:r>
        <w:rPr>
          <w:sz w:val="20"/>
          <w:szCs w:val="20"/>
          <w:color w:val="auto"/>
        </w:rPr>
        <w:tab/>
      </w:r>
      <w:r>
        <w:rPr>
          <w:rFonts w:ascii="Times New Roman" w:cs="Times New Roman" w:eastAsia="Times New Roman" w:hAnsi="Times New Roman"/>
          <w:sz w:val="22"/>
          <w:szCs w:val="22"/>
          <w:u w:val="single" w:color="auto"/>
          <w:color w:val="auto"/>
        </w:rPr>
        <w:t>Obligations of the Company</w:t>
      </w:r>
      <w:r>
        <w:rPr>
          <w:rFonts w:ascii="Times New Roman" w:cs="Times New Roman" w:eastAsia="Times New Roman" w:hAnsi="Times New Roman"/>
          <w:sz w:val="22"/>
          <w:szCs w:val="22"/>
          <w:color w:val="auto"/>
        </w:rPr>
        <w:t>. Whenever required under this Section 1 to effect the registration of any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Registrable Securities, the Company shall, as expeditiously as reasonably possible:</w:t>
      </w:r>
    </w:p>
    <w:p>
      <w:pPr>
        <w:spacing w:after="0" w:line="182" w:lineRule="exact"/>
        <w:rPr>
          <w:sz w:val="20"/>
          <w:szCs w:val="20"/>
          <w:color w:val="auto"/>
        </w:rPr>
      </w:pPr>
    </w:p>
    <w:p>
      <w:pPr>
        <w:jc w:val="both"/>
        <w:ind w:firstLine="1952"/>
        <w:spacing w:after="0" w:line="243" w:lineRule="auto"/>
        <w:tabs>
          <w:tab w:leader="none" w:pos="2422"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and file with the SEC a registration statement with respect to such Registrable Securities and use its commercially reasonable efforts to cause such registration statement to become effective, and, upon the request of the Holders of a majority of the Registrable Securities registered thereunder, keep such registration statement effective for a period of up to one hundred twenty (120) days or, if earlier, until the distribution contemplated in the Registration Statement has been completed;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24" w:right="339" w:bottom="1440" w:gutter="0" w:footer="0" w:header="0"/>
        </w:sectPr>
      </w:pPr>
    </w:p>
    <w:bookmarkStart w:id="327" w:name="page328"/>
    <w:bookmarkEnd w:id="327"/>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1952"/>
        <w:spacing w:after="0" w:line="250" w:lineRule="auto"/>
        <w:tabs>
          <w:tab w:leader="none" w:pos="2457"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and file with the SEC such amendments and supplements to such registration statement and the prospectus used in connection with such registration statement as may be necessary to comply with the provisions of the Act with respect to the disposition of all securities covered by such registration statement;</w:t>
      </w:r>
    </w:p>
    <w:p>
      <w:pPr>
        <w:spacing w:after="0" w:line="167" w:lineRule="exact"/>
        <w:rPr>
          <w:rFonts w:ascii="Times New Roman" w:cs="Times New Roman" w:eastAsia="Times New Roman" w:hAnsi="Times New Roman"/>
          <w:sz w:val="22"/>
          <w:szCs w:val="22"/>
          <w:color w:val="auto"/>
        </w:rPr>
      </w:pPr>
    </w:p>
    <w:p>
      <w:pPr>
        <w:jc w:val="both"/>
        <w:ind w:firstLine="1952"/>
        <w:spacing w:after="0" w:line="250" w:lineRule="auto"/>
        <w:tabs>
          <w:tab w:leader="none" w:pos="2420"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furnish to the Holders such number of copies of a prospectus, including a preliminary prospectus and any Free Writing Prospectus, in conformity with the requirements of the Act, and such other documents as they may reasonably request in order to facilitate the disposition of Registrable Securities owned by them;</w:t>
      </w:r>
    </w:p>
    <w:p>
      <w:pPr>
        <w:spacing w:after="0" w:line="181" w:lineRule="exact"/>
        <w:rPr>
          <w:rFonts w:ascii="Times New Roman" w:cs="Times New Roman" w:eastAsia="Times New Roman" w:hAnsi="Times New Roman"/>
          <w:sz w:val="22"/>
          <w:szCs w:val="22"/>
          <w:color w:val="auto"/>
        </w:rPr>
      </w:pPr>
    </w:p>
    <w:p>
      <w:pPr>
        <w:jc w:val="both"/>
        <w:ind w:firstLine="1952"/>
        <w:spacing w:after="0" w:line="256" w:lineRule="auto"/>
        <w:tabs>
          <w:tab w:leader="none" w:pos="2609"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use its commercially reasonable efforts to register and qualify the securities covered by such registration statement under such other securities or Blue Sky laws of such jurisdictions as shall be reasonably requested by the Holders,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Company shall not be required in connection therewith or as a condition thereto to qualify to do business or to file a general consent to service of process in any such states or jurisdictions;</w:t>
      </w:r>
    </w:p>
    <w:p>
      <w:pPr>
        <w:spacing w:after="0" w:line="176" w:lineRule="exact"/>
        <w:rPr>
          <w:rFonts w:ascii="Times New Roman" w:cs="Times New Roman" w:eastAsia="Times New Roman" w:hAnsi="Times New Roman"/>
          <w:sz w:val="22"/>
          <w:szCs w:val="22"/>
          <w:color w:val="auto"/>
        </w:rPr>
      </w:pPr>
    </w:p>
    <w:p>
      <w:pPr>
        <w:ind w:right="20" w:firstLine="1952"/>
        <w:spacing w:after="0" w:line="271" w:lineRule="auto"/>
        <w:tabs>
          <w:tab w:leader="none" w:pos="2525"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underwritten public offering, enter into and perform its obligations under an underwriting agreement, in usual and customary form, with the managing underwriter of such offering;</w:t>
      </w:r>
    </w:p>
    <w:p>
      <w:pPr>
        <w:spacing w:after="0" w:line="157" w:lineRule="exact"/>
        <w:rPr>
          <w:rFonts w:ascii="Times New Roman" w:cs="Times New Roman" w:eastAsia="Times New Roman" w:hAnsi="Times New Roman"/>
          <w:sz w:val="22"/>
          <w:szCs w:val="22"/>
          <w:color w:val="auto"/>
        </w:rPr>
      </w:pPr>
    </w:p>
    <w:p>
      <w:pPr>
        <w:jc w:val="both"/>
        <w:ind w:firstLine="1952"/>
        <w:spacing w:after="0" w:line="249" w:lineRule="auto"/>
        <w:tabs>
          <w:tab w:leader="none" w:pos="2406"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notify each Holder of Registrable Securities covered by such registration statement at any time when a prospectus or Free Writing Prospectus (to the extent prepared by or on behalf of the Company) relating thereto is required to be delivered under the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 and, at the request of any such Holder, the Company will, as soon as reasonably practicable, file and furnish to all such Holders a supplement or amendment to such prospectus or Free Writing Prospectus (to the extent prepared by or on behalf of the Company) so that, as thereafter delivered to the purchasers of such Registrable Securities, such prospectus will not contain an untrue statement of a material fact or omit to state any fact necessary to make the statements therein not misleading in light of the circumstances under which they were made;</w:t>
      </w:r>
    </w:p>
    <w:p>
      <w:pPr>
        <w:spacing w:after="0" w:line="183" w:lineRule="exact"/>
        <w:rPr>
          <w:rFonts w:ascii="Times New Roman" w:cs="Times New Roman" w:eastAsia="Times New Roman" w:hAnsi="Times New Roman"/>
          <w:sz w:val="22"/>
          <w:szCs w:val="22"/>
          <w:color w:val="auto"/>
        </w:rPr>
      </w:pPr>
    </w:p>
    <w:p>
      <w:pPr>
        <w:jc w:val="both"/>
        <w:ind w:right="20" w:firstLine="1952"/>
        <w:spacing w:after="0" w:line="263" w:lineRule="auto"/>
        <w:tabs>
          <w:tab w:leader="none" w:pos="2479"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all such Registrable Securities registered pursuant to this Section 1 to be listed on a national exchange or trading system and on each securities exchange and trading system on which similar securities issued by the Company are then listed; and</w:t>
      </w:r>
    </w:p>
    <w:p>
      <w:pPr>
        <w:spacing w:after="0" w:line="167" w:lineRule="exact"/>
        <w:rPr>
          <w:rFonts w:ascii="Times New Roman" w:cs="Times New Roman" w:eastAsia="Times New Roman" w:hAnsi="Times New Roman"/>
          <w:sz w:val="22"/>
          <w:szCs w:val="22"/>
          <w:color w:val="auto"/>
        </w:rPr>
      </w:pPr>
    </w:p>
    <w:p>
      <w:pPr>
        <w:jc w:val="both"/>
        <w:ind w:firstLine="1952"/>
        <w:spacing w:after="0" w:line="257" w:lineRule="auto"/>
        <w:tabs>
          <w:tab w:leader="none" w:pos="2606"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a transfer agent and registrar for all Registrable Securities registered pursuant to this Agreement and a CUSIP number for all such Registrable Securities, in each case not later than the effective date of such registration.</w:t>
      </w:r>
    </w:p>
    <w:p>
      <w:pPr>
        <w:spacing w:after="0" w:line="173"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Notwithstanding the provisions of this Section 1, the Company shall be entitled to postpone or suspend, for a reasonable period of time, the filing, effectiveness or use of, or trading under, any registration statement if the Company shall determine that any such filing or the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24" w:right="339" w:bottom="1440" w:gutter="0" w:footer="0" w:header="0"/>
        </w:sectPr>
      </w:pPr>
    </w:p>
    <w:bookmarkStart w:id="328" w:name="page329"/>
    <w:bookmarkEnd w:id="328"/>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 any securities pursuant to such registration statement would in the good faith judgment of the Board:</w:t>
      </w:r>
    </w:p>
    <w:p>
      <w:pPr>
        <w:spacing w:after="0" w:line="220" w:lineRule="exact"/>
        <w:rPr>
          <w:sz w:val="20"/>
          <w:szCs w:val="20"/>
          <w:color w:val="auto"/>
        </w:rPr>
      </w:pPr>
    </w:p>
    <w:p>
      <w:pPr>
        <w:jc w:val="both"/>
        <w:ind w:firstLine="2600"/>
        <w:spacing w:after="0" w:line="263" w:lineRule="auto"/>
        <w:tabs>
          <w:tab w:leader="none" w:pos="3206"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materially impede, delay or interfere with any material pending or proposed financing, acquisition, corporate reorganization or other similar transaction involving the Company for which the Board has authorized negotiations;</w:t>
      </w:r>
    </w:p>
    <w:p>
      <w:pPr>
        <w:spacing w:after="0" w:line="167" w:lineRule="exact"/>
        <w:rPr>
          <w:rFonts w:ascii="Times New Roman" w:cs="Times New Roman" w:eastAsia="Times New Roman" w:hAnsi="Times New Roman"/>
          <w:sz w:val="22"/>
          <w:szCs w:val="22"/>
          <w:color w:val="auto"/>
        </w:rPr>
      </w:pPr>
    </w:p>
    <w:p>
      <w:pPr>
        <w:ind w:firstLine="2600"/>
        <w:spacing w:after="0" w:line="271" w:lineRule="auto"/>
        <w:tabs>
          <w:tab w:leader="none" w:pos="3126"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materially adversely impair the consummation of any pending or proposed material offering or sale of any class of securities by the Company; or</w:t>
      </w:r>
    </w:p>
    <w:p>
      <w:pPr>
        <w:spacing w:after="0" w:line="130" w:lineRule="exact"/>
        <w:rPr>
          <w:rFonts w:ascii="Times New Roman" w:cs="Times New Roman" w:eastAsia="Times New Roman" w:hAnsi="Times New Roman"/>
          <w:sz w:val="22"/>
          <w:szCs w:val="22"/>
          <w:color w:val="auto"/>
        </w:rPr>
      </w:pPr>
    </w:p>
    <w:p>
      <w:pPr>
        <w:jc w:val="both"/>
        <w:ind w:firstLine="2600"/>
        <w:spacing w:after="0" w:line="220" w:lineRule="auto"/>
        <w:tabs>
          <w:tab w:leader="none" w:pos="3151"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require disclosure of material nonpublic information that, if disclosed at such time, would be materially harmful to the interests of the Company and its stockholders;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during any such period all executive officers and directors of the Company are also prohibited from selling securities of the Company (or any security of any of the Company’s subsidiaries or affiliates).</w:t>
      </w:r>
    </w:p>
    <w:p>
      <w:pPr>
        <w:spacing w:after="0" w:line="16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In the event of the suspension of effectiveness of any registration statement pursuant to this Section 1.5, the applicable time period during which such registration statement is to remain effective shall be extended by that number of days equal to the number of days the effectiveness of such registration statement was suspended.</w:t>
      </w:r>
    </w:p>
    <w:p>
      <w:pPr>
        <w:spacing w:after="0" w:line="168"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 xml:space="preserve">1.6 </w:t>
      </w:r>
      <w:r>
        <w:rPr>
          <w:rFonts w:ascii="Times New Roman" w:cs="Times New Roman" w:eastAsia="Times New Roman" w:hAnsi="Times New Roman"/>
          <w:sz w:val="22"/>
          <w:szCs w:val="22"/>
          <w:u w:val="single" w:color="auto"/>
          <w:color w:val="auto"/>
        </w:rPr>
        <w:t>Information from Holder</w:t>
      </w:r>
      <w:r>
        <w:rPr>
          <w:rFonts w:ascii="Times New Roman" w:cs="Times New Roman" w:eastAsia="Times New Roman" w:hAnsi="Times New Roman"/>
          <w:sz w:val="22"/>
          <w:szCs w:val="22"/>
          <w:color w:val="auto"/>
        </w:rPr>
        <w:t>. It shall be a condition precedent to the obligations of the Company to take any action pursuant to this Section 1 with respect to the Registrable Securities of any selling Holder that such Holder shall furnish to the Company such information regarding itself, the Registrable Securities held by it, and the intended method of disposition of such securities as shall be reasonably required to effect the registration of such Holder’s Registrable Securities.</w:t>
      </w:r>
    </w:p>
    <w:p>
      <w:pPr>
        <w:spacing w:after="0" w:line="186" w:lineRule="exact"/>
        <w:rPr>
          <w:sz w:val="20"/>
          <w:szCs w:val="20"/>
          <w:color w:val="auto"/>
        </w:rPr>
      </w:pPr>
    </w:p>
    <w:p>
      <w:pPr>
        <w:jc w:val="both"/>
        <w:ind w:firstLine="1296"/>
        <w:spacing w:after="0" w:line="237" w:lineRule="auto"/>
        <w:rPr>
          <w:sz w:val="20"/>
          <w:szCs w:val="20"/>
          <w:color w:val="auto"/>
        </w:rPr>
      </w:pPr>
      <w:r>
        <w:rPr>
          <w:rFonts w:ascii="Times New Roman" w:cs="Times New Roman" w:eastAsia="Times New Roman" w:hAnsi="Times New Roman"/>
          <w:sz w:val="22"/>
          <w:szCs w:val="22"/>
          <w:color w:val="auto"/>
        </w:rPr>
        <w:t xml:space="preserve">1.7 </w:t>
      </w:r>
      <w:r>
        <w:rPr>
          <w:rFonts w:ascii="Times New Roman" w:cs="Times New Roman" w:eastAsia="Times New Roman" w:hAnsi="Times New Roman"/>
          <w:sz w:val="22"/>
          <w:szCs w:val="22"/>
          <w:u w:val="single" w:color="auto"/>
          <w:color w:val="auto"/>
        </w:rPr>
        <w:t>Expenses of Registration</w:t>
      </w:r>
      <w:r>
        <w:rPr>
          <w:rFonts w:ascii="Times New Roman" w:cs="Times New Roman" w:eastAsia="Times New Roman" w:hAnsi="Times New Roman"/>
          <w:sz w:val="22"/>
          <w:szCs w:val="22"/>
          <w:color w:val="auto"/>
        </w:rPr>
        <w:t xml:space="preserve">. All expenses other than underwriting discounts and commissions incurred in connection with registrations, filings or qualifications pursuant to Sections 1.2, 1.3 and 1.4, including, without limitation, all registration, filing and qualification fees, printers’ and accounting fees, fees and disbursements of counsel for the Company and the reasonable fees and disbursements of one counsel for the selling Holders not to exceed $50,000 shall be borne by the Company. Notwithstanding the foregoing, the Company shall not be required to pay for any expenses of any registration proceeding begun pursuant to Section 1.2 or Section 1.4 if the registration request is subsequently withdrawn at the request of the Holders of a majority of the Registrable Securities to be registered (in which case all participating Holders shall bear such expenses pro rata based upon the number of Registrable Securities that were to be included in the withdrawn registration), unless, in the case of a registration requested under Section 1.2, the Holders of a majority of the Registrable Securities agree to forfeit their right to one demand registration pursuant to Section 1.2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at the time of such withdrawal, the Holders have learned of a material adverse change in the condition, business or prospects of the Company from that known to the Holders at the time of their request and have withdrawn the request with reasonable promptness following disclosure by the Company of such material adverse change, then the Holders shall not be required to pay any of such expenses and shall retain their rights pursuant to Sections 1.2 and 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24" w:right="339" w:bottom="1440" w:gutter="0" w:footer="0" w:header="0"/>
        </w:sectPr>
      </w:pPr>
    </w:p>
    <w:bookmarkStart w:id="329" w:name="page330"/>
    <w:bookmarkEnd w:id="329"/>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1.8 </w:t>
      </w:r>
      <w:r>
        <w:rPr>
          <w:rFonts w:ascii="Times New Roman" w:cs="Times New Roman" w:eastAsia="Times New Roman" w:hAnsi="Times New Roman"/>
          <w:sz w:val="22"/>
          <w:szCs w:val="22"/>
          <w:u w:val="single" w:color="auto"/>
          <w:color w:val="auto"/>
        </w:rPr>
        <w:t>Delay of Registration</w:t>
      </w:r>
      <w:r>
        <w:rPr>
          <w:rFonts w:ascii="Times New Roman" w:cs="Times New Roman" w:eastAsia="Times New Roman" w:hAnsi="Times New Roman"/>
          <w:sz w:val="22"/>
          <w:szCs w:val="22"/>
          <w:color w:val="auto"/>
        </w:rPr>
        <w:t>. No Holder shall have any right to obtain or seek an injunction restraining or otherwise delaying any such registration as the result of any controversy that might arise with respect to the interpretation or implementation of this Section 1.</w:t>
      </w:r>
    </w:p>
    <w:p>
      <w:pPr>
        <w:spacing w:after="0" w:line="168" w:lineRule="exact"/>
        <w:rPr>
          <w:sz w:val="20"/>
          <w:szCs w:val="20"/>
          <w:color w:val="auto"/>
        </w:rPr>
      </w:pPr>
    </w:p>
    <w:p>
      <w:pPr>
        <w:ind w:left="1300"/>
        <w:spacing w:after="0"/>
        <w:tabs>
          <w:tab w:leader="none" w:pos="1840" w:val="left"/>
        </w:tabs>
        <w:rPr>
          <w:sz w:val="20"/>
          <w:szCs w:val="20"/>
          <w:color w:val="auto"/>
        </w:rPr>
      </w:pPr>
      <w:r>
        <w:rPr>
          <w:rFonts w:ascii="Times New Roman" w:cs="Times New Roman" w:eastAsia="Times New Roman" w:hAnsi="Times New Roman"/>
          <w:sz w:val="22"/>
          <w:szCs w:val="22"/>
          <w:color w:val="auto"/>
        </w:rPr>
        <w:t>1.9</w:t>
      </w:r>
      <w:r>
        <w:rPr>
          <w:sz w:val="20"/>
          <w:szCs w:val="20"/>
          <w:color w:val="auto"/>
        </w:rPr>
        <w:tab/>
      </w: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In the event any Registrable Securities are included in a registration statement under this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w:t>
      </w:r>
    </w:p>
    <w:p>
      <w:pPr>
        <w:spacing w:after="0" w:line="182" w:lineRule="exact"/>
        <w:rPr>
          <w:sz w:val="20"/>
          <w:szCs w:val="20"/>
          <w:color w:val="auto"/>
        </w:rPr>
      </w:pPr>
    </w:p>
    <w:p>
      <w:pPr>
        <w:jc w:val="both"/>
        <w:ind w:firstLine="1952"/>
        <w:spacing w:after="0" w:line="248" w:lineRule="auto"/>
        <w:tabs>
          <w:tab w:leader="none" w:pos="2504" w:val="left"/>
        </w:tabs>
        <w:numPr>
          <w:ilvl w:val="0"/>
          <w:numId w:val="2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permitted by law, the Company will indemnify and hold harmless each Holder, the partners, members, officers, directors and stockholders of each Holder, legal counsel and accountants for each Holder, any underwriter (as defined in the Act) for such Holder, or, in the case of a Direct Listing, any financial advisor retained by the Company to assist in effecting such Direct Listing, and each person, if any, who controls such Holder or underwriter or such financial advisor within the meaning of the Act or the 1934 Act, against any losses, claims, damages or liabilities (joint or several) to which they may become subject under the Act, the 1934 Act, any state securities laws or any rule or regulation promulgated under the Act, insofar as such losses, claims, damages, or liabilities (or actions in respect thereof) arise out of or are based upon any of the following statements, omissions or violations (collectively a “</w:t>
      </w:r>
      <w:r>
        <w:rPr>
          <w:rFonts w:ascii="Times New Roman" w:cs="Times New Roman" w:eastAsia="Times New Roman" w:hAnsi="Times New Roman"/>
          <w:sz w:val="21"/>
          <w:szCs w:val="21"/>
          <w:u w:val="single" w:color="auto"/>
          <w:color w:val="auto"/>
        </w:rPr>
        <w:t>Violation</w:t>
      </w:r>
      <w:r>
        <w:rPr>
          <w:rFonts w:ascii="Times New Roman" w:cs="Times New Roman" w:eastAsia="Times New Roman" w:hAnsi="Times New Roman"/>
          <w:sz w:val="21"/>
          <w:szCs w:val="21"/>
          <w:color w:val="auto"/>
        </w:rPr>
        <w:t xml:space="preserve">”): (i) any untrue statement or alleged untrue statement of a material fact contained in such registration statement, including any preliminary prospectus, final prospectus, or Free Writing Prospectus contained therein or any amendments or supplements thereto, any issuer information (as defined in Rule 433 of the Act) filed or required to be filed pursuant to Rule 433(d) under the Act or any other document incident to such registration prepared by or on behalf of the Company or used or referred to by the Company, (ii) the omission or alleged omission to state in such registration statement a material fact required to be stated therein, or necessary to make the statements therein not misleading or (iii) any violation or alleged violation by the Company of the Act, the 1934 Act, any state securities laws or any rule or regulation promulgated under the Act, the 1934 Act or any state securities laws, and the Company will reimburse each such Holder, underwriter, financial advisor, controlling person or other aforementioned person for any legal or other expenses reasonably incurred by them in connection with investigating or defending any such loss, claim, damage, liability or action as such expenses are incurred;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indemnity agreement contained in this subsection l.9(a) shall not apply to amounts paid in settlement of any such loss, claim, damage, liability or action if such settlement is effected without the consent of the Company (which consent shall not be unreasonably withheld), nor shall the Company be liable in any such case for any such loss, claim, damage, liability or action to the extent that it arises out of or is based upon a Violation that occurs in reliance upon and in conformity with written information furnished expressly for use in connection with such registration by any such Holder, underwriter, financial advisor, controlling person or other aforementioned person.</w:t>
      </w:r>
    </w:p>
    <w:p>
      <w:pPr>
        <w:spacing w:after="0" w:line="187" w:lineRule="exact"/>
        <w:rPr>
          <w:rFonts w:ascii="Times New Roman" w:cs="Times New Roman" w:eastAsia="Times New Roman" w:hAnsi="Times New Roman"/>
          <w:sz w:val="21"/>
          <w:szCs w:val="21"/>
          <w:color w:val="auto"/>
        </w:rPr>
      </w:pPr>
    </w:p>
    <w:p>
      <w:pPr>
        <w:jc w:val="both"/>
        <w:ind w:firstLine="1952"/>
        <w:spacing w:after="0" w:line="241" w:lineRule="auto"/>
        <w:tabs>
          <w:tab w:leader="none" w:pos="2413"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permitted by law, each selling Holder, severally and not jointly, will indemnify and hold harmless the Company, each of its directors, each of its officers who has signed the registration statement, each person, if any, who controls the Company within the meaning of the Act, legal counsel and accountants for the Company, any underwriter, financial advisor, any other Holder selling securities in such registration statement and any controlling person of any such underwriter, financial advisor, or other Holder, against any losses, claims, damages or liabilities (joint or several) to which any of the foregoing persons may become subject, under the Act, the 1934 Act, any state securities laws or any rule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24" w:right="339" w:bottom="1440" w:gutter="0" w:footer="0" w:header="0"/>
        </w:sectPr>
      </w:pPr>
    </w:p>
    <w:bookmarkStart w:id="330" w:name="page331"/>
    <w:bookmarkEnd w:id="330"/>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regulation promulgated under the Act, the 1934 Act or any state securities laws, insofar as such losses, claims, damages or liabilities (or actions in respect thereto) arise out of or are based upon any Violation, in each case to the extent (and only to the extent) that such Violation occurs in reliance upon and in conformity with written information furnished by such Holder expressly for use in connection with such registration; and each such Holder will reimburse any person intended to be indemnified pursuant to this subsection l.9(b) for any legal or other expenses reasonably incurred by such person in connection with investigating or defending any such loss, claim, damage, liability or action as such expenses are incurred;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indemnity agreement contained in this subsection l.9(b) shall not apply to amounts paid in settlement of any such loss, claim, damage, liability or action if such settlement is effected without the consent of the Holder (which consent shall not be unreasonably withheld),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no event shall any indemnity under this subsection l.9(b) exceed the net proceeds from the offering received by such Holder.</w:t>
      </w:r>
    </w:p>
    <w:p>
      <w:pPr>
        <w:spacing w:after="0" w:line="181" w:lineRule="exact"/>
        <w:rPr>
          <w:sz w:val="20"/>
          <w:szCs w:val="20"/>
          <w:color w:val="auto"/>
        </w:rPr>
      </w:pPr>
    </w:p>
    <w:p>
      <w:pPr>
        <w:jc w:val="both"/>
        <w:ind w:firstLine="1952"/>
        <w:spacing w:after="0" w:line="237" w:lineRule="auto"/>
        <w:tabs>
          <w:tab w:leader="none" w:pos="2417"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Promptly after receipt by an indemnified party under this Section 1.9 of notice of the commencement of any action (including any governmental action) for which a party may be entitled to indemnification, such indemnified party will, if a claim in respect thereof is to be made against any indemnifying party under this Section 1.9, deliver to the indemnifying party a written notice of the commencement thereof and the indemnifying party shall have the right to participate in and, to the extent the indemnifying party so desires, jointly with any other indemnifying party similarly noticed, to assume the defense thereof with counsel mutually satisfactory to the parties;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 indemnified party (together with all other indemnified parties that may be represented without conflict by one counsel) shall have the right to retain one (1)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proceeding. The failure to deliver written notice to the indemnifying party within a reasonable time of the commencement of any such action, if prejudicial to its ability to defend such action, shall relieve such indemnifying party of any liability to the indemnified party under this Section 1.9 to the extent of such prejudice, but the omission to so deliver written notice to the indemnifying party will not relieve it of any liability that it may have to any indemnified party otherwise than under this Section 1.9.</w:t>
      </w:r>
    </w:p>
    <w:p>
      <w:pPr>
        <w:spacing w:after="0" w:line="188" w:lineRule="exact"/>
        <w:rPr>
          <w:rFonts w:ascii="Times New Roman" w:cs="Times New Roman" w:eastAsia="Times New Roman" w:hAnsi="Times New Roman"/>
          <w:sz w:val="22"/>
          <w:szCs w:val="22"/>
          <w:color w:val="auto"/>
        </w:rPr>
      </w:pPr>
    </w:p>
    <w:p>
      <w:pPr>
        <w:jc w:val="both"/>
        <w:ind w:firstLine="1952"/>
        <w:spacing w:after="0" w:line="239" w:lineRule="auto"/>
        <w:tabs>
          <w:tab w:leader="none" w:pos="2450"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indemnification provided for in this Section 1.9 is held by a court of competent jurisdiction to be unavailable to an indemnified party with respect to any loss, liability, claim, damage or expense referred to herein, then the indemnifying party, in lieu of indemnifying such indemnified party hereunder, shall contribute to the amount paid or payable by such indemnified party as a result of such loss, liability, claim, damage or expense in such proportion as is appropriate to reflect the relative fault of the indemnifying party on the one hand and the indemnified party on the other hand in connection with the statements or omissions that resulted in such loss, liability, claim, damage or expense, as well as any other relevant equitable considerations;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 no contribution by any Holder, when combined with any amounts paid by such Holder pursuant to Section 1.9(b), shall exceed the net proceeds from the offering received by such Holder and (ii) no person guilty of fraudulent misrepresentation (within the meaning of Section 11(f) of the Act) will be entitled to contribution from any person who was not guilty of such fraudulent misrepresentation; and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in no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24" w:right="339" w:bottom="1440" w:gutter="0" w:footer="0" w:header="0"/>
        </w:sectPr>
      </w:pPr>
    </w:p>
    <w:bookmarkStart w:id="331" w:name="page332"/>
    <w:bookmarkEnd w:id="331"/>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shall a Holder’s liability pursuant to this Section 1.9(d), when combined with the amounts paid or payable by such Holder pursuant to Section 1.9(b), exceed the proceeds from the offering received by such Holder (net of any expenses paid by such Holder). The relative fault of the indemnifying party and the indemnified party shall be determined by reference to, among other things, whether the untrue or alleged untrue statement of a material fact or the omission or alleged omission to state a material fact relates to information supplied by the indemnifying party or by the indemnified party and the parties’ relative intent, knowledge, access to information and opportunity to correct or prevent such statement or omission.</w:t>
      </w:r>
    </w:p>
    <w:p>
      <w:pPr>
        <w:spacing w:after="0" w:line="177" w:lineRule="exact"/>
        <w:rPr>
          <w:sz w:val="20"/>
          <w:szCs w:val="20"/>
          <w:color w:val="auto"/>
        </w:rPr>
      </w:pPr>
    </w:p>
    <w:p>
      <w:pPr>
        <w:jc w:val="both"/>
        <w:ind w:firstLine="1952"/>
        <w:spacing w:after="0" w:line="250" w:lineRule="auto"/>
        <w:tabs>
          <w:tab w:leader="none" w:pos="2444"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194" w:lineRule="exact"/>
        <w:rPr>
          <w:rFonts w:ascii="Times New Roman" w:cs="Times New Roman" w:eastAsia="Times New Roman" w:hAnsi="Times New Roman"/>
          <w:sz w:val="22"/>
          <w:szCs w:val="22"/>
          <w:color w:val="auto"/>
        </w:rPr>
      </w:pPr>
    </w:p>
    <w:p>
      <w:pPr>
        <w:ind w:right="20" w:firstLine="1952"/>
        <w:spacing w:after="0" w:line="271" w:lineRule="auto"/>
        <w:tabs>
          <w:tab w:leader="none" w:pos="2432"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 of the Company and Holders under this Section 1.9 shall survive the completion of any offering of Registrable Securities in a registration statement under this Section 1 and otherwise.</w:t>
      </w:r>
    </w:p>
    <w:p>
      <w:pPr>
        <w:spacing w:after="0" w:line="158"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1.10 </w:t>
      </w:r>
      <w:r>
        <w:rPr>
          <w:rFonts w:ascii="Times New Roman" w:cs="Times New Roman" w:eastAsia="Times New Roman" w:hAnsi="Times New Roman"/>
          <w:sz w:val="22"/>
          <w:szCs w:val="22"/>
          <w:u w:val="single" w:color="auto"/>
          <w:color w:val="auto"/>
        </w:rPr>
        <w:t>Reports Under the 1934 Act</w:t>
      </w:r>
      <w:r>
        <w:rPr>
          <w:rFonts w:ascii="Times New Roman" w:cs="Times New Roman" w:eastAsia="Times New Roman" w:hAnsi="Times New Roman"/>
          <w:sz w:val="22"/>
          <w:szCs w:val="22"/>
          <w:color w:val="auto"/>
        </w:rPr>
        <w:t>. With a view to making available to the Holders the benefits of Rule 144 and any other rule or regulation of the SEC that may at any time permit a Holder to sell securities of the Company to the public without registration or pursuant to a registration on Form S-3, the Company agrees to:</w:t>
      </w:r>
    </w:p>
    <w:p>
      <w:pPr>
        <w:spacing w:after="0" w:line="173" w:lineRule="exact"/>
        <w:rPr>
          <w:sz w:val="20"/>
          <w:szCs w:val="20"/>
          <w:color w:val="auto"/>
        </w:rPr>
      </w:pPr>
    </w:p>
    <w:p>
      <w:pPr>
        <w:ind w:firstLine="1952"/>
        <w:spacing w:after="0" w:line="284" w:lineRule="auto"/>
        <w:tabs>
          <w:tab w:leader="none" w:pos="2440" w:val="left"/>
        </w:tabs>
        <w:numPr>
          <w:ilvl w:val="1"/>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and keep public information available, as those terms are understood and defined in Rule 144, at all times after the effective date of the Initial Offering;</w:t>
      </w:r>
    </w:p>
    <w:p>
      <w:pPr>
        <w:spacing w:after="0" w:line="143" w:lineRule="exact"/>
        <w:rPr>
          <w:rFonts w:ascii="Times New Roman" w:cs="Times New Roman" w:eastAsia="Times New Roman" w:hAnsi="Times New Roman"/>
          <w:sz w:val="22"/>
          <w:szCs w:val="22"/>
          <w:color w:val="auto"/>
        </w:rPr>
      </w:pPr>
    </w:p>
    <w:p>
      <w:pPr>
        <w:ind w:firstLine="1952"/>
        <w:spacing w:after="0" w:line="271" w:lineRule="auto"/>
        <w:tabs>
          <w:tab w:leader="none" w:pos="2430" w:val="left"/>
        </w:tabs>
        <w:numPr>
          <w:ilvl w:val="1"/>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file with the SEC in a timely manner all reports and other documents required of the Company under the Act and the 1934 Act; and</w:t>
      </w:r>
    </w:p>
    <w:p>
      <w:pPr>
        <w:spacing w:after="0" w:line="157" w:lineRule="exact"/>
        <w:rPr>
          <w:rFonts w:ascii="Times New Roman" w:cs="Times New Roman" w:eastAsia="Times New Roman" w:hAnsi="Times New Roman"/>
          <w:sz w:val="22"/>
          <w:szCs w:val="22"/>
          <w:color w:val="auto"/>
        </w:rPr>
      </w:pPr>
    </w:p>
    <w:p>
      <w:pPr>
        <w:ind w:left="2440" w:hanging="488"/>
        <w:spacing w:after="0"/>
        <w:tabs>
          <w:tab w:leader="none" w:pos="2440" w:val="left"/>
        </w:tabs>
        <w:numPr>
          <w:ilvl w:val="1"/>
          <w:numId w:val="2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furnish to any Holder, so long as the Holder owns any Registrable Securities, forthwith upon request</w:t>
      </w:r>
    </w:p>
    <w:p>
      <w:pPr>
        <w:spacing w:after="0" w:line="39" w:lineRule="exact"/>
        <w:rPr>
          <w:rFonts w:ascii="Times New Roman" w:cs="Times New Roman" w:eastAsia="Times New Roman" w:hAnsi="Times New Roman"/>
          <w:sz w:val="21"/>
          <w:szCs w:val="21"/>
          <w:color w:val="auto"/>
        </w:rPr>
      </w:pPr>
    </w:p>
    <w:p>
      <w:pPr>
        <w:jc w:val="both"/>
        <w:ind w:firstLine="8"/>
        <w:spacing w:after="0" w:line="248" w:lineRule="auto"/>
        <w:tabs>
          <w:tab w:leader="none" w:pos="263"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written statement by the Company that it has complied with the reporting requirements of Rule 144 (at any time after ninety (90) days after the effective date of the first registration statement filed by the Company), the Act and the 1934 Act (at any time after it has become subject to such reporting requirements), or that it qualifies as a registrant whose securities may be resold pursuant to Form S-3 (at any time after it so qualifies), (ii) a copy of the most recent annual or quarterly report of the Company and such other reports and documents so filed by the Company and (iii) such other information as may be reasonably requested to avail any Holder of any rule or regulation of the SEC that permits the selling of any such securities without registration or pursuant to such form.</w:t>
      </w:r>
    </w:p>
    <w:p>
      <w:pPr>
        <w:spacing w:after="0" w:line="185"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u w:val="single" w:color="auto"/>
          <w:color w:val="auto"/>
        </w:rPr>
        <w:t>Assignment of Registration Rights</w:t>
      </w:r>
      <w:r>
        <w:rPr>
          <w:rFonts w:ascii="Times New Roman" w:cs="Times New Roman" w:eastAsia="Times New Roman" w:hAnsi="Times New Roman"/>
          <w:sz w:val="22"/>
          <w:szCs w:val="22"/>
          <w:color w:val="auto"/>
        </w:rPr>
        <w:t>. The rights to cause the Company to register Registrable Securities pursuant to this Section 1 may be assigned (but only with all related obligations) by a Holder to a transferee or assignee of such securities that (a) is an Affiliate, subsidiary, parent, partner, limited partner, retired partner or stockholder of a Holder, (b) is a Holder’s family member or trust for the benefit of an individual Holder, or (c) after such assignment or transfer, holds at least 1,000,000 shares of Registrable Securities (appropriately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24" w:right="339" w:bottom="1440" w:gutter="0" w:footer="0" w:header="0"/>
        </w:sectPr>
      </w:pPr>
    </w:p>
    <w:bookmarkStart w:id="332" w:name="page333"/>
    <w:bookmarkEnd w:id="332"/>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adjusted for any stock split, dividend, combination or other recapitalization),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(i) the Company is, within a reasonable time after such transfer, furnished with written notice of the name and address of such transferee or assignee and the securities with respect to which such registration rights are being assigned; (ii) such transferee or assignee agrees in writing to be bound by and subject to the terms and conditions of this Agreement, including, without limitation, the provisions of Section 1.13 below; and (iii) such assignment shall be effective only if immediately following such transfer the further disposition of such securities by the transferee or assignee is restricted under the Act.</w:t>
      </w:r>
    </w:p>
    <w:p>
      <w:pPr>
        <w:spacing w:after="0" w:line="181"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1.12 </w:t>
      </w:r>
      <w:r>
        <w:rPr>
          <w:rFonts w:ascii="Times New Roman" w:cs="Times New Roman" w:eastAsia="Times New Roman" w:hAnsi="Times New Roman"/>
          <w:sz w:val="22"/>
          <w:szCs w:val="22"/>
          <w:u w:val="single" w:color="auto"/>
          <w:color w:val="auto"/>
        </w:rPr>
        <w:t>Limitations on Subsequent Registration Rights</w:t>
      </w:r>
      <w:r>
        <w:rPr>
          <w:rFonts w:ascii="Times New Roman" w:cs="Times New Roman" w:eastAsia="Times New Roman" w:hAnsi="Times New Roman"/>
          <w:sz w:val="22"/>
          <w:szCs w:val="22"/>
          <w:color w:val="auto"/>
        </w:rPr>
        <w:t>. From and after the date of this Agreement, the Company shall not, without the prior written consent of the Holders holding a majority of the Registrable Securities then held by all Holders, enter into any agreement with any holder or prospective holder of any securities of the Company that would allow such holder or prospective holder (a) to include any of such securities in any registration filed under Section 1.2, Section 1.3 or Section 1.4 hereof, unless under the terms of such agreement, such holder or prospective holder may include such securities in any such registration only to the extent that the inclusion of such securities will not reduce the amount of the Registrable Securities of the Holders that are included or (b) to demand registration of their securities.</w:t>
      </w:r>
    </w:p>
    <w:p>
      <w:pPr>
        <w:spacing w:after="0" w:line="167"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2"/>
          <w:szCs w:val="22"/>
          <w:color w:val="auto"/>
        </w:rPr>
        <w:t>1.13</w:t>
      </w:r>
      <w:r>
        <w:rPr>
          <w:sz w:val="20"/>
          <w:szCs w:val="20"/>
          <w:color w:val="auto"/>
        </w:rPr>
        <w:tab/>
      </w:r>
      <w:r>
        <w:rPr>
          <w:rFonts w:ascii="Times New Roman" w:cs="Times New Roman" w:eastAsia="Times New Roman" w:hAnsi="Times New Roman"/>
          <w:sz w:val="21"/>
          <w:szCs w:val="21"/>
          <w:u w:val="single" w:color="auto"/>
          <w:color w:val="auto"/>
        </w:rPr>
        <w:t>“Market Stand-Off” Agreement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952"/>
        <w:spacing w:after="0" w:line="237" w:lineRule="auto"/>
        <w:tabs>
          <w:tab w:leader="none" w:pos="2573"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Holder hereby agrees that it will not, without the prior written consent of the managing underwriter, during the period commencing on the date of the final prospectus relating to the Company’s Initial Offering and ending on the date specified by the Company and the managing underwriter (such period not to exceed one hundred eighty (l80) days)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for Common Stock held immediately prior to the effectiveness of the Registration Statement for such offering, or (ii) enter into any swap or other arrangement that transfers to another, in whole or in part, any of the economic consequences of ownership of the Common Stock, whether any such transaction described in clause (i) or (ii) above is to be settled by delivery of Common Stock or other securities, in cash or otherwise. The foregoing provisions of this Section 1.13 shall apply only to the Company’s Initial Offering (and shall only be applicable to the Initial Offering if the Company has not already completed a Direct Listing), shall not apply to the sale of any shares to an underwriter pursuant to an underwriting agreement, and shall only be applicable to the Holders if all officers, directors and greater than one percent (1%) stockholders of the Company enter into similar agreements. The underwriters in connection with the Company’s Initial Offering are intended third-party beneficiaries of this Section 1.13 and shall have the right, power and authority to enforce the provisions hereof as though they were a party hereto. Each Holder further agrees to execute such agreements as may be reasonably requested by the underwriters in the Company’s Initial Offering that are consistent with this Section 1.13 or that are necessary to give further effect thereto. Any discretionary waiver or termination of the restrictions of any or all of such agreements by the Company or the underwriters shall apply to all Holders subject to such agreements pro rata based on the number of shares subject to such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24" w:right="339" w:bottom="1440" w:gutter="0" w:footer="0" w:header="0"/>
        </w:sectPr>
      </w:pPr>
    </w:p>
    <w:bookmarkStart w:id="333" w:name="page334"/>
    <w:bookmarkEnd w:id="333"/>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In order to enforce the foregoing covenant, the Company may impose stop-transfer instructions with respect to the Registrable Securities of each Holder (and the shares or securities of every other person subject to the foregoing restriction) until the end of such period.</w:t>
      </w:r>
    </w:p>
    <w:p>
      <w:pPr>
        <w:spacing w:after="0" w:line="168" w:lineRule="exact"/>
        <w:rPr>
          <w:sz w:val="20"/>
          <w:szCs w:val="20"/>
          <w:color w:val="auto"/>
        </w:rPr>
      </w:pPr>
    </w:p>
    <w:p>
      <w:pPr>
        <w:jc w:val="both"/>
        <w:ind w:firstLine="1952"/>
        <w:spacing w:after="0" w:line="250" w:lineRule="auto"/>
        <w:tabs>
          <w:tab w:leader="none" w:pos="2474"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Holder agrees that a legend reading substantially as follows shall be placed on all certificates representing all Registrable Securities of each Holder (and the shares or securities of every other person subject to the restriction contained in this Section 1.13):</w:t>
      </w:r>
    </w:p>
    <w:p>
      <w:pPr>
        <w:spacing w:after="0" w:line="168" w:lineRule="exact"/>
        <w:rPr>
          <w:sz w:val="20"/>
          <w:szCs w:val="20"/>
          <w:color w:val="auto"/>
        </w:rPr>
      </w:pPr>
    </w:p>
    <w:p>
      <w:pPr>
        <w:jc w:val="both"/>
        <w:ind w:left="660" w:right="660"/>
        <w:spacing w:after="0" w:line="241" w:lineRule="auto"/>
        <w:rPr>
          <w:sz w:val="20"/>
          <w:szCs w:val="20"/>
          <w:color w:val="auto"/>
        </w:rPr>
      </w:pPr>
      <w:r>
        <w:rPr>
          <w:rFonts w:ascii="Times New Roman" w:cs="Times New Roman" w:eastAsia="Times New Roman" w:hAnsi="Times New Roman"/>
          <w:sz w:val="22"/>
          <w:szCs w:val="22"/>
          <w:color w:val="auto"/>
        </w:rPr>
        <w:t>THE SECURITIES REPRESENTED BY THIS CERTIFICATE ARE SUBJECT TO A LOCK-UP PERIOD AFTER THE EFFECTIVE DATE OF THE ISSUER’S REGISTRATION STATEMENT FILED UNDER THE ACT, AS AMENDED, AS SET FORTH IN AN AGREEMENT BETWEEN THE COMPANY AND THE ORIGINAL HOLDER OF THESE SECURITIES, A COPY OF WHICH MAY BE OBTAINED AT THE ISSUER’S PRINCIPAL OFFICE. SUCH LOCK-UP PERIOD IS BINDING ON TRANSFEREES OF THESE SHARES.</w:t>
      </w:r>
    </w:p>
    <w:p>
      <w:pPr>
        <w:spacing w:after="0" w:line="204"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1.14 </w:t>
      </w:r>
      <w:r>
        <w:rPr>
          <w:rFonts w:ascii="Times New Roman" w:cs="Times New Roman" w:eastAsia="Times New Roman" w:hAnsi="Times New Roman"/>
          <w:sz w:val="22"/>
          <w:szCs w:val="22"/>
          <w:u w:val="single" w:color="auto"/>
          <w:color w:val="auto"/>
        </w:rPr>
        <w:t>Termination of Registration Rights</w:t>
      </w:r>
      <w:r>
        <w:rPr>
          <w:rFonts w:ascii="Times New Roman" w:cs="Times New Roman" w:eastAsia="Times New Roman" w:hAnsi="Times New Roman"/>
          <w:sz w:val="22"/>
          <w:szCs w:val="22"/>
          <w:color w:val="auto"/>
        </w:rPr>
        <w:t>. No Holder shall be entitled to exercise any right provided for in this Section 1 (a) after three (3) years following the consummation of a Qualified Public Offering (as defined in the Restated Certificate) or Direct Listing (whichever occurs first), (b) as to any Holder, such earlier time after an Initial Offering at which such Holder (i) can sell all shares held by it in compliance with Rule 144(b)(1)(i) or (ii) holds one percent (1%) or less of the Company’s outstanding Common Stock and all Registrable Securities held by such Holder (together with any Affiliate of the Holder with whom such Holder must aggregate its sales under Rule 144) can be sold in any three (3) month period without registration in compliance with Rule 144 or (c) after the consummation of a Liquidation Event, as that term is defined in the Restated Certificate.</w:t>
      </w:r>
    </w:p>
    <w:p>
      <w:pPr>
        <w:spacing w:after="0" w:line="182" w:lineRule="exact"/>
        <w:rPr>
          <w:sz w:val="20"/>
          <w:szCs w:val="20"/>
          <w:color w:val="auto"/>
        </w:rPr>
      </w:pPr>
    </w:p>
    <w:p>
      <w:pPr>
        <w:ind w:left="1040" w:hanging="384"/>
        <w:spacing w:after="0"/>
        <w:tabs>
          <w:tab w:leader="none" w:pos="1040"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Covenants of the Company</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u w:val="single" w:color="auto"/>
          <w:color w:val="auto"/>
        </w:rPr>
        <w:t>Delivery of Financial Statements</w:t>
      </w:r>
      <w:r>
        <w:rPr>
          <w:rFonts w:ascii="Times New Roman" w:cs="Times New Roman" w:eastAsia="Times New Roman" w:hAnsi="Times New Roman"/>
          <w:sz w:val="22"/>
          <w:szCs w:val="22"/>
          <w:color w:val="auto"/>
        </w:rPr>
        <w:t>. The Company shall, upon request, deliver to each Investor (or transferee of an Investor) that holds, in the aggregate, at least 3,400,000 shares of Preferred Stock (each as appropriately adjusted for any stock split, dividend, combination or other recapitalization) (each a “</w:t>
      </w:r>
      <w:r>
        <w:rPr>
          <w:rFonts w:ascii="Times New Roman" w:cs="Times New Roman" w:eastAsia="Times New Roman" w:hAnsi="Times New Roman"/>
          <w:sz w:val="22"/>
          <w:szCs w:val="22"/>
          <w:u w:val="single" w:color="auto"/>
          <w:color w:val="auto"/>
        </w:rPr>
        <w:t>Major Investor</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jc w:val="both"/>
        <w:ind w:firstLine="1952"/>
        <w:spacing w:after="0" w:line="250" w:lineRule="auto"/>
        <w:tabs>
          <w:tab w:leader="none" w:pos="2431"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practicable, but in any event within sixty (60) days after the end of each fiscal year of the Company, an unaudited income statement for such fiscal year, an unaudited balance sheet of the Company and statement of stockholders’ equity as of the end of such year, and an unaudited statement of cash flows for such year, such year-end financial reports to be in reasonable detail, prepared in accordance with generally accepted accounting principles (“</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such financial statements shall be audited and certified by independent public accountants of nationally recognized standing selected by the Company and such audited statements shall be provided within one hundred and eighty (180) days after the end of the fiscal year 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24" w:right="339" w:bottom="1440" w:gutter="0" w:footer="0" w:header="0"/>
        </w:sectPr>
      </w:pPr>
    </w:p>
    <w:bookmarkStart w:id="334" w:name="page335"/>
    <w:bookmarkEnd w:id="334"/>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firstLine="1952"/>
        <w:spacing w:after="0" w:line="253" w:lineRule="auto"/>
        <w:tabs>
          <w:tab w:leader="none" w:pos="2481"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practicable, but in any event within forty-five (45) days after the end of each quarter of each fiscal year of the Company, an unaudited income statement, statement of cash flows for such fiscal quarter and an unaudited balance sheet as of the end of such fiscal quarter, all prepared in accordance with GAAP (except that such financial statements may (i) be subject to normal year-end audit adjustments and (ii) not contain all notes thereto that may be required in accordance with GAAP);</w:t>
      </w:r>
    </w:p>
    <w:p>
      <w:pPr>
        <w:spacing w:after="0" w:line="178" w:lineRule="exact"/>
        <w:rPr>
          <w:rFonts w:ascii="Times New Roman" w:cs="Times New Roman" w:eastAsia="Times New Roman" w:hAnsi="Times New Roman"/>
          <w:sz w:val="22"/>
          <w:szCs w:val="22"/>
          <w:color w:val="auto"/>
        </w:rPr>
      </w:pPr>
    </w:p>
    <w:p>
      <w:pPr>
        <w:jc w:val="both"/>
        <w:ind w:firstLine="1952"/>
        <w:spacing w:after="0" w:line="257" w:lineRule="auto"/>
        <w:tabs>
          <w:tab w:leader="none" w:pos="2487"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practicable, but in any event 30 days prior to the end of each fiscal year, a budget and business plan for the next fiscal year, prepared on a monthly basis, and, as soon as prepared, any other budgets or revised budgets prepared by the Company;</w:t>
      </w:r>
    </w:p>
    <w:p>
      <w:pPr>
        <w:spacing w:after="0" w:line="186" w:lineRule="exact"/>
        <w:rPr>
          <w:rFonts w:ascii="Times New Roman" w:cs="Times New Roman" w:eastAsia="Times New Roman" w:hAnsi="Times New Roman"/>
          <w:sz w:val="22"/>
          <w:szCs w:val="22"/>
          <w:color w:val="auto"/>
        </w:rPr>
      </w:pPr>
    </w:p>
    <w:p>
      <w:pPr>
        <w:jc w:val="both"/>
        <w:ind w:firstLine="1952"/>
        <w:spacing w:after="0" w:line="250" w:lineRule="auto"/>
        <w:tabs>
          <w:tab w:leader="none" w:pos="2481"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practicable, but in any event within forty-five (45) days after the end of each quarter of each fiscal year of the Company, a statement showing the number of shares of each class and series of capital stock and securities convertible into or exercisable for shares of capital stock outstanding at the end of the period, the Common Stock issuable upon conversion or exercise of any outstanding securities convertible or exercisable for Common Stock and the exchange ratio or exercise price applicable thereto, and the number of shares of issued stock options and stock options not yet issued but reserved for issuance, if any, all in sufficient detail as to permit the Major Investors to calculate their respective percentage equity ownership in the Company; and</w:t>
      </w:r>
    </w:p>
    <w:p>
      <w:pPr>
        <w:spacing w:after="0" w:line="166" w:lineRule="exact"/>
        <w:rPr>
          <w:rFonts w:ascii="Times New Roman" w:cs="Times New Roman" w:eastAsia="Times New Roman" w:hAnsi="Times New Roman"/>
          <w:sz w:val="22"/>
          <w:szCs w:val="22"/>
          <w:color w:val="auto"/>
        </w:rPr>
      </w:pPr>
    </w:p>
    <w:p>
      <w:pPr>
        <w:jc w:val="both"/>
        <w:ind w:firstLine="1952"/>
        <w:spacing w:after="0" w:line="232" w:lineRule="auto"/>
        <w:tabs>
          <w:tab w:leader="none" w:pos="2593"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other information relating to the financial condition, business or corporate affairs of the Company as the Major Investor may from time to time request,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Company shall not be obligated under this subsection (e) or any other subsection of Section 2.1 to provide information that (i) it deems in good faith to be a trade secret or similar confidential information or (ii) the disclosure of which, upon the advice of counsel, would adversely affect the attorney-client privilege between the Company and its counsel; and</w:t>
      </w:r>
    </w:p>
    <w:p>
      <w:pPr>
        <w:spacing w:after="0" w:line="181" w:lineRule="exact"/>
        <w:rPr>
          <w:rFonts w:ascii="Times New Roman" w:cs="Times New Roman" w:eastAsia="Times New Roman" w:hAnsi="Times New Roman"/>
          <w:sz w:val="22"/>
          <w:szCs w:val="22"/>
          <w:color w:val="auto"/>
        </w:rPr>
      </w:pPr>
    </w:p>
    <w:p>
      <w:pPr>
        <w:jc w:val="both"/>
        <w:ind w:firstLine="1952"/>
        <w:spacing w:after="0" w:line="232" w:lineRule="auto"/>
        <w:tabs>
          <w:tab w:leader="none" w:pos="2418"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else in this Section 2.1 to the contrary, the Company may cease providing the information set forth in this Section 2.1 during the period starting with the date thirty (30) days before the Company’s good-faith estimate of the date of filing of a registration statement with the SEC under the Act if it reasonably concludes it must do so to comply with the SEC rules applicable to such registration statement and related offering;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Company’s covenants under this Section 2.1 shall be reinstated at such time as the Company is no longer actively employing its commercially reasonable efforts to cause such registration statement to become effective.</w:t>
      </w:r>
    </w:p>
    <w:p>
      <w:pPr>
        <w:spacing w:after="0" w:line="16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For the avoidance of doubt, (i) the shares of Preferred Stock held by Jesmond and Gupta shall be aggregated with the Preferred Stock held by DST and (ii) the shares of Preferred Stock held by SCGE Fund, L.P. (“</w:t>
      </w:r>
      <w:r>
        <w:rPr>
          <w:rFonts w:ascii="Times New Roman" w:cs="Times New Roman" w:eastAsia="Times New Roman" w:hAnsi="Times New Roman"/>
          <w:sz w:val="22"/>
          <w:szCs w:val="22"/>
          <w:u w:val="single" w:color="auto"/>
          <w:color w:val="auto"/>
        </w:rPr>
        <w:t>SCGE</w:t>
      </w:r>
      <w:r>
        <w:rPr>
          <w:rFonts w:ascii="Times New Roman" w:cs="Times New Roman" w:eastAsia="Times New Roman" w:hAnsi="Times New Roman"/>
          <w:sz w:val="22"/>
          <w:szCs w:val="22"/>
          <w:color w:val="auto"/>
        </w:rPr>
        <w:t>”), and Sequoia Capital Global Growth Fund III – U.S./India Annex Fund, L.P. (“</w:t>
      </w:r>
      <w:r>
        <w:rPr>
          <w:rFonts w:ascii="Times New Roman" w:cs="Times New Roman" w:eastAsia="Times New Roman" w:hAnsi="Times New Roman"/>
          <w:sz w:val="22"/>
          <w:szCs w:val="22"/>
          <w:u w:val="single" w:color="auto"/>
          <w:color w:val="auto"/>
        </w:rPr>
        <w:t>SCGGF</w:t>
      </w:r>
      <w:r>
        <w:rPr>
          <w:rFonts w:ascii="Times New Roman" w:cs="Times New Roman" w:eastAsia="Times New Roman" w:hAnsi="Times New Roman"/>
          <w:sz w:val="22"/>
          <w:szCs w:val="22"/>
          <w:color w:val="auto"/>
        </w:rPr>
        <w:t>”) shall be aggregated, in each case for purposes of determining Major Investor Status.</w:t>
      </w:r>
    </w:p>
    <w:p>
      <w:pPr>
        <w:spacing w:after="0" w:line="179" w:lineRule="exact"/>
        <w:rPr>
          <w:sz w:val="20"/>
          <w:szCs w:val="20"/>
          <w:color w:val="auto"/>
        </w:rPr>
      </w:pPr>
    </w:p>
    <w:p>
      <w:pPr>
        <w:jc w:val="both"/>
        <w:ind w:right="20" w:firstLine="1296"/>
        <w:spacing w:after="0" w:line="238"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u w:val="single" w:color="auto"/>
          <w:color w:val="auto"/>
        </w:rPr>
        <w:t>Inspection</w:t>
      </w:r>
      <w:r>
        <w:rPr>
          <w:rFonts w:ascii="Times New Roman" w:cs="Times New Roman" w:eastAsia="Times New Roman" w:hAnsi="Times New Roman"/>
          <w:sz w:val="22"/>
          <w:szCs w:val="22"/>
          <w:color w:val="auto"/>
        </w:rPr>
        <w:t xml:space="preserve">. The Company shall permit each Major Investor, at such Major Investor’s expense, to visit and inspect the Company’s properties, to examine its books of account and records and to discuss the Company’s affairs, finances and accounts with its officers, all at such reasonable times as may be requested by the Major Investor;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24" w:right="339" w:bottom="1440" w:gutter="0" w:footer="0" w:header="0"/>
        </w:sectPr>
      </w:pPr>
    </w:p>
    <w:bookmarkStart w:id="335" w:name="page336"/>
    <w:bookmarkEnd w:id="335"/>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Company shall not be obligated pursuant to this Section 2.2 to provide access to any information that it reasonably considers to be a trade secret or similar confidential information.</w:t>
      </w:r>
    </w:p>
    <w:p>
      <w:pPr>
        <w:spacing w:after="0" w:line="145" w:lineRule="exact"/>
        <w:rPr>
          <w:sz w:val="20"/>
          <w:szCs w:val="20"/>
          <w:color w:val="auto"/>
        </w:rPr>
      </w:pPr>
    </w:p>
    <w:p>
      <w:pPr>
        <w:jc w:val="both"/>
        <w:ind w:firstLine="1296"/>
        <w:spacing w:after="0" w:line="232" w:lineRule="auto"/>
        <w:rPr>
          <w:sz w:val="20"/>
          <w:szCs w:val="20"/>
          <w:color w:val="auto"/>
        </w:rPr>
      </w:pPr>
      <w:r>
        <w:rPr>
          <w:rFonts w:ascii="Times New Roman" w:cs="Times New Roman" w:eastAsia="Times New Roman" w:hAnsi="Times New Roman"/>
          <w:sz w:val="22"/>
          <w:szCs w:val="22"/>
          <w:color w:val="auto"/>
        </w:rPr>
        <w:t xml:space="preserve">2.3 </w:t>
      </w:r>
      <w:r>
        <w:rPr>
          <w:rFonts w:ascii="Times New Roman" w:cs="Times New Roman" w:eastAsia="Times New Roman" w:hAnsi="Times New Roman"/>
          <w:sz w:val="22"/>
          <w:szCs w:val="22"/>
          <w:u w:val="single" w:color="auto"/>
          <w:color w:val="auto"/>
        </w:rPr>
        <w:t>Termination of Certain Covenants</w:t>
      </w:r>
      <w:r>
        <w:rPr>
          <w:rFonts w:ascii="Times New Roman" w:cs="Times New Roman" w:eastAsia="Times New Roman" w:hAnsi="Times New Roman"/>
          <w:sz w:val="22"/>
          <w:szCs w:val="22"/>
          <w:color w:val="auto"/>
        </w:rPr>
        <w:t>. The covenants set forth in Sections 2.1 and 2.2 shall terminate and be of no further force or effect upon the earlier to occur of (a) the consummation of the sale of securities pursuant to a registration statement filed by the Company under the Act in connection with the firm commitment underwritten offering of its securities to the general public, (b) when the Company first becomes subject to the periodic reporting requirements of Sections 12(g) or 15(d) of the 1934 Act, whichever event shall first occur or (c) the consummation of a Liquidation Event, as that term is defined in the Restated Certificate.</w:t>
      </w:r>
    </w:p>
    <w:p>
      <w:pPr>
        <w:spacing w:after="0" w:line="180" w:lineRule="exact"/>
        <w:rPr>
          <w:sz w:val="20"/>
          <w:szCs w:val="20"/>
          <w:color w:val="auto"/>
        </w:rPr>
      </w:pPr>
    </w:p>
    <w:p>
      <w:pPr>
        <w:jc w:val="both"/>
        <w:ind w:firstLine="1296"/>
        <w:spacing w:after="0" w:line="232" w:lineRule="auto"/>
        <w:rPr>
          <w:sz w:val="20"/>
          <w:szCs w:val="20"/>
          <w:color w:val="auto"/>
        </w:rPr>
      </w:pPr>
      <w:r>
        <w:rPr>
          <w:rFonts w:ascii="Times New Roman" w:cs="Times New Roman" w:eastAsia="Times New Roman" w:hAnsi="Times New Roman"/>
          <w:sz w:val="22"/>
          <w:szCs w:val="22"/>
          <w:color w:val="auto"/>
        </w:rPr>
        <w:t xml:space="preserve">2.4 </w:t>
      </w:r>
      <w:r>
        <w:rPr>
          <w:rFonts w:ascii="Times New Roman" w:cs="Times New Roman" w:eastAsia="Times New Roman" w:hAnsi="Times New Roman"/>
          <w:sz w:val="22"/>
          <w:szCs w:val="22"/>
          <w:u w:val="single" w:color="auto"/>
          <w:color w:val="auto"/>
        </w:rPr>
        <w:t>Right of First Offer</w:t>
      </w:r>
      <w:r>
        <w:rPr>
          <w:rFonts w:ascii="Times New Roman" w:cs="Times New Roman" w:eastAsia="Times New Roman" w:hAnsi="Times New Roman"/>
          <w:sz w:val="22"/>
          <w:szCs w:val="22"/>
          <w:color w:val="auto"/>
        </w:rPr>
        <w:t>. Subject to the terms and conditions specified in this Section 2.4, the Company hereby grants to each Major Investor a right of first offer with respect to future sales by the Company of its Shares (as hereinafter defined). For purposes of this Section 2.4, the term “</w:t>
      </w:r>
      <w:r>
        <w:rPr>
          <w:rFonts w:ascii="Times New Roman" w:cs="Times New Roman" w:eastAsia="Times New Roman" w:hAnsi="Times New Roman"/>
          <w:sz w:val="22"/>
          <w:szCs w:val="22"/>
          <w:u w:val="single" w:color="auto"/>
          <w:color w:val="auto"/>
        </w:rPr>
        <w:t>Major Investor</w:t>
      </w:r>
      <w:r>
        <w:rPr>
          <w:rFonts w:ascii="Times New Roman" w:cs="Times New Roman" w:eastAsia="Times New Roman" w:hAnsi="Times New Roman"/>
          <w:sz w:val="22"/>
          <w:szCs w:val="22"/>
          <w:color w:val="auto"/>
        </w:rPr>
        <w:t>” includes any Affiliates of a Major Investor. A Major Investor shall be entitled to apportion the right of first offer hereby granted it among itself and its partners and Affiliates in such proportions as it deems appropriate.</w:t>
      </w:r>
    </w:p>
    <w:p>
      <w:pPr>
        <w:spacing w:after="0" w:line="19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Each time the Company proposes to offer any shares of, or securities convertible into or exchangeable or exercisable for any shares of, its capital stock (“</w:t>
      </w:r>
      <w:r>
        <w:rPr>
          <w:rFonts w:ascii="Times New Roman" w:cs="Times New Roman" w:eastAsia="Times New Roman" w:hAnsi="Times New Roman"/>
          <w:sz w:val="22"/>
          <w:szCs w:val="22"/>
          <w:u w:val="single" w:color="auto"/>
          <w:color w:val="auto"/>
        </w:rPr>
        <w:t>Shares</w:t>
      </w:r>
      <w:r>
        <w:rPr>
          <w:rFonts w:ascii="Times New Roman" w:cs="Times New Roman" w:eastAsia="Times New Roman" w:hAnsi="Times New Roman"/>
          <w:sz w:val="22"/>
          <w:szCs w:val="22"/>
          <w:color w:val="auto"/>
        </w:rPr>
        <w:t>”), the Company shall first make an offering of such Shares to each Major Investor in accordance with the following provisions:</w:t>
      </w:r>
    </w:p>
    <w:p>
      <w:pPr>
        <w:spacing w:after="0" w:line="173" w:lineRule="exact"/>
        <w:rPr>
          <w:sz w:val="20"/>
          <w:szCs w:val="20"/>
          <w:color w:val="auto"/>
        </w:rPr>
      </w:pPr>
    </w:p>
    <w:p>
      <w:pPr>
        <w:jc w:val="both"/>
        <w:ind w:firstLine="1952"/>
        <w:spacing w:after="0" w:line="263" w:lineRule="auto"/>
        <w:tabs>
          <w:tab w:leader="none" w:pos="2417"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deliver a notice in accordance with Section 4.5 (“</w:t>
      </w: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to the Major Investors stating (i) its bona fide intention to offer such Shares, (ii) the number of such Shares to be offered and (iii) the price and terms upon which it proposes to offer such Shares.</w:t>
      </w:r>
    </w:p>
    <w:p>
      <w:pPr>
        <w:spacing w:after="0" w:line="167" w:lineRule="exact"/>
        <w:rPr>
          <w:rFonts w:ascii="Times New Roman" w:cs="Times New Roman" w:eastAsia="Times New Roman" w:hAnsi="Times New Roman"/>
          <w:sz w:val="22"/>
          <w:szCs w:val="22"/>
          <w:color w:val="auto"/>
        </w:rPr>
      </w:pPr>
    </w:p>
    <w:p>
      <w:pPr>
        <w:jc w:val="both"/>
        <w:ind w:firstLine="1952"/>
        <w:spacing w:after="0" w:line="247" w:lineRule="auto"/>
        <w:tabs>
          <w:tab w:leader="none" w:pos="2426"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written notification received by the Company within twenty (20) calendar days after the giving of Notice, each Major Investor may elect to purchase, at the price and on the terms specified in the Notice, up to that portion of such Shares that equals the proportion that the number of shares of Common Stock that are Registrable Securities then held by such Major Investor (assuming full conversion and exercise of all convertible and exercisable securities then outstanding and held by such Major Investor) bears to the Prior Equity Financing Fully Diluted Shares. For purposes of this paragraph, the “</w:t>
      </w:r>
      <w:r>
        <w:rPr>
          <w:rFonts w:ascii="Times New Roman" w:cs="Times New Roman" w:eastAsia="Times New Roman" w:hAnsi="Times New Roman"/>
          <w:sz w:val="22"/>
          <w:szCs w:val="22"/>
          <w:u w:val="single" w:color="auto"/>
          <w:color w:val="auto"/>
        </w:rPr>
        <w:t>Prior Equity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Financing Fully Diluted Shares</w:t>
      </w:r>
      <w:r>
        <w:rPr>
          <w:rFonts w:ascii="Times New Roman" w:cs="Times New Roman" w:eastAsia="Times New Roman" w:hAnsi="Times New Roman"/>
          <w:sz w:val="22"/>
          <w:szCs w:val="22"/>
          <w:color w:val="auto"/>
        </w:rPr>
        <w:t>” shall mean the total number of shares of Common Stock of the Company outstanding (assuming full conversion and exercise of all convertible and exercisable securities outstanding) immediately following the closing of the most recent equity financing that occurred prior to the proposed sale of the Shares for which this right is then being triggered. At the expiration of such twenty (20) calendar day period, the Company shall promptly, in writing, inform each Major Investor that elects to purchase all the shares available to it (a “</w:t>
      </w:r>
      <w:r>
        <w:rPr>
          <w:rFonts w:ascii="Times New Roman" w:cs="Times New Roman" w:eastAsia="Times New Roman" w:hAnsi="Times New Roman"/>
          <w:sz w:val="22"/>
          <w:szCs w:val="22"/>
          <w:u w:val="single" w:color="auto"/>
          <w:color w:val="auto"/>
        </w:rPr>
        <w:t>Fully-Exercising Investor</w:t>
      </w:r>
      <w:r>
        <w:rPr>
          <w:rFonts w:ascii="Times New Roman" w:cs="Times New Roman" w:eastAsia="Times New Roman" w:hAnsi="Times New Roman"/>
          <w:sz w:val="22"/>
          <w:szCs w:val="22"/>
          <w:color w:val="auto"/>
        </w:rPr>
        <w:t>”) of any other Major Investor’s failure to do likewise. During the ten (10) day period commencing after such information is given, each Fully-Exercising Investor may elect to purchase that portion of the Shares for which Major Investors were entitled to subscribe, but which were not subscribed for by the Major Investors, that is equal to the proportion that the number of shares of Registrable Securities then held by such Fully-Exercising Investor (assuming full conversion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24" w:right="339" w:bottom="1440" w:gutter="0" w:footer="0" w:header="0"/>
        </w:sectPr>
      </w:pPr>
    </w:p>
    <w:bookmarkStart w:id="336" w:name="page337"/>
    <w:bookmarkEnd w:id="336"/>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color w:val="auto"/>
        </w:rPr>
        <w:t>exercise of all convertible and exercisable securities then outstanding and held by such Fully-Exercising Investor) bears to the total number of shares of Common Stock that are Registrable Securities held by the Fully-Exercising Investors (assuming full conversion and exercise of all convertible and exercisable securities then outstanding and held by the Fully-Exercising Investors).</w:t>
      </w:r>
    </w:p>
    <w:p>
      <w:pPr>
        <w:spacing w:after="0" w:line="169" w:lineRule="exact"/>
        <w:rPr>
          <w:sz w:val="20"/>
          <w:szCs w:val="20"/>
          <w:color w:val="auto"/>
        </w:rPr>
      </w:pPr>
    </w:p>
    <w:p>
      <w:pPr>
        <w:jc w:val="both"/>
        <w:ind w:firstLine="1952"/>
        <w:spacing w:after="0" w:line="250" w:lineRule="auto"/>
        <w:tabs>
          <w:tab w:leader="none" w:pos="2407"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all Shares that Major Investors are entitled to obtain pursuant to subsection 2.4(b) are not elected to be obtained as provided in subsection 2.4(b) hereof, the Company may, during the ninety (90) day period following the expiration of the period provided in subsection 2.4(b) hereof, offer the remaining unsubscribed portion of such Shares to any person or persons at a price not less than that, and upon terms no more favorable to the offeree than those, specified in the Notice. If the Company does not enter into an agreement for the sale of the Shares within such period, or if such agreement is not consummated within sixty (60) days of the execution thereof, the right provided hereunder shall be deemed to be revived and such Shares shall not be offered unless first reoffered to the Major Investors in accordance herewith.</w:t>
      </w:r>
    </w:p>
    <w:p>
      <w:pPr>
        <w:spacing w:after="0" w:line="153" w:lineRule="exact"/>
        <w:rPr>
          <w:rFonts w:ascii="Times New Roman" w:cs="Times New Roman" w:eastAsia="Times New Roman" w:hAnsi="Times New Roman"/>
          <w:sz w:val="22"/>
          <w:szCs w:val="22"/>
          <w:color w:val="auto"/>
        </w:rPr>
      </w:pPr>
    </w:p>
    <w:p>
      <w:pPr>
        <w:jc w:val="both"/>
        <w:ind w:right="20" w:firstLine="1952"/>
        <w:spacing w:after="0" w:line="225" w:lineRule="auto"/>
        <w:tabs>
          <w:tab w:leader="none" w:pos="2442"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 of first offer in this Section 2.4 shall not be applicable to the issuance of Excluded Shares, as such term is defined in the Restated Certificate; provided, however, that for purposes of this Section 2.4(d), securities issued pursuant to Article IV(4)(c)(ii)(H) of the Restated Charter shall not constitute Excluded Securities.</w:t>
      </w:r>
    </w:p>
    <w:p>
      <w:pPr>
        <w:spacing w:after="0" w:line="165" w:lineRule="exact"/>
        <w:rPr>
          <w:rFonts w:ascii="Times New Roman" w:cs="Times New Roman" w:eastAsia="Times New Roman" w:hAnsi="Times New Roman"/>
          <w:sz w:val="22"/>
          <w:szCs w:val="22"/>
          <w:color w:val="auto"/>
        </w:rPr>
      </w:pPr>
    </w:p>
    <w:p>
      <w:pPr>
        <w:jc w:val="both"/>
        <w:ind w:firstLine="1952"/>
        <w:spacing w:after="0" w:line="250" w:lineRule="auto"/>
        <w:tabs>
          <w:tab w:leader="none" w:pos="2482"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rights provided in this Section 2.4 may not be assigned or transferred by any Major Investor;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 Major Investor that is a venture capital or similar investment fund (including, for the avoidance of doubt, DST) may assign or transfer such rights to its Affiliates.</w:t>
      </w:r>
    </w:p>
    <w:p>
      <w:pPr>
        <w:spacing w:after="0" w:line="167" w:lineRule="exact"/>
        <w:rPr>
          <w:rFonts w:ascii="Times New Roman" w:cs="Times New Roman" w:eastAsia="Times New Roman" w:hAnsi="Times New Roman"/>
          <w:sz w:val="22"/>
          <w:szCs w:val="22"/>
          <w:color w:val="auto"/>
        </w:rPr>
      </w:pPr>
    </w:p>
    <w:p>
      <w:pPr>
        <w:jc w:val="both"/>
        <w:ind w:firstLine="1952"/>
        <w:spacing w:after="0" w:line="250" w:lineRule="auto"/>
        <w:tabs>
          <w:tab w:leader="none" w:pos="2379"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covenants set forth in this Section 2.4 shall terminate and be of no further force or effect upon the consummation of (i) a Qualified Public Offering (as defined in the Restated Certificate), (ii) a Direct Listing, or (iii) a Liquidation Event (as defined in the Restated Certificate).</w:t>
      </w:r>
    </w:p>
    <w:p>
      <w:pPr>
        <w:spacing w:after="0" w:line="168"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 xml:space="preserve">2.5 </w:t>
      </w:r>
      <w:r>
        <w:rPr>
          <w:rFonts w:ascii="Times New Roman" w:cs="Times New Roman" w:eastAsia="Times New Roman" w:hAnsi="Times New Roman"/>
          <w:sz w:val="22"/>
          <w:szCs w:val="22"/>
          <w:u w:val="single" w:color="auto"/>
          <w:color w:val="auto"/>
        </w:rPr>
        <w:t>Proprietary Information and Inventions Agreements</w:t>
      </w:r>
      <w:r>
        <w:rPr>
          <w:rFonts w:ascii="Times New Roman" w:cs="Times New Roman" w:eastAsia="Times New Roman" w:hAnsi="Times New Roman"/>
          <w:sz w:val="22"/>
          <w:szCs w:val="22"/>
          <w:color w:val="auto"/>
        </w:rPr>
        <w:t>. The Company shall require all employees with access to confidential information to execute and deliver a Proprietary Information and Inventions Agreement in substantially the form approved by the Board and shall require all consultants to execute and deliver a Consulting Agreement containing appropriate confidentiality and invention assignment provisions.</w:t>
      </w:r>
    </w:p>
    <w:p>
      <w:pPr>
        <w:spacing w:after="0" w:line="186"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 xml:space="preserve">2.6 </w:t>
      </w:r>
      <w:r>
        <w:rPr>
          <w:rFonts w:ascii="Times New Roman" w:cs="Times New Roman" w:eastAsia="Times New Roman" w:hAnsi="Times New Roman"/>
          <w:sz w:val="22"/>
          <w:szCs w:val="22"/>
          <w:u w:val="single" w:color="auto"/>
          <w:color w:val="auto"/>
        </w:rPr>
        <w:t>Employee Agreements</w:t>
      </w:r>
      <w:r>
        <w:rPr>
          <w:rFonts w:ascii="Times New Roman" w:cs="Times New Roman" w:eastAsia="Times New Roman" w:hAnsi="Times New Roman"/>
          <w:sz w:val="22"/>
          <w:szCs w:val="22"/>
          <w:color w:val="auto"/>
        </w:rPr>
        <w:t>. Unless approved by the Board, all future employees of the Company who shall purchase, or receive options to purchase, shares of Common Stock following the date hereof shall be required to execute stock purchase or option agreements providing for (a) vesting of shares over a four (4) year period with the first twenty five percent (25%) of such shares vesting following twelve (12) months of continued employment or services, and the remaining shares vesting in equal monthly installments over the following thirty six (36) months thereafter and (b) a one hundred and eighty (180)-day lockup period in connection with the Initial Offering. The Company shall retain a right of first refusal on transfers until the Initial Offering and the right to repurchase unvested shares at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24" w:right="339" w:bottom="1440" w:gutter="0" w:footer="0" w:header="0"/>
        </w:sectPr>
      </w:pPr>
    </w:p>
    <w:bookmarkStart w:id="337" w:name="page338"/>
    <w:bookmarkEnd w:id="337"/>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1296"/>
        <w:spacing w:after="0" w:line="237" w:lineRule="auto"/>
        <w:rPr>
          <w:sz w:val="20"/>
          <w:szCs w:val="20"/>
          <w:color w:val="auto"/>
        </w:rPr>
      </w:pPr>
      <w:r>
        <w:rPr>
          <w:rFonts w:ascii="Times New Roman" w:cs="Times New Roman" w:eastAsia="Times New Roman" w:hAnsi="Times New Roman"/>
          <w:sz w:val="22"/>
          <w:szCs w:val="22"/>
          <w:color w:val="auto"/>
        </w:rPr>
        <w:t xml:space="preserve">2.7 </w:t>
      </w:r>
      <w:r>
        <w:rPr>
          <w:rFonts w:ascii="Times New Roman" w:cs="Times New Roman" w:eastAsia="Times New Roman" w:hAnsi="Times New Roman"/>
          <w:sz w:val="22"/>
          <w:szCs w:val="22"/>
          <w:u w:val="single" w:color="auto"/>
          <w:color w:val="auto"/>
        </w:rPr>
        <w:t>Indemnification Matters</w:t>
      </w:r>
      <w:r>
        <w:rPr>
          <w:rFonts w:ascii="Times New Roman" w:cs="Times New Roman" w:eastAsia="Times New Roman" w:hAnsi="Times New Roman"/>
          <w:sz w:val="22"/>
          <w:szCs w:val="22"/>
          <w:color w:val="auto"/>
        </w:rPr>
        <w:t>. The Company hereby acknowledges that one (1) or more of the directors nominated to serve on the Board by the Investors (each a “</w:t>
      </w:r>
      <w:r>
        <w:rPr>
          <w:rFonts w:ascii="Times New Roman" w:cs="Times New Roman" w:eastAsia="Times New Roman" w:hAnsi="Times New Roman"/>
          <w:sz w:val="22"/>
          <w:szCs w:val="22"/>
          <w:u w:val="single" w:color="auto"/>
          <w:color w:val="auto"/>
        </w:rPr>
        <w:t>Fund Director</w:t>
      </w:r>
      <w:r>
        <w:rPr>
          <w:rFonts w:ascii="Times New Roman" w:cs="Times New Roman" w:eastAsia="Times New Roman" w:hAnsi="Times New Roman"/>
          <w:sz w:val="22"/>
          <w:szCs w:val="22"/>
          <w:color w:val="auto"/>
        </w:rPr>
        <w:t>”) may have certain rights to indemnification, advancement of expenses and/or insurance provided by one or more of the Investors and certain of their affiliates (collectively, the “</w:t>
      </w:r>
      <w:r>
        <w:rPr>
          <w:rFonts w:ascii="Times New Roman" w:cs="Times New Roman" w:eastAsia="Times New Roman" w:hAnsi="Times New Roman"/>
          <w:sz w:val="22"/>
          <w:szCs w:val="22"/>
          <w:u w:val="single" w:color="auto"/>
          <w:color w:val="auto"/>
        </w:rPr>
        <w:t>Fund Indemnitors</w:t>
      </w:r>
      <w:r>
        <w:rPr>
          <w:rFonts w:ascii="Times New Roman" w:cs="Times New Roman" w:eastAsia="Times New Roman" w:hAnsi="Times New Roman"/>
          <w:sz w:val="22"/>
          <w:szCs w:val="22"/>
          <w:color w:val="auto"/>
        </w:rPr>
        <w:t>”). The Company hereby agrees (a) that it is the indemnitor of first resort (i.e., its obligations to any such Fund Director are primary and any obligation of the Fund Indemnitors to advance expenses or to provide indemnification for the same expenses or liabilities incurred by such Fund Director are secondary), (b) that it shall be required to advance the full amount of expenses incurred by such Fund Director and shall be liable for the full amount of all expenses, judgments, penalties, fines and amounts paid in settlement by or on behalf of any such Fund Director to the extent legally permitted and as required by the Restated Certificate or Bylaws of the Company (or any agreement between the Company and such Fund Director), without regard to any rights such Fund Director may have against the Fund Indemnitors, and, (c) that it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any such Fund Director with respect to any claim for which such Fund Director has sought indemnification from the Company shall affect the foregoing and the Fund Indemnitors shall have a right of contribution and/or be subrogated to the extent of such advancement or payment to all of the rights of recovery of such Fund Director against the Company.</w:t>
      </w:r>
    </w:p>
    <w:p>
      <w:pPr>
        <w:spacing w:after="0" w:line="188" w:lineRule="exact"/>
        <w:rPr>
          <w:sz w:val="20"/>
          <w:szCs w:val="20"/>
          <w:color w:val="auto"/>
        </w:rPr>
      </w:pPr>
    </w:p>
    <w:p>
      <w:pPr>
        <w:jc w:val="both"/>
        <w:ind w:firstLine="1296"/>
        <w:spacing w:after="0" w:line="243" w:lineRule="auto"/>
        <w:rPr>
          <w:sz w:val="20"/>
          <w:szCs w:val="20"/>
          <w:color w:val="auto"/>
        </w:rPr>
      </w:pPr>
      <w:r>
        <w:rPr>
          <w:rFonts w:ascii="Times New Roman" w:cs="Times New Roman" w:eastAsia="Times New Roman" w:hAnsi="Times New Roman"/>
          <w:sz w:val="22"/>
          <w:szCs w:val="22"/>
          <w:color w:val="auto"/>
        </w:rPr>
        <w:t xml:space="preserve">2.8 </w:t>
      </w:r>
      <w:r>
        <w:rPr>
          <w:rFonts w:ascii="Times New Roman" w:cs="Times New Roman" w:eastAsia="Times New Roman" w:hAnsi="Times New Roman"/>
          <w:sz w:val="22"/>
          <w:szCs w:val="22"/>
          <w:u w:val="single" w:color="auto"/>
          <w:color w:val="auto"/>
        </w:rPr>
        <w:t>D&amp;O Insurance</w:t>
      </w:r>
      <w:r>
        <w:rPr>
          <w:rFonts w:ascii="Times New Roman" w:cs="Times New Roman" w:eastAsia="Times New Roman" w:hAnsi="Times New Roman"/>
          <w:sz w:val="22"/>
          <w:szCs w:val="22"/>
          <w:color w:val="auto"/>
        </w:rPr>
        <w:t>. The Company has Directors and Officers liability insurance in an amount and on terms and conditions satisfactory to the Board, and will use commercially reasonable efforts to cause such insurance policy to be maintained until such time as the Board (including at least one of the Preferred Directors (as defined in the Restated Certificate)) determines that such insurance should be discontinued. Such policy shall not be cancelable by the Company without prior approval by the Board (including at least one of the Preferred Directors (as defined in the Restated Certificate)).</w:t>
      </w:r>
    </w:p>
    <w:p>
      <w:pPr>
        <w:spacing w:after="0" w:line="177"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2.9 </w:t>
      </w: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Each Investor agrees, severally and not jointly, to use the same degree of care as such Investor uses to protect its own confidential information for any information obtained pursuant to Section 2.1 or Section 2.2 hereof which the Company identifies in writing as being proprietary or confidential and such Investor acknowledges that it will not, unless otherwise required by law or the rules of any national securities exchange, association or marketplace, disclose such information without the prior written consent of the Company except such information that (a) was in the public domain prior to the time it was furnished to such Investor, (b) is or becomes (through no willful improper action or inaction by such Investor) generally available to the public, (c) was in its possession or known by such Investor without restriction prior to receipt from the Company, (d) was rightfully disclosed to such Investor by a third party without restriction or (e) was independently developed without any use of the Company’s confidential information. Notwithstanding the foregoing, each Investor that is a limited partnership or limited liability company may disclose such proprietary or confidential information to any former partners or members who retained an economic interest in such Investor, current or prospective partner of the partnership or any subsequent partnership under common investment management, limited partner, general partner, member or management company of such Investor (or any employee or representative of any of the foregoing) (each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24" w:right="339" w:bottom="1440" w:gutter="0" w:footer="0" w:header="0"/>
        </w:sectPr>
      </w:pPr>
    </w:p>
    <w:bookmarkStart w:id="338" w:name="page339"/>
    <w:bookmarkEnd w:id="338"/>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foregoing persons, a “</w:t>
      </w:r>
      <w:r>
        <w:rPr>
          <w:rFonts w:ascii="Times New Roman" w:cs="Times New Roman" w:eastAsia="Times New Roman" w:hAnsi="Times New Roman"/>
          <w:sz w:val="22"/>
          <w:szCs w:val="22"/>
          <w:u w:val="single" w:color="auto"/>
          <w:color w:val="auto"/>
        </w:rPr>
        <w:t>Permitted Disclosee</w:t>
      </w:r>
      <w:r>
        <w:rPr>
          <w:rFonts w:ascii="Times New Roman" w:cs="Times New Roman" w:eastAsia="Times New Roman" w:hAnsi="Times New Roman"/>
          <w:sz w:val="22"/>
          <w:szCs w:val="22"/>
          <w:color w:val="auto"/>
        </w:rPr>
        <w:t xml:space="preserve">”) or legal counsel, accountants or representatives for such Investor. Furthermore, nothing contained herein shall prevent any Investor or any Permitted Disclosee from (i) entering into any business, entering into any agreement with a third party, or investing in or engaging in investment discussions with any other company (whether or not competitive with the 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Investor or Permitted Disclosee does not, except as permitted in accordance with this Section 2.9, disclose or otherwise make use of any proprietary or confidential information of the Company in connection with such activities, or (ii) making any disclosures required by law, rule, regulation or court or other governmental order.</w:t>
      </w:r>
    </w:p>
    <w:p>
      <w:pPr>
        <w:spacing w:after="0" w:line="194"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2.10 </w:t>
      </w: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The Company shall not knowingly directly or indirectly use the proceeds of the issuance of shares of its capital stock, or to lend, contribute or otherwise make available such proceeds to any subsidiary, affiliate, joint venture partner or other person or entity, for the purpose of unlawfully financing or facilitating any activity of or transaction with any person or entity, or in any country or territory, that, at the time of such funding or facilitation, is a person, entity, country, or territory with which dealings are restricted or prohibited by any Sanctions (including any person owned or controlled by any person subject to any Sanctions). “</w:t>
      </w: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means any economic or trade sanctions or restrictive measures enacted, administered, imposed or enforced by the U.S. Department of the Treasury’s Office of Foreign Assets Control (“</w:t>
      </w: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the U.S. Department of State, the United Nations Security Council, the European Union and/or the French Republic.</w:t>
      </w:r>
    </w:p>
    <w:p>
      <w:pPr>
        <w:spacing w:after="0" w:line="194"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1"/>
          <w:szCs w:val="21"/>
          <w:color w:val="auto"/>
        </w:rPr>
        <w:t xml:space="preserve">2.11 </w:t>
      </w:r>
      <w:r>
        <w:rPr>
          <w:rFonts w:ascii="Times New Roman" w:cs="Times New Roman" w:eastAsia="Times New Roman" w:hAnsi="Times New Roman"/>
          <w:sz w:val="21"/>
          <w:szCs w:val="21"/>
          <w:u w:val="single" w:color="auto"/>
          <w:color w:val="auto"/>
        </w:rPr>
        <w:t>Foreign Corrupt Practices Act</w:t>
      </w:r>
      <w:r>
        <w:rPr>
          <w:rFonts w:ascii="Times New Roman" w:cs="Times New Roman" w:eastAsia="Times New Roman" w:hAnsi="Times New Roman"/>
          <w:sz w:val="21"/>
          <w:szCs w:val="21"/>
          <w:color w:val="auto"/>
        </w:rPr>
        <w:t>. The Company shall make commercially reasonable efforts to ensure that none of the Company, any of its affiliates or any director, officer, employee, stockholder or agent or other person acting on behalf of the Company or any of its affiliates shall make, offer, promise or authorize, directly or indirectly, any payment or gift of any money or anything of value to or for the benefit of any “foreign official” (as such term is defined in the U.S. Foreign Corrupt Practices Act (the “</w:t>
      </w:r>
      <w:r>
        <w:rPr>
          <w:rFonts w:ascii="Times New Roman" w:cs="Times New Roman" w:eastAsia="Times New Roman" w:hAnsi="Times New Roman"/>
          <w:sz w:val="21"/>
          <w:szCs w:val="21"/>
          <w:u w:val="single" w:color="auto"/>
          <w:color w:val="auto"/>
        </w:rPr>
        <w:t>FCPA</w:t>
      </w:r>
      <w:r>
        <w:rPr>
          <w:rFonts w:ascii="Times New Roman" w:cs="Times New Roman" w:eastAsia="Times New Roman" w:hAnsi="Times New Roman"/>
          <w:sz w:val="21"/>
          <w:szCs w:val="21"/>
          <w:color w:val="auto"/>
        </w:rPr>
        <w:t>”)), foreign political party or official thereof or candidate for foreign political office for the purpose of</w:t>
      </w:r>
    </w:p>
    <w:p>
      <w:pPr>
        <w:spacing w:after="0" w:line="3" w:lineRule="exact"/>
        <w:rPr>
          <w:sz w:val="20"/>
          <w:szCs w:val="20"/>
          <w:color w:val="auto"/>
        </w:rPr>
      </w:pPr>
    </w:p>
    <w:p>
      <w:pPr>
        <w:jc w:val="both"/>
        <w:ind w:firstLine="8"/>
        <w:spacing w:after="0" w:line="235" w:lineRule="auto"/>
        <w:tabs>
          <w:tab w:leader="none" w:pos="261"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influencing any official act or decision of such official, party or candidate, (ii) inducing such official, party or candidate to use his, her or its influence to affect any act or decision of a foreign governmental authority or (iii) securing any improper advantage, in the case of (i), (ii) and (iii) above in order to assist the Company or any of its affiliates in obtaining or retaining business for or with, or directing business to, any person. The Company shall make commercially reasonable efforts to ensure that none of the Company, any of its affiliates or any director, officer, employee, stockholder or agent or other person acting on behalf of the Company or any of its affiliates shall make or authorize any bribe, rebate, payoff, influence payment, kickback or other unlawful payment of funds or received or retained any funds in violation of any law, rule or regulation. The Company shall make commercially reasonable efforts to maintain and cause its affiliates to maintain, written policies and procedures and systems of internal controls (including, but not limited to, accounting systems, purchasing systems and billing systems) to ensure compliance with the FCPA and other applicable anti-bribery or anti-corruption laws.</w:t>
      </w:r>
    </w:p>
    <w:p>
      <w:pPr>
        <w:spacing w:after="0" w:line="199"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2"/>
          <w:szCs w:val="22"/>
          <w:color w:val="auto"/>
        </w:rPr>
        <w:t>2.12</w:t>
      </w:r>
      <w:r>
        <w:rPr>
          <w:sz w:val="20"/>
          <w:szCs w:val="20"/>
          <w:color w:val="auto"/>
        </w:rPr>
        <w:tab/>
      </w:r>
      <w:r>
        <w:rPr>
          <w:rFonts w:ascii="Times New Roman" w:cs="Times New Roman" w:eastAsia="Times New Roman" w:hAnsi="Times New Roman"/>
          <w:sz w:val="21"/>
          <w:szCs w:val="21"/>
          <w:u w:val="single" w:color="auto"/>
          <w:color w:val="auto"/>
        </w:rPr>
        <w:t>Additional Tax Matters</w:t>
      </w:r>
    </w:p>
    <w:p>
      <w:pPr>
        <w:spacing w:after="0" w:line="206" w:lineRule="exact"/>
        <w:rPr>
          <w:sz w:val="20"/>
          <w:szCs w:val="20"/>
          <w:color w:val="auto"/>
        </w:rPr>
      </w:pPr>
    </w:p>
    <w:p>
      <w:pPr>
        <w:ind w:right="20" w:firstLine="1952"/>
        <w:spacing w:after="0" w:line="271" w:lineRule="auto"/>
        <w:tabs>
          <w:tab w:leader="none" w:pos="2521"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C-Corp</w:t>
      </w:r>
      <w:r>
        <w:rPr>
          <w:rFonts w:ascii="Times New Roman" w:cs="Times New Roman" w:eastAsia="Times New Roman" w:hAnsi="Times New Roman"/>
          <w:sz w:val="22"/>
          <w:szCs w:val="22"/>
          <w:color w:val="auto"/>
        </w:rPr>
        <w:t>. The Company shall take such actions, including making an election to be treated as an association taxable as a corporation, as may be required to ensure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24" w:right="339" w:bottom="1440" w:gutter="0" w:footer="0" w:header="0"/>
        </w:sectPr>
      </w:pPr>
    </w:p>
    <w:bookmarkStart w:id="339" w:name="page340"/>
    <w:bookmarkEnd w:id="339"/>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that at all times the Company is classified as a corporation for United States federal income tax purposes.</w:t>
      </w:r>
    </w:p>
    <w:p>
      <w:pPr>
        <w:spacing w:after="0" w:line="206" w:lineRule="exact"/>
        <w:rPr>
          <w:sz w:val="20"/>
          <w:szCs w:val="20"/>
          <w:color w:val="auto"/>
        </w:rPr>
      </w:pPr>
    </w:p>
    <w:p>
      <w:pPr>
        <w:jc w:val="both"/>
        <w:ind w:firstLine="1952"/>
        <w:spacing w:after="0" w:line="260" w:lineRule="auto"/>
        <w:tabs>
          <w:tab w:leader="none" w:pos="2439" w:val="left"/>
        </w:tabs>
        <w:numPr>
          <w:ilvl w:val="1"/>
          <w:numId w:val="2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U.S. Real Property Holding Company (USRPHC)</w:t>
      </w:r>
      <w:r>
        <w:rPr>
          <w:rFonts w:ascii="Times New Roman" w:cs="Times New Roman" w:eastAsia="Times New Roman" w:hAnsi="Times New Roman"/>
          <w:sz w:val="21"/>
          <w:szCs w:val="21"/>
          <w:color w:val="auto"/>
        </w:rPr>
        <w:t>. The Company shall to conduct its affairs so as to avoid the Company being treated as a “United States Real Property Holding Corporation” within the meaning of Section 897(c)</w:t>
      </w:r>
    </w:p>
    <w:p>
      <w:pPr>
        <w:ind w:left="320" w:hanging="312"/>
        <w:spacing w:after="0"/>
        <w:tabs>
          <w:tab w:leader="none" w:pos="320" w:val="left"/>
        </w:tabs>
        <w:numPr>
          <w:ilvl w:val="0"/>
          <w:numId w:val="2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the Internal Revenue Code, as amended (the “</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and any applicable regulations promulgated thereunder (“</w:t>
      </w:r>
      <w:r>
        <w:rPr>
          <w:rFonts w:ascii="Times New Roman" w:cs="Times New Roman" w:eastAsia="Times New Roman" w:hAnsi="Times New Roman"/>
          <w:sz w:val="21"/>
          <w:szCs w:val="21"/>
          <w:u w:val="single" w:color="auto"/>
          <w:color w:val="auto"/>
        </w:rPr>
        <w:t>USRPHC</w:t>
      </w:r>
      <w:r>
        <w:rPr>
          <w:rFonts w:ascii="Times New Roman" w:cs="Times New Roman" w:eastAsia="Times New Roman" w:hAnsi="Times New Roman"/>
          <w:sz w:val="21"/>
          <w:szCs w:val="21"/>
          <w:color w:val="auto"/>
        </w:rPr>
        <w:t>”).</w:t>
      </w:r>
    </w:p>
    <w:p>
      <w:pPr>
        <w:spacing w:after="0" w:line="1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Company shall notify the Investor promptly following any “determination date” (as defined in Treasury Regulations section 1.897-2(c)(1)) or otherwise within five (5) business days of becoming aware that the Company is, or is reasonably likely to be, a USRPHC. In addition, upon reasonable request from the Investor, the Company shall issue a statement to the Investor, in form and substance as described in Treasury Regulations sections 1.897-2(h)(1) and 1.1445-2(c) (or any successor regulations) and signed under penalties of perjury, regarding whether any interest in the Company constitutes a “U.S. real property interest” within the meaning of Section 897(c) of the Code, together with an executed notice to the Internal Revenue Service described in Treasury Regulations section 1.897-2(h)(2) (or any successor regulation). Such statement shall be delivered within ten (10) business days of the Investor’s written request therefor.</w:t>
      </w:r>
    </w:p>
    <w:p>
      <w:pPr>
        <w:spacing w:after="0" w:line="181"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2.13 </w:t>
      </w:r>
      <w:r>
        <w:rPr>
          <w:rFonts w:ascii="Times New Roman" w:cs="Times New Roman" w:eastAsia="Times New Roman" w:hAnsi="Times New Roman"/>
          <w:sz w:val="22"/>
          <w:szCs w:val="22"/>
          <w:u w:val="single" w:color="auto"/>
          <w:color w:val="auto"/>
        </w:rPr>
        <w:t>Termination of Certain Covenants</w:t>
      </w:r>
      <w:r>
        <w:rPr>
          <w:rFonts w:ascii="Times New Roman" w:cs="Times New Roman" w:eastAsia="Times New Roman" w:hAnsi="Times New Roman"/>
          <w:sz w:val="22"/>
          <w:szCs w:val="22"/>
          <w:color w:val="auto"/>
        </w:rPr>
        <w:t>. The covenants set forth in Sections 2.5, 2.6, 2.10, 2.11 and 2.12 shall terminate and be of no further force or effect upon the consummation of (a) a Qualified Public Offering (as defined in the Restated Certificate), (b) a Direct Listing or (b) a Liquidation Event (as defined in the Restated Certificate).</w:t>
      </w:r>
    </w:p>
    <w:p>
      <w:pPr>
        <w:spacing w:after="0" w:line="166" w:lineRule="exact"/>
        <w:rPr>
          <w:sz w:val="20"/>
          <w:szCs w:val="20"/>
          <w:color w:val="auto"/>
        </w:rPr>
      </w:pPr>
    </w:p>
    <w:p>
      <w:pPr>
        <w:ind w:left="1040" w:hanging="384"/>
        <w:spacing w:after="0"/>
        <w:tabs>
          <w:tab w:leader="none" w:pos="1040"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Except as otherwise provided herein, the terms and conditions of this Agreement shall inure to the benefit of and be binding upon the respective successors and assigns of the parties (including transferees of any shares of Registrable Securities).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165"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governed by and construed under the laws of the State of California as applied to agreements among California residents entered into and to be performed entirely within California.</w:t>
      </w:r>
    </w:p>
    <w:p>
      <w:pPr>
        <w:spacing w:after="0" w:line="145"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u w:val="single" w:color="auto"/>
          <w:color w:val="auto"/>
        </w:rPr>
        <w:t>Counterparts; Facsimile</w:t>
      </w:r>
      <w:r>
        <w:rPr>
          <w:rFonts w:ascii="Times New Roman" w:cs="Times New Roman" w:eastAsia="Times New Roman" w:hAnsi="Times New Roman"/>
          <w:sz w:val="22"/>
          <w:szCs w:val="22"/>
          <w:color w:val="auto"/>
        </w:rPr>
        <w:t>. This Agreement may be executed and delivered by facsimile or electronic signature and in two (2) or more counterparts, each of which shall be deemed an original, but all of which together shall constitute one (1) and the same instrument.</w:t>
      </w:r>
    </w:p>
    <w:p>
      <w:pPr>
        <w:spacing w:after="0" w:line="16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 xml:space="preserve">3.4 </w:t>
      </w:r>
      <w:r>
        <w:rPr>
          <w:rFonts w:ascii="Times New Roman" w:cs="Times New Roman" w:eastAsia="Times New Roman" w:hAnsi="Times New Roman"/>
          <w:sz w:val="22"/>
          <w:szCs w:val="22"/>
          <w:u w:val="single" w:color="auto"/>
          <w:color w:val="auto"/>
        </w:rPr>
        <w:t>Titles and Subtitles</w:t>
      </w:r>
      <w:r>
        <w:rPr>
          <w:rFonts w:ascii="Times New Roman" w:cs="Times New Roman" w:eastAsia="Times New Roman" w:hAnsi="Times New Roman"/>
          <w:sz w:val="22"/>
          <w:szCs w:val="22"/>
          <w:color w:val="auto"/>
        </w:rPr>
        <w:t>. The titles and subtitles used in this Agreement are used for convenience only and are not to be considered in construing or interpreting this Agreement.</w:t>
      </w:r>
    </w:p>
    <w:p>
      <w:pPr>
        <w:spacing w:after="0" w:line="145"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 xml:space="preserve">3.5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and other communications given or made pursuant hereto shall be in writing and shall be deemed effectively given upon the earlier to occur of actual receipt or: (a) upon personal delivery to the party to be notified, (b) when sent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24" w:right="339" w:bottom="1440" w:gutter="0" w:footer="0" w:header="0"/>
        </w:sectPr>
      </w:pPr>
    </w:p>
    <w:bookmarkStart w:id="340" w:name="page341"/>
    <w:bookmarkEnd w:id="340"/>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confirmed electronic mail or facsimile if sent during normal business hours of the recipient; if not, then on the next business day,</w:t>
      </w:r>
    </w:p>
    <w:p>
      <w:pPr>
        <w:spacing w:after="0" w:line="26" w:lineRule="exact"/>
        <w:rPr>
          <w:sz w:val="20"/>
          <w:szCs w:val="20"/>
          <w:color w:val="auto"/>
        </w:rPr>
      </w:pPr>
    </w:p>
    <w:p>
      <w:pPr>
        <w:jc w:val="both"/>
        <w:ind w:firstLine="8"/>
        <w:spacing w:after="0" w:line="250" w:lineRule="auto"/>
        <w:tabs>
          <w:tab w:leader="none" w:pos="294"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five (5) days after having been sent by registered or certified mail, return receipt requested, postage prepaid, or (d) one (1) day after deposit with a nationally recognized overnight courier, specifying next day delivery, with written verification of receipt. All communications shall be sent to the respective parties at the addresses set forth on the signature pages attached hereto (or at such other addresses as shall be specified by notice given in accordance with this Section 4.5), and if to Aspect Ventures, LP and its designated affiliates, with a copy (which shall not constitute notice) to Kathi A. Rawnsley, Lowenstein Sandler LLP, 390 Lytton Avenue, Palo Alto, California 94301, and if to Cathay, with a copy (which shall not constitute notice) to Rezwan D. Pavri, Wilson Sonsini Goodrich &amp; Rosati, P.C., 650 Page Mill Road, Palo Alto, CA 94304-1050, and if to Menlo Ventures XIV, L.P., with a copy (which shall not constitute notice) to Gregory Chin, Mintz, Levin, Cohn, Ferris, Glovsky and Popeo, P.C., 44 Montgomery Street, 36</w:t>
      </w:r>
      <w:r>
        <w:rPr>
          <w:rFonts w:ascii="Times New Roman" w:cs="Times New Roman" w:eastAsia="Times New Roman" w:hAnsi="Times New Roman"/>
          <w:sz w:val="11"/>
          <w:szCs w:val="11"/>
          <w:color w:val="auto"/>
        </w:rPr>
        <w:t>th</w:t>
      </w:r>
      <w:r>
        <w:rPr>
          <w:rFonts w:ascii="Times New Roman" w:cs="Times New Roman" w:eastAsia="Times New Roman" w:hAnsi="Times New Roman"/>
          <w:sz w:val="20"/>
          <w:szCs w:val="20"/>
          <w:color w:val="auto"/>
        </w:rPr>
        <w:t xml:space="preserve"> Floor, San Francisco, CA 94104 and if to Crosslink Crossover Fund VII, L.P., with a copy (which shall not constitute notice) to Scott M. Iyama, Orrick Harrington &amp; Sutcliffe, 1000 Marsh Road, Menlo Park, CA 94025, and if to SCGE Fund, L.P., or Sequoia Capital Global Growth Fund III – U.S./India Annex Fund, L.P., with a copy (which shall not constitute notice) to Alese Bagdol, Goodwin Procter LLP, 1900 N St. N.W., Washington, D.C. 20036 and if to SoftBank, with a copy (which shall not constitute notice) to Saad Khanani, Latham &amp; Watkins LLP, 140 Scott Drive, Menlo Park, CA 94025.</w:t>
      </w:r>
    </w:p>
    <w:p>
      <w:pPr>
        <w:spacing w:after="0" w:line="156"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 xml:space="preserve">3.6 </w:t>
      </w: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If any action at law or in equity is necessary to enforce or interpret the terms of this Agreement, the prevailing party shall be entitled to reasonable attorneys’ fees, costs and necessary disbursements in addition to any other relief to which such party may be entitled.</w:t>
      </w:r>
    </w:p>
    <w:p>
      <w:pPr>
        <w:spacing w:after="0" w:line="160" w:lineRule="exact"/>
        <w:rPr>
          <w:sz w:val="20"/>
          <w:szCs w:val="20"/>
          <w:color w:val="auto"/>
        </w:rPr>
      </w:pPr>
    </w:p>
    <w:p>
      <w:pPr>
        <w:jc w:val="both"/>
        <w:ind w:firstLine="1296"/>
        <w:spacing w:after="0" w:line="228" w:lineRule="auto"/>
        <w:rPr>
          <w:sz w:val="20"/>
          <w:szCs w:val="20"/>
          <w:color w:val="auto"/>
        </w:rPr>
      </w:pPr>
      <w:r>
        <w:rPr>
          <w:rFonts w:ascii="Times New Roman" w:cs="Times New Roman" w:eastAsia="Times New Roman" w:hAnsi="Times New Roman"/>
          <w:sz w:val="22"/>
          <w:szCs w:val="22"/>
          <w:color w:val="auto"/>
        </w:rPr>
        <w:t xml:space="preserve">3.7 </w:t>
      </w:r>
      <w:r>
        <w:rPr>
          <w:rFonts w:ascii="Times New Roman" w:cs="Times New Roman" w:eastAsia="Times New Roman" w:hAnsi="Times New Roman"/>
          <w:sz w:val="22"/>
          <w:szCs w:val="22"/>
          <w:u w:val="single" w:color="auto"/>
          <w:color w:val="auto"/>
        </w:rPr>
        <w:t>Entire Agreement; Amendments and Waivers</w:t>
      </w:r>
      <w:r>
        <w:rPr>
          <w:rFonts w:ascii="Times New Roman" w:cs="Times New Roman" w:eastAsia="Times New Roman" w:hAnsi="Times New Roman"/>
          <w:sz w:val="22"/>
          <w:szCs w:val="22"/>
          <w:color w:val="auto"/>
        </w:rPr>
        <w:t xml:space="preserve">. This Agreement (including the Exhibits hereto, if any) constitutes the full and entire understanding and agreement among the parties with regard to the subjects hereof and thereof. Any term of this Agreement (other than Section 2.1, Section 2.2, Section 2.3, Section 2.4, Section 3.13 and Section 3.15) may be amended and the observance of any term of this Agreement may be waived (either generally or in a particular instance and either retroactively or prospectively) only with the written consent of the Company and the Investors holding a majority of the Registrable Securities then outstanding;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in the event that such amendment or waiver adversely affects the obligations or rights of the Key Holders in a different manner than the other Holders, such amendment or waiver shall also require the written consent of the holders of a majority of the then outstanding shares of Common Stock held by the Key Holders then providing services to the Company as an officer, employee, or consultant;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in the event that such amendment or waiver adversely affects the obligations or rights of a particular Investor in a different manner than the other Investors (including, for the avoidance of doubt, any amendment or waiver which treats (x) Investors holding one class or series of stock differently than Investors holding a different class or series of stock, or (y) an Investor or a group of Investors holding one class or series of stock differently from other Investors holding the same class or series of stock) such amendment or waiver shall also require the written consent of such Investor. The provisions of Section 2.1, Section 2.2, Section 2.3 and this sentence of this Section 3.7 may be amended or waived (either generally or in a particular instance and either retroactively or prospectively) only with the written consent of the Company and the Major Investors holding a majority of the Registrable Securities that are held by all of the Major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24" w:right="339" w:bottom="1440" w:gutter="0" w:footer="0" w:header="0"/>
        </w:sectPr>
      </w:pPr>
    </w:p>
    <w:bookmarkStart w:id="341" w:name="page342"/>
    <w:bookmarkEnd w:id="341"/>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1296"/>
        <w:spacing w:after="0" w:line="243" w:lineRule="auto"/>
        <w:rPr>
          <w:sz w:val="20"/>
          <w:szCs w:val="20"/>
          <w:color w:val="auto"/>
        </w:rPr>
      </w:pPr>
      <w:r>
        <w:rPr>
          <w:rFonts w:ascii="Times New Roman" w:cs="Times New Roman" w:eastAsia="Times New Roman" w:hAnsi="Times New Roman"/>
          <w:sz w:val="22"/>
          <w:szCs w:val="22"/>
          <w:color w:val="auto"/>
        </w:rPr>
        <w:t>The provisions of Section 2.4 and this sentence of this Section 3.7 may be amended or waived (either generally or in a particular instance and either retroactively or prospectively) only with the written consent of the Company and the Major Investors holding a majority of the Registrable Securities that are held by all of the Major Investors, which such majority must include (i) DST and (ii) at least one of (y) General Atlantic (CH), L.P. (“</w:t>
      </w:r>
      <w:r>
        <w:rPr>
          <w:rFonts w:ascii="Times New Roman" w:cs="Times New Roman" w:eastAsia="Times New Roman" w:hAnsi="Times New Roman"/>
          <w:sz w:val="22"/>
          <w:szCs w:val="22"/>
          <w:u w:val="single" w:color="auto"/>
          <w:color w:val="auto"/>
        </w:rPr>
        <w:t>General Atlantic</w:t>
      </w:r>
      <w:r>
        <w:rPr>
          <w:rFonts w:ascii="Times New Roman" w:cs="Times New Roman" w:eastAsia="Times New Roman" w:hAnsi="Times New Roman"/>
          <w:sz w:val="22"/>
          <w:szCs w:val="22"/>
          <w:color w:val="auto"/>
        </w:rPr>
        <w:t>”) or (z) Coatue US 26 LLC and Coatue Kona III LP (together, “</w:t>
      </w:r>
      <w:r>
        <w:rPr>
          <w:rFonts w:ascii="Times New Roman" w:cs="Times New Roman" w:eastAsia="Times New Roman" w:hAnsi="Times New Roman"/>
          <w:sz w:val="22"/>
          <w:szCs w:val="22"/>
          <w:u w:val="single" w:color="auto"/>
          <w:color w:val="auto"/>
        </w:rPr>
        <w:t>Coatue</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firstLine="1296"/>
        <w:spacing w:after="0" w:line="241" w:lineRule="auto"/>
        <w:rPr>
          <w:sz w:val="20"/>
          <w:szCs w:val="20"/>
          <w:color w:val="auto"/>
        </w:rPr>
      </w:pPr>
      <w:r>
        <w:rPr>
          <w:rFonts w:ascii="Times New Roman" w:cs="Times New Roman" w:eastAsia="Times New Roman" w:hAnsi="Times New Roman"/>
          <w:sz w:val="22"/>
          <w:szCs w:val="22"/>
          <w:color w:val="auto"/>
        </w:rPr>
        <w:t>Any amendment or waiver effected in accordance with this paragraph shall be binding upon each holder of any Registrable Securities, each future holder of all such Registrable Securities and the Company. Notwithstanding the foregoing, this Agreement may not be amended or terminated and the observance of any term hereof may not be waived with respect to any Major Investor without the written consent of such Major Investor unless such amendment, termination, or waiver applies to all Major Investors in the same fashion; provided, however, that the definition of “Major Investor” in Section 2.1 may not be amended or waived in any way to exclude any then-existing Major Investor without the written consent of such Major Investor.</w:t>
      </w:r>
    </w:p>
    <w:p>
      <w:pPr>
        <w:spacing w:after="0" w:line="177"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 xml:space="preserve">3.8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Whenever possible, each provision of this Agreement shall be interpreted in such manner as to be effective and valid under applicable law, but if any provision of this Agreement shall be held to be prohibited by or invalid under applicable law, such provision shall be ineffective only to the extent of such prohibition or invalidity, without invalidating the remainder of such provision or the remaining provisions of this Agreement.</w:t>
      </w:r>
    </w:p>
    <w:p>
      <w:pPr>
        <w:spacing w:after="0" w:line="186"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 xml:space="preserve">3.9 </w:t>
      </w:r>
      <w:r>
        <w:rPr>
          <w:rFonts w:ascii="Times New Roman" w:cs="Times New Roman" w:eastAsia="Times New Roman" w:hAnsi="Times New Roman"/>
          <w:sz w:val="22"/>
          <w:szCs w:val="22"/>
          <w:u w:val="single" w:color="auto"/>
          <w:color w:val="auto"/>
        </w:rPr>
        <w:t>Aggregation of Stock</w:t>
      </w:r>
      <w:r>
        <w:rPr>
          <w:rFonts w:ascii="Times New Roman" w:cs="Times New Roman" w:eastAsia="Times New Roman" w:hAnsi="Times New Roman"/>
          <w:sz w:val="22"/>
          <w:szCs w:val="22"/>
          <w:color w:val="auto"/>
        </w:rPr>
        <w:t>. All shares of Registrable Securities held or acquired by Affiliates (including affiliated venture capital or similar investment funds or venture capital or similar investment funds under common investment management) or persons shall be aggregated together for the purpose of determining the availability of any rights under this Agreement.</w:t>
      </w:r>
    </w:p>
    <w:p>
      <w:pPr>
        <w:spacing w:after="0" w:line="173"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3.10 </w:t>
      </w:r>
      <w:r>
        <w:rPr>
          <w:rFonts w:ascii="Times New Roman" w:cs="Times New Roman" w:eastAsia="Times New Roman" w:hAnsi="Times New Roman"/>
          <w:sz w:val="22"/>
          <w:szCs w:val="22"/>
          <w:u w:val="single" w:color="auto"/>
          <w:color w:val="auto"/>
        </w:rPr>
        <w:t>Measurement of Voting Power</w:t>
      </w:r>
      <w:r>
        <w:rPr>
          <w:rFonts w:ascii="Times New Roman" w:cs="Times New Roman" w:eastAsia="Times New Roman" w:hAnsi="Times New Roman"/>
          <w:sz w:val="22"/>
          <w:szCs w:val="22"/>
          <w:color w:val="auto"/>
        </w:rPr>
        <w:t>. Any references in the Agreement to a majority or other proportion of stock or shares, including with respect to the percentage of stock or shares required to approve a matter, shall refer to such majority or other proportion of the voting power of such stock or shares, based on the votes that the holders of such outstanding stock or shares are entitled to cast as of the record date for voting on (or taking action by consent with respect to) such matter.</w:t>
      </w:r>
    </w:p>
    <w:p>
      <w:pPr>
        <w:spacing w:after="0" w:line="156"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3.11 </w:t>
      </w:r>
      <w:r>
        <w:rPr>
          <w:rFonts w:ascii="Times New Roman" w:cs="Times New Roman" w:eastAsia="Times New Roman" w:hAnsi="Times New Roman"/>
          <w:sz w:val="22"/>
          <w:szCs w:val="22"/>
          <w:u w:val="single" w:color="auto"/>
          <w:color w:val="auto"/>
        </w:rPr>
        <w:t>Personal Information</w:t>
      </w:r>
      <w:r>
        <w:rPr>
          <w:rFonts w:ascii="Times New Roman" w:cs="Times New Roman" w:eastAsia="Times New Roman" w:hAnsi="Times New Roman"/>
          <w:sz w:val="22"/>
          <w:szCs w:val="22"/>
          <w:color w:val="auto"/>
        </w:rPr>
        <w:t>. The Company hereby covenants and agrees that it will use commercially reasonable efforts to ensure that personally identifiable information of any individuals, including, without limitation, any customers, prospective customers, employees and/or other third parties is not shared with or otherwise made available to the Investors.</w:t>
      </w:r>
    </w:p>
    <w:p>
      <w:pPr>
        <w:spacing w:after="0" w:line="17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3.12 </w:t>
      </w:r>
      <w:r>
        <w:rPr>
          <w:rFonts w:ascii="Times New Roman" w:cs="Times New Roman" w:eastAsia="Times New Roman" w:hAnsi="Times New Roman"/>
          <w:sz w:val="22"/>
          <w:szCs w:val="22"/>
          <w:u w:val="single" w:color="auto"/>
          <w:color w:val="auto"/>
        </w:rPr>
        <w:t>Public Announcements</w:t>
      </w:r>
      <w:r>
        <w:rPr>
          <w:rFonts w:ascii="Times New Roman" w:cs="Times New Roman" w:eastAsia="Times New Roman" w:hAnsi="Times New Roman"/>
          <w:sz w:val="22"/>
          <w:szCs w:val="22"/>
          <w:color w:val="auto"/>
        </w:rPr>
        <w:t>. No party hereto or any party’s representatives will issue any press release or make any public announcement relating to the subject matter or terms of this Agreement or any of the Ancillary Agreements (as defined in the Series G Preferred Stock Purchase Agreement, dated as of the date hereof) without the prior written consent of DST (with respect to the Company and the Investors other than DST), Coatue (with respect to the Company and the Investors other than Coatue), General Atlantic (with respect to the Company and the Investors other than General Atlantic), AI Bells Holdings LLC (“</w:t>
      </w:r>
      <w:r>
        <w:rPr>
          <w:rFonts w:ascii="Times New Roman" w:cs="Times New Roman" w:eastAsia="Times New Roman" w:hAnsi="Times New Roman"/>
          <w:sz w:val="22"/>
          <w:szCs w:val="22"/>
          <w:u w:val="single" w:color="auto"/>
          <w:color w:val="auto"/>
        </w:rPr>
        <w:t>Access</w:t>
      </w:r>
      <w:r>
        <w:rPr>
          <w:rFonts w:ascii="Times New Roman" w:cs="Times New Roman" w:eastAsia="Times New Roman" w:hAnsi="Times New Roman"/>
          <w:sz w:val="22"/>
          <w:szCs w:val="22"/>
          <w:color w:val="auto"/>
        </w:rPr>
        <w:t>”) (with respect to the Company and the Investors other than Access), SCGE (with respect to the Company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24" w:right="339" w:bottom="1440" w:gutter="0" w:footer="0" w:header="0"/>
        </w:sectPr>
      </w:pPr>
    </w:p>
    <w:bookmarkStart w:id="342" w:name="page343"/>
    <w:bookmarkEnd w:id="342"/>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the Investors other than SCGE), SCGGF (with respect to the Company and the Investors other than SCGGF), </w:t>
      </w:r>
      <w:r>
        <w:rPr>
          <w:rFonts w:ascii="Times New Roman" w:cs="Times New Roman" w:eastAsia="Times New Roman" w:hAnsi="Times New Roman"/>
          <w:sz w:val="22"/>
          <w:szCs w:val="22"/>
          <w:u w:val="single" w:color="auto"/>
          <w:color w:val="auto"/>
        </w:rPr>
        <w:t>SoftBank (with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respect to the Company and the Investors other than</w:t>
      </w:r>
      <w:r>
        <w:rPr>
          <w:rFonts w:ascii="Times New Roman" w:cs="Times New Roman" w:eastAsia="Times New Roman" w:hAnsi="Times New Roman"/>
          <w:sz w:val="22"/>
          <w:szCs w:val="22"/>
          <w:color w:val="auto"/>
        </w:rPr>
        <w:t xml:space="preserve"> SoftBank) or the Company (with respect to the Investors); provided, however, that any party may make any public disclosure it believes in good faith and after consultation with counsel is required by applicable law (including, without limitation, applicable stock exchange rules or securities laws) (in which case such party will use its best efforts to advise the other parties hereto prior to making the disclosure); provided, further, that the Investors may make disclosures as permitted under Section 2.10 of this Agreement. No party hereto or any party’s representatives shall use the name, trade names, trademarks, service marks or logos of DST, Coatue, General Atlantic, Access, SCGE, SCGGF, Softbank or any of their respective Affiliates or team members without the prior written consent of the affected investor. So long as each of DST, Coatue, General Atlantic, Access, SCGE, SCGGF and Softbank is party to this Agreement, this Section 3.13 shall not be amended and the observance of any term of this Section 3.13 shall not be waived in respect of such Investor without the written consent of such Investor.</w:t>
      </w:r>
    </w:p>
    <w:p>
      <w:pPr>
        <w:spacing w:after="0" w:line="189"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3.13 </w:t>
      </w:r>
      <w:r>
        <w:rPr>
          <w:rFonts w:ascii="Times New Roman" w:cs="Times New Roman" w:eastAsia="Times New Roman" w:hAnsi="Times New Roman"/>
          <w:sz w:val="22"/>
          <w:szCs w:val="22"/>
          <w:u w:val="single" w:color="auto"/>
          <w:color w:val="auto"/>
        </w:rPr>
        <w:t>Sanctions Compliance</w:t>
      </w:r>
      <w:r>
        <w:rPr>
          <w:rFonts w:ascii="Times New Roman" w:cs="Times New Roman" w:eastAsia="Times New Roman" w:hAnsi="Times New Roman"/>
          <w:sz w:val="22"/>
          <w:szCs w:val="22"/>
          <w:color w:val="auto"/>
        </w:rPr>
        <w:t>. Each Investor hereby represents that it is not designated on (nor owned at least fifty percent (50%) by one or more parties themselves designated on) the Specially Designated Nationals (“</w:t>
      </w:r>
      <w:r>
        <w:rPr>
          <w:rFonts w:ascii="Times New Roman" w:cs="Times New Roman" w:eastAsia="Times New Roman" w:hAnsi="Times New Roman"/>
          <w:sz w:val="22"/>
          <w:szCs w:val="22"/>
          <w:u w:val="single" w:color="auto"/>
          <w:color w:val="auto"/>
        </w:rPr>
        <w:t>SDN</w:t>
      </w:r>
      <w:r>
        <w:rPr>
          <w:rFonts w:ascii="Times New Roman" w:cs="Times New Roman" w:eastAsia="Times New Roman" w:hAnsi="Times New Roman"/>
          <w:sz w:val="22"/>
          <w:szCs w:val="22"/>
          <w:color w:val="auto"/>
        </w:rPr>
        <w:t>”) List maintained and administered by OFAC. Each Investor further covenants and agrees that, should it ever become designated on (or owned at least fifty percent (50%) by one or more parties themselves designated on) the SDN List, the Company may take lawful actions to suspend such Investor’s voting privileges, halt any payment of dividend or other distribution to such Investor, and otherwise cease any and all transactions with such Investor, as required by applicable laws and regulations.</w:t>
      </w:r>
    </w:p>
    <w:p>
      <w:pPr>
        <w:spacing w:after="0" w:line="181"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3.14 </w:t>
      </w:r>
      <w:r>
        <w:rPr>
          <w:rFonts w:ascii="Times New Roman" w:cs="Times New Roman" w:eastAsia="Times New Roman" w:hAnsi="Times New Roman"/>
          <w:sz w:val="22"/>
          <w:szCs w:val="22"/>
          <w:u w:val="single" w:color="auto"/>
          <w:color w:val="auto"/>
        </w:rPr>
        <w:t>Coatue</w:t>
      </w:r>
      <w:r>
        <w:rPr>
          <w:rFonts w:ascii="Times New Roman" w:cs="Times New Roman" w:eastAsia="Times New Roman" w:hAnsi="Times New Roman"/>
          <w:sz w:val="22"/>
          <w:szCs w:val="22"/>
          <w:color w:val="auto"/>
        </w:rPr>
        <w:t>. The Company understands and acknowledges that in the regular course of Coatue’s business, Coatue may invest in companies that have issued securities that are publicly traded (each, a “</w:t>
      </w:r>
      <w:r>
        <w:rPr>
          <w:rFonts w:ascii="Times New Roman" w:cs="Times New Roman" w:eastAsia="Times New Roman" w:hAnsi="Times New Roman"/>
          <w:sz w:val="22"/>
          <w:szCs w:val="22"/>
          <w:u w:val="single" w:color="auto"/>
          <w:color w:val="auto"/>
        </w:rPr>
        <w:t>Public Company</w:t>
      </w:r>
      <w:r>
        <w:rPr>
          <w:rFonts w:ascii="Times New Roman" w:cs="Times New Roman" w:eastAsia="Times New Roman" w:hAnsi="Times New Roman"/>
          <w:sz w:val="22"/>
          <w:szCs w:val="22"/>
          <w:color w:val="auto"/>
        </w:rPr>
        <w:t>”). Accordingly, the Company covenants and agrees that before knowingly providing material non-public information about a Public Company (“</w:t>
      </w:r>
      <w:r>
        <w:rPr>
          <w:rFonts w:ascii="Times New Roman" w:cs="Times New Roman" w:eastAsia="Times New Roman" w:hAnsi="Times New Roman"/>
          <w:sz w:val="22"/>
          <w:szCs w:val="22"/>
          <w:u w:val="single" w:color="auto"/>
          <w:color w:val="auto"/>
        </w:rPr>
        <w:t>Public Company Information</w:t>
      </w:r>
      <w:r>
        <w:rPr>
          <w:rFonts w:ascii="Times New Roman" w:cs="Times New Roman" w:eastAsia="Times New Roman" w:hAnsi="Times New Roman"/>
          <w:sz w:val="22"/>
          <w:szCs w:val="22"/>
          <w:color w:val="auto"/>
        </w:rPr>
        <w:t>”) to Coatue, the Company will provide prior written notice to Coatue Chief Legal officer and Chief Compliance Officer at compliance@coatue.com describing such information in reasonable detail. The Company shall not knowingly disclose Public Company Information to Coatue without written authorization from the applicable compliance personnel listed above, provided, however, that, the Company will be permitted to disclose agreements entered into with Public Companies in the ordinary course of business, such as routine customer, supplier, advertising and publishing agreements without such written authorization. So long as Coatue is a party to this Agreement, this Section 3.15 shall not be amended and the observance of any term of this Section 3.15 shall not be waived without the written consent of Coatue and the Company.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left blank</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24" w:right="339" w:bottom="1440" w:gutter="0" w:footer="0" w:header="0"/>
        </w:sectPr>
      </w:pPr>
    </w:p>
    <w:bookmarkStart w:id="343" w:name="page344"/>
    <w:bookmarkEnd w:id="343"/>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hereto have executed this Agreement as of the date first written above.</w:t>
      </w:r>
    </w:p>
    <w:p>
      <w:pPr>
        <w:spacing w:after="0" w:line="25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CHIME FINANCIAL, INC.</w:t>
      </w:r>
    </w:p>
    <w:p>
      <w:pPr>
        <w:spacing w:after="0" w:line="200" w:lineRule="exact"/>
        <w:rPr>
          <w:sz w:val="20"/>
          <w:szCs w:val="20"/>
          <w:color w:val="auto"/>
        </w:rPr>
      </w:pPr>
    </w:p>
    <w:p>
      <w:pPr>
        <w:spacing w:after="0" w:line="253"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22"/>
          <w:szCs w:val="22"/>
          <w:color w:val="auto"/>
        </w:rPr>
        <w:t>By:</w:t>
        <w:tab/>
        <w:t>/s/ Matthew Newcomb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19685</wp:posOffset>
            </wp:positionV>
            <wp:extent cx="3497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21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Matthew Newcomb</w:t>
      </w:r>
    </w:p>
    <w:p>
      <w:pPr>
        <w:spacing w:after="0" w:line="23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220"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Address: 77 Maiden Lane, 6th Floor</w:t>
      </w:r>
    </w:p>
    <w:p>
      <w:pPr>
        <w:ind w:left="4880"/>
        <w:spacing w:after="0"/>
        <w:rPr>
          <w:sz w:val="20"/>
          <w:szCs w:val="20"/>
          <w:color w:val="auto"/>
        </w:rPr>
      </w:pPr>
      <w:r>
        <w:rPr>
          <w:rFonts w:ascii="Times New Roman" w:cs="Times New Roman" w:eastAsia="Times New Roman" w:hAnsi="Times New Roman"/>
          <w:sz w:val="22"/>
          <w:szCs w:val="22"/>
          <w:color w:val="auto"/>
        </w:rPr>
        <w:t>San Francisco, CA 94108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SIGNATURE PAGE TO</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 FOR CHIME FINANCIAL INC.</w:t>
      </w:r>
    </w:p>
    <w:p>
      <w:pPr>
        <w:sectPr>
          <w:pgSz w:w="11900" w:h="16838" w:orient="portrait"/>
          <w:cols w:equalWidth="0" w:num="1">
            <w:col w:w="9800"/>
          </w:cols>
          <w:pgMar w:left="1440" w:top="124" w:right="659" w:bottom="1440" w:gutter="0" w:footer="0" w:header="0"/>
        </w:sectPr>
      </w:pPr>
    </w:p>
    <w:bookmarkStart w:id="344" w:name="page345"/>
    <w:bookmarkEnd w:id="344"/>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hereto have executed this Agreement as of the date first written above.</w:t>
      </w:r>
    </w:p>
    <w:p>
      <w:pPr>
        <w:spacing w:after="0" w:line="25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INVESTOR:</w:t>
      </w: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SCGE FUND, L.P.</w:t>
      </w:r>
    </w:p>
    <w:p>
      <w:pPr>
        <w:spacing w:after="0" w:line="200" w:lineRule="exact"/>
        <w:rPr>
          <w:sz w:val="20"/>
          <w:szCs w:val="20"/>
          <w:color w:val="auto"/>
        </w:rPr>
      </w:pPr>
    </w:p>
    <w:p>
      <w:pPr>
        <w:spacing w:after="0" w:line="253"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22"/>
          <w:szCs w:val="22"/>
          <w:color w:val="auto"/>
        </w:rPr>
        <w:t>By:</w:t>
        <w:tab/>
        <w:t>/s/ Kimberly Summe</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Kimberly Summe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-158750</wp:posOffset>
            </wp:positionV>
            <wp:extent cx="3497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ind w:left="4060"/>
        <w:spacing w:after="0"/>
        <w:rPr>
          <w:sz w:val="20"/>
          <w:szCs w:val="20"/>
          <w:color w:val="auto"/>
        </w:rPr>
      </w:pPr>
      <w:r>
        <w:rPr>
          <w:rFonts w:ascii="Times New Roman" w:cs="Times New Roman" w:eastAsia="Times New Roman" w:hAnsi="Times New Roman"/>
          <w:sz w:val="22"/>
          <w:szCs w:val="22"/>
          <w:color w:val="auto"/>
        </w:rPr>
        <w:t>Title: Chief Operating Officer and GC</w:t>
      </w:r>
    </w:p>
    <w:p>
      <w:pPr>
        <w:spacing w:after="0" w:line="200" w:lineRule="exact"/>
        <w:rPr>
          <w:sz w:val="20"/>
          <w:szCs w:val="20"/>
          <w:color w:val="auto"/>
        </w:rPr>
      </w:pPr>
    </w:p>
    <w:p>
      <w:pPr>
        <w:spacing w:after="0" w:line="23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Address: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SIGNATURE PAGE TO</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 FOR CHIME FINANCIAL INC.</w:t>
      </w:r>
    </w:p>
    <w:p>
      <w:pPr>
        <w:sectPr>
          <w:pgSz w:w="11900" w:h="16838" w:orient="portrait"/>
          <w:cols w:equalWidth="0" w:num="1">
            <w:col w:w="9800"/>
          </w:cols>
          <w:pgMar w:left="1440" w:top="124" w:right="659" w:bottom="1440" w:gutter="0" w:footer="0" w:header="0"/>
        </w:sectPr>
      </w:pPr>
    </w:p>
    <w:bookmarkStart w:id="345" w:name="page346"/>
    <w:bookmarkEnd w:id="345"/>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hereto have executed this Agreement as of the date first written above.</w:t>
      </w:r>
    </w:p>
    <w:p>
      <w:pPr>
        <w:spacing w:after="0" w:line="25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INVESTOR:</w:t>
      </w:r>
    </w:p>
    <w:p>
      <w:pPr>
        <w:spacing w:after="0" w:line="233" w:lineRule="exact"/>
        <w:rPr>
          <w:sz w:val="20"/>
          <w:szCs w:val="20"/>
          <w:color w:val="auto"/>
        </w:rPr>
      </w:pPr>
    </w:p>
    <w:p>
      <w:pPr>
        <w:ind w:left="4060" w:right="340"/>
        <w:spacing w:after="0" w:line="259" w:lineRule="auto"/>
        <w:rPr>
          <w:sz w:val="20"/>
          <w:szCs w:val="20"/>
          <w:color w:val="auto"/>
        </w:rPr>
      </w:pPr>
      <w:r>
        <w:rPr>
          <w:rFonts w:ascii="Times New Roman" w:cs="Times New Roman" w:eastAsia="Times New Roman" w:hAnsi="Times New Roman"/>
          <w:sz w:val="21"/>
          <w:szCs w:val="21"/>
          <w:b w:val="1"/>
          <w:bCs w:val="1"/>
          <w:color w:val="auto"/>
        </w:rPr>
        <w:t>SEQUOIA CAPITAL GLOBAL GROWTH FUND III – U.S./INDIA ANNEX FUND, L.P., for itself and as nominee</w:t>
      </w:r>
    </w:p>
    <w:p>
      <w:pPr>
        <w:spacing w:after="0" w:line="18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1"/>
          <w:szCs w:val="21"/>
          <w:color w:val="auto"/>
        </w:rPr>
        <w:t>By: SCGGF III – U.S./INDIA MANAGEMENT, L.P., a Cayman</w:t>
      </w:r>
    </w:p>
    <w:p>
      <w:pPr>
        <w:ind w:left="4460"/>
        <w:spacing w:after="0"/>
        <w:rPr>
          <w:sz w:val="20"/>
          <w:szCs w:val="20"/>
          <w:color w:val="auto"/>
        </w:rPr>
      </w:pPr>
      <w:r>
        <w:rPr>
          <w:rFonts w:ascii="Times New Roman" w:cs="Times New Roman" w:eastAsia="Times New Roman" w:hAnsi="Times New Roman"/>
          <w:sz w:val="22"/>
          <w:szCs w:val="22"/>
          <w:color w:val="auto"/>
        </w:rPr>
        <w:t>Islands exempted limited partnership</w:t>
      </w:r>
    </w:p>
    <w:p>
      <w:pPr>
        <w:spacing w:after="0" w:line="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Title: General Partner</w:t>
      </w:r>
    </w:p>
    <w:p>
      <w:pPr>
        <w:spacing w:after="0" w:line="22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1"/>
          <w:szCs w:val="21"/>
          <w:color w:val="auto"/>
        </w:rPr>
        <w:t>By: SC US (TTGP), LTD., a Cayman Islands exempted company</w:t>
      </w:r>
    </w:p>
    <w:p>
      <w:pPr>
        <w:spacing w:after="0" w:line="4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Title: General Partner</w:t>
      </w:r>
    </w:p>
    <w:p>
      <w:pPr>
        <w:spacing w:after="0" w:line="200" w:lineRule="exact"/>
        <w:rPr>
          <w:sz w:val="20"/>
          <w:szCs w:val="20"/>
          <w:color w:val="auto"/>
        </w:rPr>
      </w:pPr>
    </w:p>
    <w:p>
      <w:pPr>
        <w:spacing w:after="0" w:line="237"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22"/>
          <w:szCs w:val="22"/>
          <w:color w:val="auto"/>
        </w:rPr>
        <w:t>By:</w:t>
        <w:tab/>
        <w:t>/s/ Douglas M. Leone</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Douglas M. Leone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-158750</wp:posOffset>
            </wp:positionV>
            <wp:extent cx="3497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ind w:left="406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3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Address: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SIGNATURE PAGE TO</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 FOR CHIME FINANCIAL INC.</w:t>
      </w:r>
    </w:p>
    <w:p>
      <w:pPr>
        <w:sectPr>
          <w:pgSz w:w="11900" w:h="16838" w:orient="portrait"/>
          <w:cols w:equalWidth="0" w:num="1">
            <w:col w:w="9800"/>
          </w:cols>
          <w:pgMar w:left="1440" w:top="124" w:right="659" w:bottom="1440" w:gutter="0" w:footer="0" w:header="0"/>
        </w:sectPr>
      </w:pPr>
    </w:p>
    <w:bookmarkStart w:id="346" w:name="page347"/>
    <w:bookmarkEnd w:id="346"/>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hereto have executed this Agreement as of the date first above written.</w:t>
      </w:r>
    </w:p>
    <w:p>
      <w:pPr>
        <w:spacing w:after="0" w:line="25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INVESTOR:</w:t>
      </w:r>
    </w:p>
    <w:p>
      <w:pPr>
        <w:spacing w:after="0" w:line="23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ACREW SPV, L.P.</w:t>
      </w:r>
    </w:p>
    <w:p>
      <w:pPr>
        <w:spacing w:after="0" w:line="3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By: Acrew Diversify Capital GenPar, L.P. its general partner</w:t>
      </w:r>
    </w:p>
    <w:p>
      <w:pPr>
        <w:spacing w:after="0" w:line="1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By: Acrew Capital MGP, LLC its general partner</w:t>
      </w:r>
    </w:p>
    <w:p>
      <w:pPr>
        <w:spacing w:after="0" w:line="200" w:lineRule="exact"/>
        <w:rPr>
          <w:sz w:val="20"/>
          <w:szCs w:val="20"/>
          <w:color w:val="auto"/>
        </w:rPr>
      </w:pPr>
    </w:p>
    <w:p>
      <w:pPr>
        <w:spacing w:after="0" w:line="237"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22"/>
          <w:szCs w:val="22"/>
          <w:color w:val="auto"/>
        </w:rPr>
        <w:t>By:</w:t>
        <w:tab/>
        <w:t>/s/ Theresia Gouw</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Theresia Gouw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-158750</wp:posOffset>
            </wp:positionV>
            <wp:extent cx="3497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ind w:left="4060"/>
        <w:spacing w:after="0"/>
        <w:rPr>
          <w:sz w:val="20"/>
          <w:szCs w:val="20"/>
          <w:color w:val="auto"/>
        </w:rPr>
      </w:pPr>
      <w:r>
        <w:rPr>
          <w:rFonts w:ascii="Times New Roman" w:cs="Times New Roman" w:eastAsia="Times New Roman" w:hAnsi="Times New Roman"/>
          <w:sz w:val="22"/>
          <w:szCs w:val="22"/>
          <w:color w:val="auto"/>
        </w:rPr>
        <w:t>Title: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SIGNATURE PAGE TO</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 FOR CHIME FINANCIAL INC.</w:t>
      </w:r>
    </w:p>
    <w:p>
      <w:pPr>
        <w:sectPr>
          <w:pgSz w:w="11900" w:h="16838" w:orient="portrait"/>
          <w:cols w:equalWidth="0" w:num="1">
            <w:col w:w="9800"/>
          </w:cols>
          <w:pgMar w:left="1440" w:top="124" w:right="659" w:bottom="1440" w:gutter="0" w:footer="0" w:header="0"/>
        </w:sectPr>
      </w:pPr>
    </w:p>
    <w:bookmarkStart w:id="347" w:name="page348"/>
    <w:bookmarkEnd w:id="347"/>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hereto have executed this Agreement as of the date first above written.</w:t>
      </w:r>
    </w:p>
    <w:p>
      <w:pPr>
        <w:spacing w:after="0" w:line="25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INVESTOR:</w:t>
      </w:r>
    </w:p>
    <w:p>
      <w:pPr>
        <w:spacing w:after="0" w:line="23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ACREW DIVERSIFY CAPITAL FUND, L.P.</w:t>
      </w:r>
    </w:p>
    <w:p>
      <w:pPr>
        <w:spacing w:after="0" w:line="3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By: Acrew Diversify Capital GenPar, L.P. its general partner</w:t>
      </w:r>
    </w:p>
    <w:p>
      <w:pPr>
        <w:spacing w:after="0" w:line="1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By: Acrew Capital MGP, LLC its general partner</w:t>
      </w:r>
    </w:p>
    <w:p>
      <w:pPr>
        <w:spacing w:after="0" w:line="200" w:lineRule="exact"/>
        <w:rPr>
          <w:sz w:val="20"/>
          <w:szCs w:val="20"/>
          <w:color w:val="auto"/>
        </w:rPr>
      </w:pPr>
    </w:p>
    <w:p>
      <w:pPr>
        <w:spacing w:after="0" w:line="237"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22"/>
          <w:szCs w:val="22"/>
          <w:color w:val="auto"/>
        </w:rPr>
        <w:t>By:</w:t>
        <w:tab/>
        <w:t>/s/ Theresia Gouw</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Theresia Gouw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-158750</wp:posOffset>
            </wp:positionV>
            <wp:extent cx="3497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ind w:left="4060"/>
        <w:spacing w:after="0"/>
        <w:rPr>
          <w:sz w:val="20"/>
          <w:szCs w:val="20"/>
          <w:color w:val="auto"/>
        </w:rPr>
      </w:pPr>
      <w:r>
        <w:rPr>
          <w:rFonts w:ascii="Times New Roman" w:cs="Times New Roman" w:eastAsia="Times New Roman" w:hAnsi="Times New Roman"/>
          <w:sz w:val="22"/>
          <w:szCs w:val="22"/>
          <w:color w:val="auto"/>
        </w:rPr>
        <w:t>Title: Member</w:t>
      </w:r>
    </w:p>
    <w:p>
      <w:pPr>
        <w:spacing w:after="0" w:line="200" w:lineRule="exact"/>
        <w:rPr>
          <w:sz w:val="20"/>
          <w:szCs w:val="20"/>
          <w:color w:val="auto"/>
        </w:rPr>
      </w:pPr>
    </w:p>
    <w:p>
      <w:pPr>
        <w:spacing w:after="0" w:line="34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INVESTOR:</w:t>
      </w:r>
    </w:p>
    <w:p>
      <w:pPr>
        <w:spacing w:after="0" w:line="23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ACREW DIVERSIFY CAPITAL FUND, (A) L.P.</w:t>
      </w:r>
    </w:p>
    <w:p>
      <w:pPr>
        <w:spacing w:after="0" w:line="3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By: Acrew Diversify Capital GenPar, L.P. its general partner</w:t>
      </w:r>
    </w:p>
    <w:p>
      <w:pPr>
        <w:spacing w:after="0" w:line="1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By: Acrew Capital MGP, LLC its general partner</w:t>
      </w:r>
    </w:p>
    <w:p>
      <w:pPr>
        <w:spacing w:after="0" w:line="200" w:lineRule="exact"/>
        <w:rPr>
          <w:sz w:val="20"/>
          <w:szCs w:val="20"/>
          <w:color w:val="auto"/>
        </w:rPr>
      </w:pPr>
    </w:p>
    <w:p>
      <w:pPr>
        <w:spacing w:after="0" w:line="237"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22"/>
          <w:szCs w:val="22"/>
          <w:color w:val="auto"/>
        </w:rPr>
        <w:t>By:</w:t>
        <w:tab/>
        <w:t>/s/ Theresia Gouw</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Theresia Gouw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-158750</wp:posOffset>
            </wp:positionV>
            <wp:extent cx="3497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ind w:left="4060"/>
        <w:spacing w:after="0"/>
        <w:rPr>
          <w:sz w:val="20"/>
          <w:szCs w:val="20"/>
          <w:color w:val="auto"/>
        </w:rPr>
      </w:pPr>
      <w:r>
        <w:rPr>
          <w:rFonts w:ascii="Times New Roman" w:cs="Times New Roman" w:eastAsia="Times New Roman" w:hAnsi="Times New Roman"/>
          <w:sz w:val="22"/>
          <w:szCs w:val="22"/>
          <w:color w:val="auto"/>
        </w:rPr>
        <w:t>Title: Member</w:t>
      </w:r>
    </w:p>
    <w:p>
      <w:pPr>
        <w:spacing w:after="0" w:line="200" w:lineRule="exact"/>
        <w:rPr>
          <w:sz w:val="20"/>
          <w:szCs w:val="20"/>
          <w:color w:val="auto"/>
        </w:rPr>
      </w:pPr>
    </w:p>
    <w:p>
      <w:pPr>
        <w:spacing w:after="0" w:line="34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INVESTOR:</w:t>
      </w:r>
    </w:p>
    <w:p>
      <w:pPr>
        <w:spacing w:after="0" w:line="233" w:lineRule="exact"/>
        <w:rPr>
          <w:sz w:val="20"/>
          <w:szCs w:val="20"/>
          <w:color w:val="auto"/>
        </w:rPr>
      </w:pPr>
    </w:p>
    <w:p>
      <w:pPr>
        <w:ind w:left="4060" w:right="200"/>
        <w:spacing w:after="0" w:line="272" w:lineRule="auto"/>
        <w:rPr>
          <w:sz w:val="20"/>
          <w:szCs w:val="20"/>
          <w:color w:val="auto"/>
        </w:rPr>
      </w:pPr>
      <w:r>
        <w:rPr>
          <w:rFonts w:ascii="Times New Roman" w:cs="Times New Roman" w:eastAsia="Times New Roman" w:hAnsi="Times New Roman"/>
          <w:sz w:val="22"/>
          <w:szCs w:val="22"/>
          <w:b w:val="1"/>
          <w:bCs w:val="1"/>
          <w:color w:val="auto"/>
        </w:rPr>
        <w:t xml:space="preserve">ACREW DIVERSIFY CAPITAL EXECUTIVE FUND, L.P. </w:t>
      </w:r>
      <w:r>
        <w:rPr>
          <w:rFonts w:ascii="Times New Roman" w:cs="Times New Roman" w:eastAsia="Times New Roman" w:hAnsi="Times New Roman"/>
          <w:sz w:val="22"/>
          <w:szCs w:val="22"/>
          <w:color w:val="auto"/>
        </w:rPr>
        <w:t>By: Acrew Diversify Capital GenPar, L.p. its general partner By: Acrew Capital MGP, LLC its general partner</w:t>
      </w:r>
    </w:p>
    <w:p>
      <w:pPr>
        <w:spacing w:after="0" w:line="386"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22"/>
          <w:szCs w:val="22"/>
          <w:color w:val="auto"/>
        </w:rPr>
        <w:t>By:</w:t>
        <w:tab/>
        <w:t>/s/ Theresia Gouw</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Theresia Gouw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-158750</wp:posOffset>
            </wp:positionV>
            <wp:extent cx="3497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ind w:left="4060"/>
        <w:spacing w:after="0"/>
        <w:rPr>
          <w:sz w:val="20"/>
          <w:szCs w:val="20"/>
          <w:color w:val="auto"/>
        </w:rPr>
      </w:pPr>
      <w:r>
        <w:rPr>
          <w:rFonts w:ascii="Times New Roman" w:cs="Times New Roman" w:eastAsia="Times New Roman" w:hAnsi="Times New Roman"/>
          <w:sz w:val="22"/>
          <w:szCs w:val="22"/>
          <w:color w:val="auto"/>
        </w:rPr>
        <w:t>Title: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SIGNATURE PAGE TO</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 FOR CHIME FINANCIAL INC.</w:t>
      </w:r>
    </w:p>
    <w:p>
      <w:pPr>
        <w:sectPr>
          <w:pgSz w:w="11900" w:h="16838" w:orient="portrait"/>
          <w:cols w:equalWidth="0" w:num="1">
            <w:col w:w="9800"/>
          </w:cols>
          <w:pgMar w:left="1440" w:top="124" w:right="659" w:bottom="1440" w:gutter="0" w:footer="0" w:header="0"/>
        </w:sectPr>
      </w:pPr>
    </w:p>
    <w:bookmarkStart w:id="348" w:name="page349"/>
    <w:bookmarkEnd w:id="348"/>
    <w:p>
      <w:pPr>
        <w:jc w:val="center"/>
        <w:ind w:right="96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have executed this Agreement as *f the date first above written</w:t>
      </w:r>
    </w:p>
    <w:p>
      <w:pPr>
        <w:spacing w:after="0" w:line="25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INVESTOR:</w:t>
      </w:r>
    </w:p>
    <w:p>
      <w:pPr>
        <w:spacing w:after="0" w:line="233" w:lineRule="exact"/>
        <w:rPr>
          <w:sz w:val="20"/>
          <w:szCs w:val="20"/>
          <w:color w:val="auto"/>
        </w:rPr>
      </w:pPr>
    </w:p>
    <w:p>
      <w:pPr>
        <w:ind w:left="4060"/>
        <w:spacing w:after="0" w:line="272" w:lineRule="auto"/>
        <w:rPr>
          <w:sz w:val="20"/>
          <w:szCs w:val="20"/>
          <w:color w:val="auto"/>
        </w:rPr>
      </w:pPr>
      <w:r>
        <w:rPr>
          <w:rFonts w:ascii="Times New Roman" w:cs="Times New Roman" w:eastAsia="Times New Roman" w:hAnsi="Times New Roman"/>
          <w:sz w:val="22"/>
          <w:szCs w:val="22"/>
          <w:b w:val="1"/>
          <w:bCs w:val="1"/>
          <w:color w:val="auto"/>
        </w:rPr>
        <w:t xml:space="preserve">ACREW DIVERSIFY CAPITAL EXECUTIVE FUND (A), L.P. </w:t>
      </w:r>
      <w:r>
        <w:rPr>
          <w:rFonts w:ascii="Times New Roman" w:cs="Times New Roman" w:eastAsia="Times New Roman" w:hAnsi="Times New Roman"/>
          <w:sz w:val="22"/>
          <w:szCs w:val="22"/>
          <w:color w:val="auto"/>
        </w:rPr>
        <w:t>By: Acrew Diversify Capital GenPar, L.P. its general partner By: Acrew Capital MGP, LLC its general partner</w:t>
      </w:r>
    </w:p>
    <w:p>
      <w:pPr>
        <w:spacing w:after="0" w:line="386"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22"/>
          <w:szCs w:val="22"/>
          <w:color w:val="auto"/>
        </w:rPr>
        <w:t>By:</w:t>
        <w:tab/>
        <w:t>/s/ Theresia Gouw</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Theresia Gouw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-158750</wp:posOffset>
            </wp:positionV>
            <wp:extent cx="3497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ind w:left="4060"/>
        <w:spacing w:after="0"/>
        <w:rPr>
          <w:sz w:val="20"/>
          <w:szCs w:val="20"/>
          <w:color w:val="auto"/>
        </w:rPr>
      </w:pPr>
      <w:r>
        <w:rPr>
          <w:rFonts w:ascii="Times New Roman" w:cs="Times New Roman" w:eastAsia="Times New Roman" w:hAnsi="Times New Roman"/>
          <w:sz w:val="22"/>
          <w:szCs w:val="22"/>
          <w:color w:val="auto"/>
        </w:rPr>
        <w:t>Title: Member</w:t>
      </w:r>
    </w:p>
    <w:p>
      <w:pPr>
        <w:spacing w:after="0" w:line="200" w:lineRule="exact"/>
        <w:rPr>
          <w:sz w:val="20"/>
          <w:szCs w:val="20"/>
          <w:color w:val="auto"/>
        </w:rPr>
      </w:pPr>
    </w:p>
    <w:p>
      <w:pPr>
        <w:spacing w:after="0" w:line="34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INVESTOR:</w:t>
      </w:r>
    </w:p>
    <w:p>
      <w:pPr>
        <w:spacing w:after="0" w:line="23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ACREW DIVERSIFY CAPITAL FUND, (G) L.P.</w:t>
      </w:r>
    </w:p>
    <w:p>
      <w:pPr>
        <w:spacing w:after="0" w:line="23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By: Acrew Diversify Capital GenPar, L.P. its general partner</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By: Acrew Capital MGP, LLC its general partner</w:t>
      </w:r>
    </w:p>
    <w:p>
      <w:pPr>
        <w:spacing w:after="0" w:line="200" w:lineRule="exact"/>
        <w:rPr>
          <w:sz w:val="20"/>
          <w:szCs w:val="20"/>
          <w:color w:val="auto"/>
        </w:rPr>
      </w:pPr>
    </w:p>
    <w:p>
      <w:pPr>
        <w:spacing w:after="0" w:line="237"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22"/>
          <w:szCs w:val="22"/>
          <w:color w:val="auto"/>
        </w:rPr>
        <w:t>By:</w:t>
        <w:tab/>
        <w:t>/s/ Theresia Gouw</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Theresia Gouw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-158750</wp:posOffset>
            </wp:positionV>
            <wp:extent cx="3497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ind w:left="4060"/>
        <w:spacing w:after="0"/>
        <w:rPr>
          <w:sz w:val="20"/>
          <w:szCs w:val="20"/>
          <w:color w:val="auto"/>
        </w:rPr>
      </w:pPr>
      <w:r>
        <w:rPr>
          <w:rFonts w:ascii="Times New Roman" w:cs="Times New Roman" w:eastAsia="Times New Roman" w:hAnsi="Times New Roman"/>
          <w:sz w:val="22"/>
          <w:szCs w:val="22"/>
          <w:color w:val="auto"/>
        </w:rPr>
        <w:t>Title: Member</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For all Acrew entities</w:t>
      </w:r>
      <w:r>
        <w:rPr>
          <w:rFonts w:ascii="Times New Roman" w:cs="Times New Roman" w:eastAsia="Times New Roman" w:hAnsi="Times New Roman"/>
          <w:sz w:val="22"/>
          <w:szCs w:val="22"/>
          <w:b w:val="1"/>
          <w:bCs w:val="1"/>
          <w:i w:val="1"/>
          <w:iCs w:val="1"/>
          <w:color w:val="auto"/>
        </w:rPr>
        <w:t>:</w:t>
      </w:r>
    </w:p>
    <w:p>
      <w:pPr>
        <w:spacing w:after="0" w:line="22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Address: [***]</w:t>
      </w:r>
    </w:p>
    <w:p>
      <w:pPr>
        <w:spacing w:after="0" w:line="220"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Email: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SIGNATURE PAGE TO</w:t>
      </w:r>
    </w:p>
    <w:p>
      <w:pPr>
        <w:spacing w:after="0" w:line="31"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 FOR CHIME FINANCIAL INC.</w:t>
      </w:r>
    </w:p>
    <w:p>
      <w:pPr>
        <w:sectPr>
          <w:pgSz w:w="11900" w:h="16838" w:orient="portrait"/>
          <w:cols w:equalWidth="0" w:num="1">
            <w:col w:w="9960"/>
          </w:cols>
          <w:pgMar w:left="1440" w:top="124" w:right="499" w:bottom="1440" w:gutter="0" w:footer="0" w:header="0"/>
        </w:sectPr>
      </w:pPr>
    </w:p>
    <w:bookmarkStart w:id="349" w:name="page350"/>
    <w:bookmarkEnd w:id="349"/>
    <w:p>
      <w:pPr>
        <w:jc w:val="center"/>
        <w:ind w:right="72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hereto have executed this Agreement a of the date first written above.</w:t>
      </w:r>
    </w:p>
    <w:p>
      <w:pPr>
        <w:spacing w:after="0" w:line="25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INVESTOR:</w:t>
      </w:r>
    </w:p>
    <w:p>
      <w:pPr>
        <w:spacing w:after="0" w:line="23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ACREW CAPITAL FUND (A), L.P.</w:t>
      </w:r>
    </w:p>
    <w:p>
      <w:pPr>
        <w:spacing w:after="0" w:line="3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By: Acrew Capital GenPar, L.P., its general partner</w:t>
      </w:r>
    </w:p>
    <w:p>
      <w:pPr>
        <w:spacing w:after="0" w:line="1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By: Acrew Capital MGP, LLC, its general partner</w:t>
      </w:r>
    </w:p>
    <w:p>
      <w:pPr>
        <w:spacing w:after="0" w:line="221"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22"/>
          <w:szCs w:val="22"/>
          <w:color w:val="auto"/>
        </w:rPr>
        <w:t>By:</w:t>
        <w:tab/>
        <w:t>/s/ Theresia Gouw</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Theresia Gouw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-158750</wp:posOffset>
            </wp:positionV>
            <wp:extent cx="3497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ind w:left="4060"/>
        <w:spacing w:after="0"/>
        <w:rPr>
          <w:sz w:val="20"/>
          <w:szCs w:val="20"/>
          <w:color w:val="auto"/>
        </w:rPr>
      </w:pPr>
      <w:r>
        <w:rPr>
          <w:rFonts w:ascii="Times New Roman" w:cs="Times New Roman" w:eastAsia="Times New Roman" w:hAnsi="Times New Roman"/>
          <w:sz w:val="22"/>
          <w:szCs w:val="22"/>
          <w:color w:val="auto"/>
        </w:rPr>
        <w:t>Title: Member</w:t>
      </w:r>
    </w:p>
    <w:p>
      <w:pPr>
        <w:spacing w:after="0" w:line="200" w:lineRule="exact"/>
        <w:rPr>
          <w:sz w:val="20"/>
          <w:szCs w:val="20"/>
          <w:color w:val="auto"/>
        </w:rPr>
      </w:pPr>
    </w:p>
    <w:p>
      <w:pPr>
        <w:spacing w:after="0" w:line="237" w:lineRule="exact"/>
        <w:rPr>
          <w:sz w:val="20"/>
          <w:szCs w:val="20"/>
          <w:color w:val="auto"/>
        </w:rPr>
      </w:pPr>
    </w:p>
    <w:p>
      <w:pPr>
        <w:jc w:val="center"/>
        <w:ind w:right="140"/>
        <w:spacing w:after="0"/>
        <w:tabs>
          <w:tab w:leader="none" w:pos="180" w:val="left"/>
        </w:tabs>
        <w:rPr>
          <w:sz w:val="20"/>
          <w:szCs w:val="20"/>
          <w:color w:val="auto"/>
        </w:rPr>
      </w:pPr>
      <w:r>
        <w:rPr>
          <w:rFonts w:ascii="Times New Roman" w:cs="Times New Roman" w:eastAsia="Times New Roman" w:hAnsi="Times New Roman"/>
          <w:sz w:val="22"/>
          <w:szCs w:val="22"/>
          <w:color w:val="auto"/>
        </w:rPr>
        <w:t>Address:</w:t>
        <w:tab/>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SIGNATURE PAGE TO</w:t>
      </w:r>
    </w:p>
    <w:p>
      <w:pPr>
        <w:spacing w:after="0" w:line="31"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 FOR CHIME FINANCIAL INC.</w:t>
      </w:r>
    </w:p>
    <w:p>
      <w:pPr>
        <w:sectPr>
          <w:pgSz w:w="11900" w:h="16838" w:orient="portrait"/>
          <w:cols w:equalWidth="0" w:num="1">
            <w:col w:w="9720"/>
          </w:cols>
          <w:pgMar w:left="1440" w:top="124" w:right="739" w:bottom="1440" w:gutter="0" w:footer="0" w:header="0"/>
        </w:sectPr>
      </w:pPr>
    </w:p>
    <w:bookmarkStart w:id="350" w:name="page351"/>
    <w:bookmarkEnd w:id="350"/>
    <w:p>
      <w:pPr>
        <w:jc w:val="center"/>
        <w:ind w:right="72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hereto have executed this Agreement a of the date first written above.</w:t>
      </w:r>
    </w:p>
    <w:p>
      <w:pPr>
        <w:spacing w:after="0" w:line="25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INVESTOR:</w:t>
      </w:r>
    </w:p>
    <w:p>
      <w:pPr>
        <w:spacing w:after="0" w:line="23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ACREW CAPITAL FUND, L.P.</w:t>
      </w:r>
    </w:p>
    <w:p>
      <w:pPr>
        <w:spacing w:after="0" w:line="3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By: Acrew Capital GenPar, L.P., its general partner</w:t>
      </w:r>
    </w:p>
    <w:p>
      <w:pPr>
        <w:spacing w:after="0" w:line="1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By: Acrew Capital MGP, LLC, its general partner</w:t>
      </w:r>
    </w:p>
    <w:p>
      <w:pPr>
        <w:spacing w:after="0" w:line="221"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22"/>
          <w:szCs w:val="22"/>
          <w:color w:val="auto"/>
        </w:rPr>
        <w:t>By:</w:t>
        <w:tab/>
        <w:t>/s/ Theresia Gouw</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Theresia Gouw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-158750</wp:posOffset>
            </wp:positionV>
            <wp:extent cx="3497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ind w:left="4060"/>
        <w:spacing w:after="0"/>
        <w:rPr>
          <w:sz w:val="20"/>
          <w:szCs w:val="20"/>
          <w:color w:val="auto"/>
        </w:rPr>
      </w:pPr>
      <w:r>
        <w:rPr>
          <w:rFonts w:ascii="Times New Roman" w:cs="Times New Roman" w:eastAsia="Times New Roman" w:hAnsi="Times New Roman"/>
          <w:sz w:val="22"/>
          <w:szCs w:val="22"/>
          <w:color w:val="auto"/>
        </w:rPr>
        <w:t>Title: Member</w:t>
      </w:r>
    </w:p>
    <w:p>
      <w:pPr>
        <w:spacing w:after="0" w:line="200" w:lineRule="exact"/>
        <w:rPr>
          <w:sz w:val="20"/>
          <w:szCs w:val="20"/>
          <w:color w:val="auto"/>
        </w:rPr>
      </w:pPr>
    </w:p>
    <w:p>
      <w:pPr>
        <w:spacing w:after="0" w:line="237" w:lineRule="exact"/>
        <w:rPr>
          <w:sz w:val="20"/>
          <w:szCs w:val="20"/>
          <w:color w:val="auto"/>
        </w:rPr>
      </w:pPr>
    </w:p>
    <w:p>
      <w:pPr>
        <w:jc w:val="center"/>
        <w:ind w:right="140"/>
        <w:spacing w:after="0"/>
        <w:tabs>
          <w:tab w:leader="none" w:pos="180" w:val="left"/>
        </w:tabs>
        <w:rPr>
          <w:sz w:val="20"/>
          <w:szCs w:val="20"/>
          <w:color w:val="auto"/>
        </w:rPr>
      </w:pPr>
      <w:r>
        <w:rPr>
          <w:rFonts w:ascii="Times New Roman" w:cs="Times New Roman" w:eastAsia="Times New Roman" w:hAnsi="Times New Roman"/>
          <w:sz w:val="22"/>
          <w:szCs w:val="22"/>
          <w:color w:val="auto"/>
        </w:rPr>
        <w:t>Address:</w:t>
        <w:tab/>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SIGNATURE PAGE TO</w:t>
      </w:r>
    </w:p>
    <w:p>
      <w:pPr>
        <w:spacing w:after="0" w:line="31"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 FOR CHIME FINANCIAL INC.</w:t>
      </w:r>
    </w:p>
    <w:p>
      <w:pPr>
        <w:sectPr>
          <w:pgSz w:w="11900" w:h="16838" w:orient="portrait"/>
          <w:cols w:equalWidth="0" w:num="1">
            <w:col w:w="9720"/>
          </w:cols>
          <w:pgMar w:left="1440" w:top="124" w:right="739" w:bottom="1440" w:gutter="0" w:footer="0" w:header="0"/>
        </w:sectPr>
      </w:pPr>
    </w:p>
    <w:bookmarkStart w:id="351" w:name="page352"/>
    <w:bookmarkEnd w:id="351"/>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have executed this Agreement as of the date first above written</w:t>
      </w:r>
    </w:p>
    <w:p>
      <w:pPr>
        <w:spacing w:after="0" w:line="25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INVESTOR:</w:t>
      </w:r>
    </w:p>
    <w:p>
      <w:pPr>
        <w:spacing w:after="0" w:line="23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GENERAL ATLANTIC (CH), L.P.</w:t>
      </w:r>
    </w:p>
    <w:p>
      <w:pPr>
        <w:spacing w:after="0" w:line="3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By: General Atlantic (SPV) GP, LLC, its general partner</w:t>
      </w:r>
    </w:p>
    <w:p>
      <w:pPr>
        <w:spacing w:after="0" w:line="1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By: General Atlantic L.P., its sole member</w:t>
      </w:r>
    </w:p>
    <w:p>
      <w:pPr>
        <w:spacing w:after="0" w:line="221"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22"/>
          <w:szCs w:val="22"/>
          <w:color w:val="auto"/>
        </w:rPr>
        <w:t>By:</w:t>
        <w:tab/>
        <w:t>/s/ J. Frank Brown</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J. Frank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-158750</wp:posOffset>
            </wp:positionV>
            <wp:extent cx="3497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ind w:left="4060"/>
        <w:spacing w:after="0"/>
        <w:rPr>
          <w:sz w:val="20"/>
          <w:szCs w:val="20"/>
          <w:color w:val="auto"/>
        </w:rPr>
      </w:pPr>
      <w:r>
        <w:rPr>
          <w:rFonts w:ascii="Times New Roman" w:cs="Times New Roman" w:eastAsia="Times New Roman" w:hAnsi="Times New Roman"/>
          <w:sz w:val="22"/>
          <w:szCs w:val="22"/>
          <w:color w:val="auto"/>
        </w:rPr>
        <w:t>Title: Chief Risk Officer and Managing Director</w:t>
      </w:r>
    </w:p>
    <w:p>
      <w:pPr>
        <w:spacing w:after="0" w:line="200" w:lineRule="exact"/>
        <w:rPr>
          <w:sz w:val="20"/>
          <w:szCs w:val="20"/>
          <w:color w:val="auto"/>
        </w:rPr>
      </w:pPr>
    </w:p>
    <w:p>
      <w:pPr>
        <w:spacing w:after="0" w:line="23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color w:val="auto"/>
        </w:rPr>
        <w:t>Address: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SIGNATURE PAGE TO</w:t>
      </w:r>
    </w:p>
    <w:p>
      <w:pPr>
        <w:spacing w:after="0" w:line="3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 FOR CHIME FINANCIAL INC.</w:t>
      </w:r>
    </w:p>
    <w:p>
      <w:pPr>
        <w:sectPr>
          <w:pgSz w:w="11900" w:h="16838" w:orient="portrait"/>
          <w:cols w:equalWidth="0" w:num="1">
            <w:col w:w="9140"/>
          </w:cols>
          <w:pgMar w:left="1440" w:top="124" w:right="1319" w:bottom="1440" w:gutter="0" w:footer="0" w:header="0"/>
        </w:sectPr>
      </w:pPr>
    </w:p>
    <w:bookmarkStart w:id="352" w:name="page353"/>
    <w:bookmarkEnd w:id="352"/>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have executed this Agreement as of the date first above written</w:t>
      </w:r>
    </w:p>
    <w:p>
      <w:pPr>
        <w:spacing w:after="0" w:line="25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INVESTOR:</w:t>
      </w:r>
    </w:p>
    <w:p>
      <w:pPr>
        <w:spacing w:after="0" w:line="3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EMERSON COLLECTIVE INVESTMENTS, LLC</w:t>
      </w:r>
    </w:p>
    <w:p>
      <w:pPr>
        <w:spacing w:after="0" w:line="221"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22"/>
          <w:szCs w:val="22"/>
          <w:color w:val="auto"/>
        </w:rPr>
        <w:t>By:</w:t>
        <w:tab/>
        <w:t>/s/ Steve McDermid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2940050</wp:posOffset>
            </wp:positionH>
            <wp:positionV relativeFrom="paragraph">
              <wp:posOffset>-13970</wp:posOffset>
            </wp:positionV>
            <wp:extent cx="25450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545080" cy="8255"/>
                    </a:xfrm>
                    <a:prstGeom prst="rect">
                      <a:avLst/>
                    </a:prstGeom>
                    <a:noFill/>
                  </pic:spPr>
                </pic:pic>
              </a:graphicData>
            </a:graphic>
          </wp:anchor>
        </w:drawing>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Steve McDermid</w:t>
      </w:r>
    </w:p>
    <w:p>
      <w:pPr>
        <w:spacing w:after="0" w:line="1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3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u w:val="single" w:color="auto"/>
          <w:color w:val="auto"/>
        </w:rPr>
        <w:t>Emerson Collective Notice info:</w:t>
      </w:r>
    </w:p>
    <w:p>
      <w:pPr>
        <w:spacing w:after="0" w:line="200" w:lineRule="exact"/>
        <w:rPr>
          <w:sz w:val="20"/>
          <w:szCs w:val="20"/>
          <w:color w:val="auto"/>
        </w:rPr>
      </w:pPr>
    </w:p>
    <w:p>
      <w:pPr>
        <w:spacing w:after="0" w:line="24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u w:val="single" w:color="auto"/>
          <w:color w:val="auto"/>
        </w:rPr>
        <w:t>Name of Contact</w:t>
      </w:r>
      <w:r>
        <w:rPr>
          <w:rFonts w:ascii="Times New Roman" w:cs="Times New Roman" w:eastAsia="Times New Roman" w:hAnsi="Times New Roman"/>
          <w:sz w:val="22"/>
          <w:szCs w:val="22"/>
          <w:color w:val="auto"/>
        </w:rPr>
        <w:t>: [***]</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u w:val="single" w:color="auto"/>
          <w:color w:val="auto"/>
        </w:rPr>
        <w:t>Address of Contact</w:t>
      </w:r>
      <w:r>
        <w:rPr>
          <w:rFonts w:ascii="Times New Roman" w:cs="Times New Roman" w:eastAsia="Times New Roman" w:hAnsi="Times New Roman"/>
          <w:sz w:val="22"/>
          <w:szCs w:val="22"/>
          <w:color w:val="auto"/>
        </w:rPr>
        <w:t>: [***]</w:t>
      </w:r>
    </w:p>
    <w:p>
      <w:pPr>
        <w:spacing w:after="0" w:line="24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u w:val="single" w:color="auto"/>
          <w:color w:val="auto"/>
        </w:rPr>
        <w:t>E-Mail Address:</w:t>
      </w:r>
      <w:r>
        <w:rPr>
          <w:rFonts w:ascii="Times New Roman" w:cs="Times New Roman" w:eastAsia="Times New Roman" w:hAnsi="Times New Roman"/>
          <w:sz w:val="22"/>
          <w:szCs w:val="22"/>
          <w:color w:val="auto"/>
        </w:rPr>
        <w:t xml:space="preserve"> [***]</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u w:val="single" w:color="auto"/>
          <w:color w:val="auto"/>
        </w:rPr>
        <w:t>with a copy to</w:t>
      </w:r>
      <w:r>
        <w:rPr>
          <w:rFonts w:ascii="Times New Roman" w:cs="Times New Roman" w:eastAsia="Times New Roman" w:hAnsi="Times New Roman"/>
          <w:sz w:val="22"/>
          <w:szCs w:val="22"/>
          <w:color w:val="auto"/>
        </w:rPr>
        <w:t xml:space="preserve"> [***]</w:t>
      </w:r>
    </w:p>
    <w:p>
      <w:pPr>
        <w:spacing w:after="0" w:line="22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u w:val="single" w:color="auto"/>
          <w:color w:val="auto"/>
        </w:rPr>
        <w:t>Name of Contact:</w:t>
      </w:r>
      <w:r>
        <w:rPr>
          <w:rFonts w:ascii="Times New Roman" w:cs="Times New Roman" w:eastAsia="Times New Roman" w:hAnsi="Times New Roman"/>
          <w:sz w:val="22"/>
          <w:szCs w:val="22"/>
          <w:color w:val="auto"/>
        </w:rPr>
        <w:t xml:space="preserve"> [***]</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u w:val="single" w:color="auto"/>
          <w:color w:val="auto"/>
        </w:rPr>
        <w:t>Address of Contact:</w:t>
      </w:r>
      <w:r>
        <w:rPr>
          <w:rFonts w:ascii="Times New Roman" w:cs="Times New Roman" w:eastAsia="Times New Roman" w:hAnsi="Times New Roman"/>
          <w:sz w:val="22"/>
          <w:szCs w:val="22"/>
          <w:color w:val="auto"/>
        </w:rPr>
        <w:t xml:space="preserve"> [***]</w:t>
      </w:r>
    </w:p>
    <w:p>
      <w:pPr>
        <w:spacing w:after="0" w:line="1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u w:val="single" w:color="auto"/>
          <w:color w:val="auto"/>
        </w:rPr>
        <w:t>Telephone Number:</w:t>
      </w:r>
      <w:r>
        <w:rPr>
          <w:rFonts w:ascii="Times New Roman" w:cs="Times New Roman" w:eastAsia="Times New Roman" w:hAnsi="Times New Roman"/>
          <w:sz w:val="22"/>
          <w:szCs w:val="22"/>
          <w:color w:val="auto"/>
        </w:rPr>
        <w:t xml:space="preserve"> [***]</w:t>
      </w:r>
    </w:p>
    <w:p>
      <w:pPr>
        <w:spacing w:after="0" w:line="1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u w:val="single" w:color="auto"/>
          <w:color w:val="auto"/>
        </w:rPr>
        <w:t>E-Mail</w:t>
      </w:r>
      <w:r>
        <w:rPr>
          <w:rFonts w:ascii="Times New Roman" w:cs="Times New Roman" w:eastAsia="Times New Roman" w:hAnsi="Times New Roman"/>
          <w:sz w:val="22"/>
          <w:szCs w:val="22"/>
          <w:color w:val="auto"/>
        </w:rPr>
        <w:t xml:space="preserve"> Address: [***]</w:t>
      </w:r>
    </w:p>
    <w:p>
      <w:pPr>
        <w:spacing w:after="0" w:line="1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u w:val="single" w:color="auto"/>
          <w:color w:val="auto"/>
        </w:rPr>
        <w:t>with a copy to</w:t>
      </w:r>
      <w:r>
        <w:rPr>
          <w:rFonts w:ascii="Times New Roman" w:cs="Times New Roman" w:eastAsia="Times New Roman" w:hAnsi="Times New Roman"/>
          <w:sz w:val="22"/>
          <w:szCs w:val="22"/>
          <w:color w:val="auto"/>
        </w:rPr>
        <w:t xml:space="preserve"> [***]</w:t>
      </w:r>
    </w:p>
    <w:p>
      <w:pPr>
        <w:spacing w:after="0" w:line="24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u w:val="single" w:color="auto"/>
          <w:color w:val="auto"/>
        </w:rPr>
        <w:t>Name of Contact:</w:t>
      </w:r>
      <w:r>
        <w:rPr>
          <w:rFonts w:ascii="Times New Roman" w:cs="Times New Roman" w:eastAsia="Times New Roman" w:hAnsi="Times New Roman"/>
          <w:sz w:val="22"/>
          <w:szCs w:val="22"/>
          <w:color w:val="auto"/>
        </w:rPr>
        <w:t xml:space="preserve"> [***]</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u w:val="single" w:color="auto"/>
          <w:color w:val="auto"/>
        </w:rPr>
        <w:t>Address of Contact:</w:t>
      </w:r>
      <w:r>
        <w:rPr>
          <w:rFonts w:ascii="Times New Roman" w:cs="Times New Roman" w:eastAsia="Times New Roman" w:hAnsi="Times New Roman"/>
          <w:sz w:val="22"/>
          <w:szCs w:val="22"/>
          <w:color w:val="auto"/>
        </w:rPr>
        <w:t xml:space="preserve"> [***]</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u w:val="single" w:color="auto"/>
          <w:color w:val="auto"/>
        </w:rPr>
        <w:t>Telephone Number:</w:t>
      </w:r>
      <w:r>
        <w:rPr>
          <w:rFonts w:ascii="Times New Roman" w:cs="Times New Roman" w:eastAsia="Times New Roman" w:hAnsi="Times New Roman"/>
          <w:sz w:val="22"/>
          <w:szCs w:val="22"/>
          <w:color w:val="auto"/>
        </w:rPr>
        <w:t xml:space="preserve"> [***]</w:t>
      </w:r>
    </w:p>
    <w:p>
      <w:pPr>
        <w:spacing w:after="0" w:line="1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u w:val="single" w:color="auto"/>
          <w:color w:val="auto"/>
        </w:rPr>
        <w:t>Email Address:</w:t>
      </w:r>
      <w:r>
        <w:rPr>
          <w:rFonts w:ascii="Times New Roman" w:cs="Times New Roman" w:eastAsia="Times New Roman" w:hAnsi="Times New Roman"/>
          <w:sz w:val="22"/>
          <w:szCs w:val="22"/>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SIGNATURE PAGE TO</w:t>
      </w:r>
    </w:p>
    <w:p>
      <w:pPr>
        <w:spacing w:after="0" w:line="3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 FOR CHIME FINANCIAL INC.</w:t>
      </w:r>
    </w:p>
    <w:p>
      <w:pPr>
        <w:sectPr>
          <w:pgSz w:w="11900" w:h="16838" w:orient="portrait"/>
          <w:cols w:equalWidth="0" w:num="1">
            <w:col w:w="9140"/>
          </w:cols>
          <w:pgMar w:left="1440" w:top="124" w:right="1319" w:bottom="1440" w:gutter="0" w:footer="0" w:header="0"/>
        </w:sectPr>
      </w:pPr>
    </w:p>
    <w:bookmarkStart w:id="353" w:name="page354"/>
    <w:bookmarkEnd w:id="353"/>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have executed this Agreement as of the date first above written</w:t>
      </w:r>
    </w:p>
    <w:p>
      <w:pPr>
        <w:spacing w:after="0" w:line="258"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INVESTOR:</w:t>
      </w:r>
    </w:p>
    <w:p>
      <w:pPr>
        <w:spacing w:after="0" w:line="23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AME CLOUD VENTURES LP</w:t>
      </w:r>
    </w:p>
    <w:p>
      <w:pPr>
        <w:spacing w:after="0" w:line="3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color w:val="auto"/>
        </w:rPr>
        <w:t>By: AME Cloud Holdings, LLC, its general partner</w:t>
      </w:r>
    </w:p>
    <w:p>
      <w:pPr>
        <w:spacing w:after="0" w:line="200" w:lineRule="exact"/>
        <w:rPr>
          <w:sz w:val="20"/>
          <w:szCs w:val="20"/>
          <w:color w:val="auto"/>
        </w:rPr>
      </w:pPr>
    </w:p>
    <w:p>
      <w:pPr>
        <w:spacing w:after="0" w:line="237" w:lineRule="exact"/>
        <w:rPr>
          <w:sz w:val="20"/>
          <w:szCs w:val="20"/>
          <w:color w:val="auto"/>
        </w:rPr>
      </w:pPr>
    </w:p>
    <w:p>
      <w:pPr>
        <w:ind w:left="4020"/>
        <w:spacing w:after="0"/>
        <w:tabs>
          <w:tab w:leader="none" w:pos="4560" w:val="left"/>
        </w:tabs>
        <w:rPr>
          <w:sz w:val="20"/>
          <w:szCs w:val="20"/>
          <w:color w:val="auto"/>
        </w:rPr>
      </w:pPr>
      <w:r>
        <w:rPr>
          <w:rFonts w:ascii="Times New Roman" w:cs="Times New Roman" w:eastAsia="Times New Roman" w:hAnsi="Times New Roman"/>
          <w:sz w:val="22"/>
          <w:szCs w:val="22"/>
          <w:color w:val="auto"/>
        </w:rPr>
        <w:t>By:</w:t>
        <w:tab/>
        <w:t>/s/ Gregory R. Hardester</w:t>
      </w:r>
    </w:p>
    <w:p>
      <w:pPr>
        <w:spacing w:after="0" w:line="2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color w:val="auto"/>
        </w:rPr>
        <w:t>Gregory R. Hardester,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-158750</wp:posOffset>
            </wp:positionV>
            <wp:extent cx="35229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color w:val="auto"/>
        </w:rPr>
        <w:t>Address: [***]</w:t>
      </w:r>
    </w:p>
    <w:p>
      <w:pPr>
        <w:spacing w:after="0" w:line="22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INVESTOR:</w:t>
      </w:r>
    </w:p>
    <w:p>
      <w:pPr>
        <w:spacing w:after="0" w:line="23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AME 2019 FUND LP</w:t>
      </w:r>
    </w:p>
    <w:p>
      <w:pPr>
        <w:spacing w:after="0" w:line="3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color w:val="auto"/>
        </w:rPr>
        <w:t>By: AME 2019 GP LLC, its general partner</w:t>
      </w:r>
    </w:p>
    <w:p>
      <w:pPr>
        <w:spacing w:after="0" w:line="200" w:lineRule="exact"/>
        <w:rPr>
          <w:sz w:val="20"/>
          <w:szCs w:val="20"/>
          <w:color w:val="auto"/>
        </w:rPr>
      </w:pPr>
    </w:p>
    <w:p>
      <w:pPr>
        <w:spacing w:after="0" w:line="237" w:lineRule="exact"/>
        <w:rPr>
          <w:sz w:val="20"/>
          <w:szCs w:val="20"/>
          <w:color w:val="auto"/>
        </w:rPr>
      </w:pPr>
    </w:p>
    <w:p>
      <w:pPr>
        <w:ind w:left="4020"/>
        <w:spacing w:after="0"/>
        <w:tabs>
          <w:tab w:leader="none" w:pos="4560" w:val="left"/>
        </w:tabs>
        <w:rPr>
          <w:sz w:val="20"/>
          <w:szCs w:val="20"/>
          <w:color w:val="auto"/>
        </w:rPr>
      </w:pPr>
      <w:r>
        <w:rPr>
          <w:rFonts w:ascii="Times New Roman" w:cs="Times New Roman" w:eastAsia="Times New Roman" w:hAnsi="Times New Roman"/>
          <w:sz w:val="22"/>
          <w:szCs w:val="22"/>
          <w:color w:val="auto"/>
        </w:rPr>
        <w:t>By:</w:t>
        <w:tab/>
        <w:t>/s/ Gregory R. Hardester</w:t>
      </w:r>
    </w:p>
    <w:p>
      <w:pPr>
        <w:spacing w:after="0" w:line="2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color w:val="auto"/>
        </w:rPr>
        <w:t>Gregory R. Hardester,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-158750</wp:posOffset>
            </wp:positionV>
            <wp:extent cx="35229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Address: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SIGNATURE PAGE TO</w:t>
      </w:r>
    </w:p>
    <w:p>
      <w:pPr>
        <w:spacing w:after="0" w:line="3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 FOR CHIME FINANCIAL INC.</w:t>
      </w:r>
    </w:p>
    <w:p>
      <w:pPr>
        <w:sectPr>
          <w:pgSz w:w="11900" w:h="16838" w:orient="portrait"/>
          <w:cols w:equalWidth="0" w:num="1">
            <w:col w:w="9140"/>
          </w:cols>
          <w:pgMar w:left="1440" w:top="124" w:right="1319" w:bottom="1440" w:gutter="0" w:footer="0" w:header="0"/>
        </w:sectPr>
      </w:pPr>
    </w:p>
    <w:bookmarkStart w:id="354" w:name="page355"/>
    <w:bookmarkEnd w:id="354"/>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hereto have executed this Agreement as of the date first written above.</w:t>
      </w:r>
    </w:p>
    <w:p>
      <w:pPr>
        <w:spacing w:after="0" w:line="25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INVESTOR:</w:t>
      </w:r>
    </w:p>
    <w:p>
      <w:pPr>
        <w:spacing w:after="0" w:line="23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CROSSLINK VENTURES C, L.L.C.</w:t>
      </w:r>
    </w:p>
    <w:p>
      <w:pPr>
        <w:spacing w:after="0" w:line="23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By: Crosslink Ventures VII Holdings, L.L.C., its Manager</w:t>
      </w:r>
    </w:p>
    <w:p>
      <w:pPr>
        <w:spacing w:after="0" w:line="200" w:lineRule="exact"/>
        <w:rPr>
          <w:sz w:val="20"/>
          <w:szCs w:val="20"/>
          <w:color w:val="auto"/>
        </w:rPr>
      </w:pPr>
    </w:p>
    <w:p>
      <w:pPr>
        <w:spacing w:after="0" w:line="249"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22"/>
          <w:szCs w:val="22"/>
          <w:color w:val="auto"/>
        </w:rPr>
        <w:t>By:</w:t>
        <w:tab/>
        <w:t>/s/ Maureen Offer</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Maureen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-158750</wp:posOffset>
            </wp:positionV>
            <wp:extent cx="3497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ind w:left="406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3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Address: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SIGNATURE PAGE TO</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 FOR CHIME FINANCIAL INC.</w:t>
      </w:r>
    </w:p>
    <w:p>
      <w:pPr>
        <w:sectPr>
          <w:pgSz w:w="11900" w:h="16838" w:orient="portrait"/>
          <w:cols w:equalWidth="0" w:num="1">
            <w:col w:w="9800"/>
          </w:cols>
          <w:pgMar w:left="1440" w:top="124" w:right="659" w:bottom="1440" w:gutter="0" w:footer="0" w:header="0"/>
        </w:sectPr>
      </w:pPr>
    </w:p>
    <w:bookmarkStart w:id="355" w:name="page356"/>
    <w:bookmarkEnd w:id="355"/>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hereto have executed this Agreement as of the date first written above.</w:t>
      </w:r>
    </w:p>
    <w:p>
      <w:pPr>
        <w:spacing w:after="0" w:line="25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INVESTOR:</w:t>
      </w:r>
    </w:p>
    <w:p>
      <w:pPr>
        <w:spacing w:after="0" w:line="23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CROSSLINK CROSSOVER FUND VII, L.P.</w:t>
      </w:r>
    </w:p>
    <w:p>
      <w:pPr>
        <w:spacing w:after="0" w:line="23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By: Crosslink Fund VII Management, L.L.C., its General Partner</w:t>
      </w:r>
    </w:p>
    <w:p>
      <w:pPr>
        <w:spacing w:after="0" w:line="200" w:lineRule="exact"/>
        <w:rPr>
          <w:sz w:val="20"/>
          <w:szCs w:val="20"/>
          <w:color w:val="auto"/>
        </w:rPr>
      </w:pPr>
    </w:p>
    <w:p>
      <w:pPr>
        <w:spacing w:after="0" w:line="249"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22"/>
          <w:szCs w:val="22"/>
          <w:color w:val="auto"/>
        </w:rPr>
        <w:t>By:</w:t>
        <w:tab/>
        <w:t>/s/ Maureen Offer</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Maureen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-158750</wp:posOffset>
            </wp:positionV>
            <wp:extent cx="3497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ind w:left="406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3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Address: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SIGNATURE PAGE TO</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 FOR CHIME FINANCIAL INC.</w:t>
      </w:r>
    </w:p>
    <w:p>
      <w:pPr>
        <w:sectPr>
          <w:pgSz w:w="11900" w:h="16838" w:orient="portrait"/>
          <w:cols w:equalWidth="0" w:num="1">
            <w:col w:w="9800"/>
          </w:cols>
          <w:pgMar w:left="1440" w:top="124" w:right="659" w:bottom="1440" w:gutter="0" w:footer="0" w:header="0"/>
        </w:sectPr>
      </w:pPr>
    </w:p>
    <w:bookmarkStart w:id="356" w:name="page357"/>
    <w:bookmarkEnd w:id="356"/>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hereto have executed this Agreement as of the date first written above.</w:t>
      </w:r>
    </w:p>
    <w:p>
      <w:pPr>
        <w:spacing w:after="0" w:line="25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INVESTOR:</w:t>
      </w:r>
    </w:p>
    <w:p>
      <w:pPr>
        <w:spacing w:after="0" w:line="23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CROSSLINK CROSSOVER FUND VI, L.P</w:t>
      </w:r>
    </w:p>
    <w:p>
      <w:pPr>
        <w:spacing w:after="0" w:line="23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By: Crosslink Fund VI Management, L.L.C., its General Partner</w:t>
      </w:r>
    </w:p>
    <w:p>
      <w:pPr>
        <w:spacing w:after="0" w:line="200" w:lineRule="exact"/>
        <w:rPr>
          <w:sz w:val="20"/>
          <w:szCs w:val="20"/>
          <w:color w:val="auto"/>
        </w:rPr>
      </w:pPr>
    </w:p>
    <w:p>
      <w:pPr>
        <w:spacing w:after="0" w:line="249"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22"/>
          <w:szCs w:val="22"/>
          <w:color w:val="auto"/>
        </w:rPr>
        <w:t>By:</w:t>
        <w:tab/>
        <w:t>/s/ Maureen Offer</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Maureen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-158750</wp:posOffset>
            </wp:positionV>
            <wp:extent cx="3497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ind w:left="406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3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Address: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SIGNATURE PAGE TO</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 FOR CHIME FINANCIAL INC.</w:t>
      </w:r>
    </w:p>
    <w:p>
      <w:pPr>
        <w:sectPr>
          <w:pgSz w:w="11900" w:h="16838" w:orient="portrait"/>
          <w:cols w:equalWidth="0" w:num="1">
            <w:col w:w="9800"/>
          </w:cols>
          <w:pgMar w:left="1440" w:top="124" w:right="659" w:bottom="1440" w:gutter="0" w:footer="0" w:header="0"/>
        </w:sectPr>
      </w:pPr>
    </w:p>
    <w:bookmarkStart w:id="357" w:name="page358"/>
    <w:bookmarkEnd w:id="357"/>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hereto have executed this Agreement as of the date first written above.</w:t>
      </w:r>
    </w:p>
    <w:p>
      <w:pPr>
        <w:spacing w:after="0" w:line="25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INVESTOR:</w:t>
      </w:r>
    </w:p>
    <w:p>
      <w:pPr>
        <w:spacing w:after="0" w:line="23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CROSSLINK CROSSOVER FUND VII-A, L.P.</w:t>
      </w:r>
    </w:p>
    <w:p>
      <w:pPr>
        <w:spacing w:after="0" w:line="23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By: Crosslink Fund VII Management, L.L.C., its General Partner</w:t>
      </w:r>
    </w:p>
    <w:p>
      <w:pPr>
        <w:spacing w:after="0" w:line="200" w:lineRule="exact"/>
        <w:rPr>
          <w:sz w:val="20"/>
          <w:szCs w:val="20"/>
          <w:color w:val="auto"/>
        </w:rPr>
      </w:pPr>
    </w:p>
    <w:p>
      <w:pPr>
        <w:spacing w:after="0" w:line="249"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22"/>
          <w:szCs w:val="22"/>
          <w:color w:val="auto"/>
        </w:rPr>
        <w:t>By:</w:t>
        <w:tab/>
        <w:t>/s/ Maureen Offer</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Maureen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-158750</wp:posOffset>
            </wp:positionV>
            <wp:extent cx="3497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ind w:left="406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3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Address: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SIGNATURE PAGE TO</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 FOR CHIME FINANCIAL INC.</w:t>
      </w:r>
    </w:p>
    <w:p>
      <w:pPr>
        <w:sectPr>
          <w:pgSz w:w="11900" w:h="16838" w:orient="portrait"/>
          <w:cols w:equalWidth="0" w:num="1">
            <w:col w:w="9800"/>
          </w:cols>
          <w:pgMar w:left="1440" w:top="124" w:right="659" w:bottom="1440" w:gutter="0" w:footer="0" w:header="0"/>
        </w:sectPr>
      </w:pPr>
    </w:p>
    <w:bookmarkStart w:id="358" w:name="page359"/>
    <w:bookmarkEnd w:id="358"/>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hereto have executed this Agreement as of the date first written above.</w:t>
      </w:r>
    </w:p>
    <w:p>
      <w:pPr>
        <w:spacing w:after="0" w:line="25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INVESTOR:</w:t>
      </w:r>
    </w:p>
    <w:p>
      <w:pPr>
        <w:spacing w:after="0" w:line="23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CROSSLINK CROSSOVER FUND VII-B, L.P.</w:t>
      </w:r>
    </w:p>
    <w:p>
      <w:pPr>
        <w:spacing w:after="0" w:line="23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By: Crosslink Fund VII Management, L.L.C., its General Partner</w:t>
      </w:r>
    </w:p>
    <w:p>
      <w:pPr>
        <w:spacing w:after="0" w:line="200" w:lineRule="exact"/>
        <w:rPr>
          <w:sz w:val="20"/>
          <w:szCs w:val="20"/>
          <w:color w:val="auto"/>
        </w:rPr>
      </w:pPr>
    </w:p>
    <w:p>
      <w:pPr>
        <w:spacing w:after="0" w:line="249"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22"/>
          <w:szCs w:val="22"/>
          <w:color w:val="auto"/>
        </w:rPr>
        <w:t>By:</w:t>
        <w:tab/>
        <w:t>/s/ Maureen Offer</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Maureen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-158750</wp:posOffset>
            </wp:positionV>
            <wp:extent cx="3497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ind w:left="406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3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Address: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SIGNATURE PAGE TO</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 FOR CHIME FINANCIAL INC.</w:t>
      </w:r>
    </w:p>
    <w:p>
      <w:pPr>
        <w:sectPr>
          <w:pgSz w:w="11900" w:h="16838" w:orient="portrait"/>
          <w:cols w:equalWidth="0" w:num="1">
            <w:col w:w="9800"/>
          </w:cols>
          <w:pgMar w:left="1440" w:top="124" w:right="659" w:bottom="1440" w:gutter="0" w:footer="0" w:header="0"/>
        </w:sectPr>
      </w:pPr>
    </w:p>
    <w:bookmarkStart w:id="359" w:name="page360"/>
    <w:bookmarkEnd w:id="359"/>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hereto have executed this Agreement as of the date first written above.</w:t>
      </w:r>
    </w:p>
    <w:p>
      <w:pPr>
        <w:spacing w:after="0" w:line="25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INVESTOR:</w:t>
      </w:r>
    </w:p>
    <w:p>
      <w:pPr>
        <w:spacing w:after="0" w:line="23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CROSSLINK VENTURES VII-B, L.P.</w:t>
      </w:r>
    </w:p>
    <w:p>
      <w:pPr>
        <w:spacing w:after="0" w:line="23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By: Crossover Ventures VII Holdings, LLC, its General Partner</w:t>
      </w:r>
    </w:p>
    <w:p>
      <w:pPr>
        <w:spacing w:after="0" w:line="233"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22"/>
          <w:szCs w:val="22"/>
          <w:color w:val="auto"/>
        </w:rPr>
        <w:t>By:</w:t>
        <w:tab/>
        <w:t>/s/ Maureen Offer</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Maureen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-158750</wp:posOffset>
            </wp:positionV>
            <wp:extent cx="3497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ind w:left="406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3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Address: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SIGNATURE PAGE TO</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 FOR CHIME FINANCIAL INC.</w:t>
      </w:r>
    </w:p>
    <w:p>
      <w:pPr>
        <w:sectPr>
          <w:pgSz w:w="11900" w:h="16838" w:orient="portrait"/>
          <w:cols w:equalWidth="0" w:num="1">
            <w:col w:w="9800"/>
          </w:cols>
          <w:pgMar w:left="1440" w:top="124" w:right="659" w:bottom="1440" w:gutter="0" w:footer="0" w:header="0"/>
        </w:sectPr>
      </w:pPr>
    </w:p>
    <w:bookmarkStart w:id="360" w:name="page361"/>
    <w:bookmarkEnd w:id="360"/>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hereto have executed this Agreement as of the date first written above.</w:t>
      </w:r>
    </w:p>
    <w:p>
      <w:pPr>
        <w:spacing w:after="0" w:line="25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INVESTOR:</w:t>
      </w:r>
    </w:p>
    <w:p>
      <w:pPr>
        <w:spacing w:after="0" w:line="23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CROSSLINK VENTURES VII, L.P.</w:t>
      </w:r>
    </w:p>
    <w:p>
      <w:pPr>
        <w:spacing w:after="0" w:line="23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By: Crossover Ventures VII Holdings, LLC, its General Partner</w:t>
      </w:r>
    </w:p>
    <w:p>
      <w:pPr>
        <w:spacing w:after="0" w:line="200" w:lineRule="exact"/>
        <w:rPr>
          <w:sz w:val="20"/>
          <w:szCs w:val="20"/>
          <w:color w:val="auto"/>
        </w:rPr>
      </w:pPr>
    </w:p>
    <w:p>
      <w:pPr>
        <w:spacing w:after="0" w:line="249"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22"/>
          <w:szCs w:val="22"/>
          <w:color w:val="auto"/>
        </w:rPr>
        <w:t>By:</w:t>
        <w:tab/>
        <w:t>/s/ Maureen Offer</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Maureen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-158750</wp:posOffset>
            </wp:positionV>
            <wp:extent cx="3497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ind w:left="406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3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Address: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SIGNATURE PAGE TO</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 FOR CHIME FINANCIAL INC.</w:t>
      </w:r>
    </w:p>
    <w:p>
      <w:pPr>
        <w:sectPr>
          <w:pgSz w:w="11900" w:h="16838" w:orient="portrait"/>
          <w:cols w:equalWidth="0" w:num="1">
            <w:col w:w="9800"/>
          </w:cols>
          <w:pgMar w:left="1440" w:top="124" w:right="659" w:bottom="1440" w:gutter="0" w:footer="0" w:header="0"/>
        </w:sectPr>
      </w:pPr>
    </w:p>
    <w:bookmarkStart w:id="361" w:name="page362"/>
    <w:bookmarkEnd w:id="361"/>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hereto have executed this Agreement as of the date first written above.</w:t>
      </w:r>
    </w:p>
    <w:p>
      <w:pPr>
        <w:spacing w:after="0" w:line="25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INVESTOR:</w:t>
      </w:r>
    </w:p>
    <w:p>
      <w:pPr>
        <w:spacing w:after="0" w:line="23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CROSSLINK BAYVIEW VII, LLC</w:t>
      </w:r>
    </w:p>
    <w:p>
      <w:pPr>
        <w:spacing w:after="0" w:line="200" w:lineRule="exact"/>
        <w:rPr>
          <w:sz w:val="20"/>
          <w:szCs w:val="20"/>
          <w:color w:val="auto"/>
        </w:rPr>
      </w:pPr>
    </w:p>
    <w:p>
      <w:pPr>
        <w:spacing w:after="0" w:line="253"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22"/>
          <w:szCs w:val="22"/>
          <w:color w:val="auto"/>
        </w:rPr>
        <w:t>By:</w:t>
        <w:tab/>
        <w:t>/s/ Maureen Offer</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Maureen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-158750</wp:posOffset>
            </wp:positionV>
            <wp:extent cx="3497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ind w:left="406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3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Address: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SIGNATURE PAGE TO</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 FOR CHIME FINANCIAL INC.</w:t>
      </w:r>
    </w:p>
    <w:p>
      <w:pPr>
        <w:sectPr>
          <w:pgSz w:w="11900" w:h="16838" w:orient="portrait"/>
          <w:cols w:equalWidth="0" w:num="1">
            <w:col w:w="9800"/>
          </w:cols>
          <w:pgMar w:left="1440" w:top="124" w:right="659" w:bottom="1440" w:gutter="0" w:footer="0" w:header="0"/>
        </w:sectPr>
      </w:pPr>
    </w:p>
    <w:bookmarkStart w:id="362" w:name="page363"/>
    <w:bookmarkEnd w:id="362"/>
    <w:p>
      <w:pPr>
        <w:jc w:val="center"/>
        <w:ind w:right="78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b w:val="1"/>
          <w:bCs w:val="1"/>
          <w:color w:val="auto"/>
        </w:rPr>
        <w:t xml:space="preserve">IN WITNESS WHEREOF, </w:t>
      </w:r>
      <w:r>
        <w:rPr>
          <w:rFonts w:ascii="Times New Roman" w:cs="Times New Roman" w:eastAsia="Times New Roman" w:hAnsi="Times New Roman"/>
          <w:sz w:val="21"/>
          <w:szCs w:val="21"/>
          <w:color w:val="auto"/>
        </w:rPr>
        <w:t>the parties hereto have executed this Agreement as of the date first written above.</w:t>
      </w:r>
    </w:p>
    <w:p>
      <w:pPr>
        <w:spacing w:after="0" w:line="25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INVESTOR:</w:t>
      </w:r>
    </w:p>
    <w:p>
      <w:pPr>
        <w:spacing w:after="0" w:line="260"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MENLO SPECIAL OPPORTUNITIES FUND II, L.P.</w:t>
      </w:r>
    </w:p>
    <w:p>
      <w:pPr>
        <w:spacing w:after="0" w:line="3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MENLO ENTREPRENEURS INFLECTION FUND, L.P.</w:t>
      </w:r>
    </w:p>
    <w:p>
      <w:pPr>
        <w:spacing w:after="0" w:line="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MM INFLECTION, L.P.</w:t>
      </w:r>
    </w:p>
    <w:p>
      <w:pPr>
        <w:spacing w:after="0" w:line="200" w:lineRule="exact"/>
        <w:rPr>
          <w:sz w:val="20"/>
          <w:szCs w:val="20"/>
          <w:color w:val="auto"/>
        </w:rPr>
      </w:pPr>
    </w:p>
    <w:p>
      <w:pPr>
        <w:spacing w:after="0" w:line="250"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By: MSOP GP II, L.L.C.</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Their: General Partner</w:t>
      </w:r>
    </w:p>
    <w:p>
      <w:pPr>
        <w:spacing w:after="0" w:line="200" w:lineRule="exact"/>
        <w:rPr>
          <w:sz w:val="20"/>
          <w:szCs w:val="20"/>
          <w:color w:val="auto"/>
        </w:rPr>
      </w:pPr>
    </w:p>
    <w:p>
      <w:pPr>
        <w:spacing w:after="0" w:line="237"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22"/>
          <w:szCs w:val="22"/>
          <w:color w:val="auto"/>
        </w:rPr>
        <w:t>By:</w:t>
        <w:tab/>
        <w:t>/s/ Shawn Carolan</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Shawn Carolan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-158750</wp:posOffset>
            </wp:positionV>
            <wp:extent cx="3497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ind w:left="4060"/>
        <w:spacing w:after="0"/>
        <w:rPr>
          <w:sz w:val="20"/>
          <w:szCs w:val="20"/>
          <w:color w:val="auto"/>
        </w:rPr>
      </w:pPr>
      <w:r>
        <w:rPr>
          <w:rFonts w:ascii="Times New Roman" w:cs="Times New Roman" w:eastAsia="Times New Roman" w:hAnsi="Times New Roman"/>
          <w:sz w:val="22"/>
          <w:szCs w:val="22"/>
          <w:color w:val="auto"/>
        </w:rPr>
        <w:t>Title: Partner</w:t>
      </w:r>
    </w:p>
    <w:p>
      <w:pPr>
        <w:spacing w:after="0" w:line="200" w:lineRule="exact"/>
        <w:rPr>
          <w:sz w:val="20"/>
          <w:szCs w:val="20"/>
          <w:color w:val="auto"/>
        </w:rPr>
      </w:pPr>
    </w:p>
    <w:p>
      <w:pPr>
        <w:spacing w:after="0" w:line="23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2"/>
          <w:szCs w:val="22"/>
          <w:color w:val="auto"/>
        </w:rPr>
        <w:t>Address: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SIGNATURE PAGE TO</w:t>
      </w:r>
    </w:p>
    <w:p>
      <w:pPr>
        <w:spacing w:after="0" w:line="31"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 FOR CHIME FINANCIAL INC.</w:t>
      </w:r>
    </w:p>
    <w:p>
      <w:pPr>
        <w:sectPr>
          <w:pgSz w:w="11900" w:h="16838" w:orient="portrait"/>
          <w:cols w:equalWidth="0" w:num="1">
            <w:col w:w="9780"/>
          </w:cols>
          <w:pgMar w:left="1440" w:top="124" w:right="679" w:bottom="1440" w:gutter="0" w:footer="0" w:header="0"/>
        </w:sectPr>
      </w:pPr>
    </w:p>
    <w:bookmarkStart w:id="363" w:name="page364"/>
    <w:bookmarkEnd w:id="363"/>
    <w:p>
      <w:pPr>
        <w:jc w:val="center"/>
        <w:ind w:right="78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b w:val="1"/>
          <w:bCs w:val="1"/>
          <w:color w:val="auto"/>
        </w:rPr>
        <w:t xml:space="preserve">IN WITNESS WHEREOF, </w:t>
      </w:r>
      <w:r>
        <w:rPr>
          <w:rFonts w:ascii="Times New Roman" w:cs="Times New Roman" w:eastAsia="Times New Roman" w:hAnsi="Times New Roman"/>
          <w:sz w:val="21"/>
          <w:szCs w:val="21"/>
          <w:color w:val="auto"/>
        </w:rPr>
        <w:t>the parties hereto have executed this Agreement as of the date first written above.</w:t>
      </w:r>
    </w:p>
    <w:p>
      <w:pPr>
        <w:spacing w:after="0" w:line="25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INVESTOR:</w:t>
      </w:r>
    </w:p>
    <w:p>
      <w:pPr>
        <w:spacing w:after="0" w:line="260"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MENLO SPECIAL OPPORTUNITIES</w:t>
      </w:r>
    </w:p>
    <w:p>
      <w:pPr>
        <w:spacing w:after="0" w:line="3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FUND, L.P.</w:t>
      </w:r>
    </w:p>
    <w:p>
      <w:pPr>
        <w:spacing w:after="0" w:line="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MMSOP, L.P.</w:t>
      </w:r>
    </w:p>
    <w:p>
      <w:pPr>
        <w:spacing w:after="0" w:line="200" w:lineRule="exact"/>
        <w:rPr>
          <w:sz w:val="20"/>
          <w:szCs w:val="20"/>
          <w:color w:val="auto"/>
        </w:rPr>
      </w:pPr>
    </w:p>
    <w:p>
      <w:pPr>
        <w:spacing w:after="0" w:line="250"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By: MSOP GP, L.L.P.</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Their: General Partner</w:t>
      </w:r>
    </w:p>
    <w:p>
      <w:pPr>
        <w:spacing w:after="0" w:line="200" w:lineRule="exact"/>
        <w:rPr>
          <w:sz w:val="20"/>
          <w:szCs w:val="20"/>
          <w:color w:val="auto"/>
        </w:rPr>
      </w:pPr>
    </w:p>
    <w:p>
      <w:pPr>
        <w:spacing w:after="0" w:line="237"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22"/>
          <w:szCs w:val="22"/>
          <w:color w:val="auto"/>
        </w:rPr>
        <w:t>By:</w:t>
        <w:tab/>
        <w:t>/s/ Shawn Carolan</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Shawn Carolan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-158750</wp:posOffset>
            </wp:positionV>
            <wp:extent cx="3497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ind w:left="4060"/>
        <w:spacing w:after="0"/>
        <w:rPr>
          <w:sz w:val="20"/>
          <w:szCs w:val="20"/>
          <w:color w:val="auto"/>
        </w:rPr>
      </w:pPr>
      <w:r>
        <w:rPr>
          <w:rFonts w:ascii="Times New Roman" w:cs="Times New Roman" w:eastAsia="Times New Roman" w:hAnsi="Times New Roman"/>
          <w:sz w:val="22"/>
          <w:szCs w:val="22"/>
          <w:color w:val="auto"/>
        </w:rPr>
        <w:t>Title: Partner</w:t>
      </w:r>
    </w:p>
    <w:p>
      <w:pPr>
        <w:spacing w:after="0" w:line="200" w:lineRule="exact"/>
        <w:rPr>
          <w:sz w:val="20"/>
          <w:szCs w:val="20"/>
          <w:color w:val="auto"/>
        </w:rPr>
      </w:pPr>
    </w:p>
    <w:p>
      <w:pPr>
        <w:spacing w:after="0" w:line="23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2"/>
          <w:szCs w:val="22"/>
          <w:color w:val="auto"/>
        </w:rPr>
        <w:t>Address: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SIGNATURE PAGE TO</w:t>
      </w:r>
    </w:p>
    <w:p>
      <w:pPr>
        <w:spacing w:after="0" w:line="31"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 FOR CHIME FINANCIAL INC.</w:t>
      </w:r>
    </w:p>
    <w:p>
      <w:pPr>
        <w:sectPr>
          <w:pgSz w:w="11900" w:h="16838" w:orient="portrait"/>
          <w:cols w:equalWidth="0" w:num="1">
            <w:col w:w="9780"/>
          </w:cols>
          <w:pgMar w:left="1440" w:top="124" w:right="679" w:bottom="1440" w:gutter="0" w:footer="0" w:header="0"/>
        </w:sectPr>
      </w:pPr>
    </w:p>
    <w:bookmarkStart w:id="364" w:name="page365"/>
    <w:bookmarkEnd w:id="364"/>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hereto have executed this Agreement as of the date first written above.</w:t>
      </w:r>
    </w:p>
    <w:p>
      <w:pPr>
        <w:spacing w:after="0" w:line="25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INVESTOR:</w:t>
      </w:r>
    </w:p>
    <w:p>
      <w:pPr>
        <w:spacing w:after="0" w:line="4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MENLO VENTURES XIV, L.P.</w:t>
      </w:r>
    </w:p>
    <w:p>
      <w:pPr>
        <w:spacing w:after="0" w:line="3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MMEF XIV, L.P.</w:t>
      </w:r>
    </w:p>
    <w:p>
      <w:pPr>
        <w:spacing w:after="0" w:line="200" w:lineRule="exact"/>
        <w:rPr>
          <w:sz w:val="20"/>
          <w:szCs w:val="20"/>
          <w:color w:val="auto"/>
        </w:rPr>
      </w:pPr>
    </w:p>
    <w:p>
      <w:pPr>
        <w:spacing w:after="0" w:line="23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By: MV Management XIV, L.L.C.</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Their: General Partner</w:t>
      </w:r>
    </w:p>
    <w:p>
      <w:pPr>
        <w:spacing w:after="0" w:line="200" w:lineRule="exact"/>
        <w:rPr>
          <w:sz w:val="20"/>
          <w:szCs w:val="20"/>
          <w:color w:val="auto"/>
        </w:rPr>
      </w:pPr>
    </w:p>
    <w:p>
      <w:pPr>
        <w:spacing w:after="0" w:line="237"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22"/>
          <w:szCs w:val="22"/>
          <w:color w:val="auto"/>
        </w:rPr>
        <w:t>By:</w:t>
        <w:tab/>
        <w:t>/s/ Shawn Carolan</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Shawn Carolan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-158750</wp:posOffset>
            </wp:positionV>
            <wp:extent cx="3497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ind w:left="4060"/>
        <w:spacing w:after="0"/>
        <w:rPr>
          <w:sz w:val="20"/>
          <w:szCs w:val="20"/>
          <w:color w:val="auto"/>
        </w:rPr>
      </w:pPr>
      <w:r>
        <w:rPr>
          <w:rFonts w:ascii="Times New Roman" w:cs="Times New Roman" w:eastAsia="Times New Roman" w:hAnsi="Times New Roman"/>
          <w:sz w:val="22"/>
          <w:szCs w:val="22"/>
          <w:color w:val="auto"/>
        </w:rPr>
        <w:t>Title: Partner</w:t>
      </w:r>
    </w:p>
    <w:p>
      <w:pPr>
        <w:spacing w:after="0" w:line="200" w:lineRule="exact"/>
        <w:rPr>
          <w:sz w:val="20"/>
          <w:szCs w:val="20"/>
          <w:color w:val="auto"/>
        </w:rPr>
      </w:pPr>
    </w:p>
    <w:p>
      <w:pPr>
        <w:spacing w:after="0" w:line="23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Address: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SIGNATURE PAGE TO</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 FOR CHIME FINANCIAL INC.</w:t>
      </w:r>
    </w:p>
    <w:p>
      <w:pPr>
        <w:sectPr>
          <w:pgSz w:w="11900" w:h="16838" w:orient="portrait"/>
          <w:cols w:equalWidth="0" w:num="1">
            <w:col w:w="9800"/>
          </w:cols>
          <w:pgMar w:left="1440" w:top="124" w:right="659" w:bottom="1440" w:gutter="0" w:footer="0" w:header="0"/>
        </w:sectPr>
      </w:pPr>
    </w:p>
    <w:bookmarkStart w:id="365" w:name="page366"/>
    <w:bookmarkEnd w:id="365"/>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hereto have executed this Agreement as of the date first written above.</w:t>
      </w:r>
    </w:p>
    <w:p>
      <w:pPr>
        <w:spacing w:after="0" w:line="25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INVESTOR:</w:t>
      </w:r>
    </w:p>
    <w:p>
      <w:pPr>
        <w:spacing w:after="0" w:line="260"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DSTG VII INVESTMENTS-4, L.P.</w:t>
      </w:r>
    </w:p>
    <w:p>
      <w:pPr>
        <w:spacing w:after="0" w:line="25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By: DST Managers VI Limited, its General Partner</w:t>
      </w:r>
    </w:p>
    <w:p>
      <w:pPr>
        <w:spacing w:after="0" w:line="200" w:lineRule="exact"/>
        <w:rPr>
          <w:sz w:val="20"/>
          <w:szCs w:val="20"/>
          <w:color w:val="auto"/>
        </w:rPr>
      </w:pPr>
    </w:p>
    <w:p>
      <w:pPr>
        <w:spacing w:after="0" w:line="249"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22"/>
          <w:szCs w:val="22"/>
          <w:color w:val="auto"/>
        </w:rPr>
        <w:t>By:</w:t>
        <w:tab/>
        <w:t>/s/ Despoina Zinonos</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Despoina Zinonos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-158750</wp:posOffset>
            </wp:positionV>
            <wp:extent cx="3497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ind w:left="4060"/>
        <w:spacing w:after="0"/>
        <w:rPr>
          <w:sz w:val="20"/>
          <w:szCs w:val="20"/>
          <w:color w:val="auto"/>
        </w:rPr>
      </w:pPr>
      <w:r>
        <w:rPr>
          <w:rFonts w:ascii="Times New Roman" w:cs="Times New Roman" w:eastAsia="Times New Roman" w:hAnsi="Times New Roman"/>
          <w:sz w:val="22"/>
          <w:szCs w:val="22"/>
          <w:color w:val="auto"/>
        </w:rPr>
        <w:t>Title: President</w:t>
      </w:r>
    </w:p>
    <w:p>
      <w:pPr>
        <w:spacing w:after="0" w:line="200" w:lineRule="exact"/>
        <w:rPr>
          <w:sz w:val="20"/>
          <w:szCs w:val="20"/>
          <w:color w:val="auto"/>
        </w:rPr>
      </w:pPr>
    </w:p>
    <w:p>
      <w:pPr>
        <w:spacing w:after="0" w:line="23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Address: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SIGNATURE PAGE TO</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 FOR CHIME FINANCIAL INC.</w:t>
      </w:r>
    </w:p>
    <w:p>
      <w:pPr>
        <w:sectPr>
          <w:pgSz w:w="11900" w:h="16838" w:orient="portrait"/>
          <w:cols w:equalWidth="0" w:num="1">
            <w:col w:w="9800"/>
          </w:cols>
          <w:pgMar w:left="1440" w:top="124" w:right="659" w:bottom="1440" w:gutter="0" w:footer="0" w:header="0"/>
        </w:sectPr>
      </w:pPr>
    </w:p>
    <w:bookmarkStart w:id="366" w:name="page367"/>
    <w:bookmarkEnd w:id="366"/>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hereto have executed this Agreement as of the date first written above.</w:t>
      </w:r>
    </w:p>
    <w:p>
      <w:pPr>
        <w:spacing w:after="0" w:line="25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INVESTOR:</w:t>
      </w:r>
    </w:p>
    <w:p>
      <w:pPr>
        <w:spacing w:after="0" w:line="260"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DST GLOBAL VII, L.P.</w:t>
      </w:r>
    </w:p>
    <w:p>
      <w:pPr>
        <w:spacing w:after="0" w:line="25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By: DST Managers VII Limited, its General Partner</w:t>
      </w:r>
    </w:p>
    <w:p>
      <w:pPr>
        <w:spacing w:after="0" w:line="200" w:lineRule="exact"/>
        <w:rPr>
          <w:sz w:val="20"/>
          <w:szCs w:val="20"/>
          <w:color w:val="auto"/>
        </w:rPr>
      </w:pPr>
    </w:p>
    <w:p>
      <w:pPr>
        <w:spacing w:after="0" w:line="249"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22"/>
          <w:szCs w:val="22"/>
          <w:color w:val="auto"/>
        </w:rPr>
        <w:t>By:</w:t>
        <w:tab/>
        <w:t>/s/ Despoina Zinonos</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Despoina Zinonos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-158750</wp:posOffset>
            </wp:positionV>
            <wp:extent cx="3497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ind w:left="4060"/>
        <w:spacing w:after="0"/>
        <w:rPr>
          <w:sz w:val="20"/>
          <w:szCs w:val="20"/>
          <w:color w:val="auto"/>
        </w:rPr>
      </w:pPr>
      <w:r>
        <w:rPr>
          <w:rFonts w:ascii="Times New Roman" w:cs="Times New Roman" w:eastAsia="Times New Roman" w:hAnsi="Times New Roman"/>
          <w:sz w:val="22"/>
          <w:szCs w:val="22"/>
          <w:color w:val="auto"/>
        </w:rPr>
        <w:t>Title: President</w:t>
      </w:r>
    </w:p>
    <w:p>
      <w:pPr>
        <w:spacing w:after="0" w:line="200" w:lineRule="exact"/>
        <w:rPr>
          <w:sz w:val="20"/>
          <w:szCs w:val="20"/>
          <w:color w:val="auto"/>
        </w:rPr>
      </w:pPr>
    </w:p>
    <w:p>
      <w:pPr>
        <w:spacing w:after="0" w:line="23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Address: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SIGNATURE PAGE TO</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 FOR CHIME FINANCIAL INC.</w:t>
      </w:r>
    </w:p>
    <w:p>
      <w:pPr>
        <w:sectPr>
          <w:pgSz w:w="11900" w:h="16838" w:orient="portrait"/>
          <w:cols w:equalWidth="0" w:num="1">
            <w:col w:w="9800"/>
          </w:cols>
          <w:pgMar w:left="1440" w:top="124" w:right="659" w:bottom="1440" w:gutter="0" w:footer="0" w:header="0"/>
        </w:sectPr>
      </w:pPr>
    </w:p>
    <w:bookmarkStart w:id="367" w:name="page368"/>
    <w:bookmarkEnd w:id="367"/>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hereto have executed this Agreement as of the date first written above.</w:t>
      </w:r>
    </w:p>
    <w:p>
      <w:pPr>
        <w:spacing w:after="0" w:line="25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INVESTOR:</w:t>
      </w:r>
    </w:p>
    <w:p>
      <w:pPr>
        <w:spacing w:after="0" w:line="260"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DSTG VII INVESTMENTS-1, L.P.</w:t>
      </w:r>
    </w:p>
    <w:p>
      <w:pPr>
        <w:spacing w:after="0" w:line="25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By: DST Managers VII Limited, its General Partner</w:t>
      </w:r>
    </w:p>
    <w:p>
      <w:pPr>
        <w:spacing w:after="0" w:line="200" w:lineRule="exact"/>
        <w:rPr>
          <w:sz w:val="20"/>
          <w:szCs w:val="20"/>
          <w:color w:val="auto"/>
        </w:rPr>
      </w:pPr>
    </w:p>
    <w:p>
      <w:pPr>
        <w:spacing w:after="0" w:line="249"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22"/>
          <w:szCs w:val="22"/>
          <w:color w:val="auto"/>
        </w:rPr>
        <w:t>By:</w:t>
        <w:tab/>
        <w:t>/s/ Despoina Zinonos</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Despoina Zinonos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-158750</wp:posOffset>
            </wp:positionV>
            <wp:extent cx="3497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ind w:left="4060"/>
        <w:spacing w:after="0"/>
        <w:rPr>
          <w:sz w:val="20"/>
          <w:szCs w:val="20"/>
          <w:color w:val="auto"/>
        </w:rPr>
      </w:pPr>
      <w:r>
        <w:rPr>
          <w:rFonts w:ascii="Times New Roman" w:cs="Times New Roman" w:eastAsia="Times New Roman" w:hAnsi="Times New Roman"/>
          <w:sz w:val="22"/>
          <w:szCs w:val="22"/>
          <w:color w:val="auto"/>
        </w:rPr>
        <w:t>Title: President</w:t>
      </w:r>
    </w:p>
    <w:p>
      <w:pPr>
        <w:spacing w:after="0" w:line="200" w:lineRule="exact"/>
        <w:rPr>
          <w:sz w:val="20"/>
          <w:szCs w:val="20"/>
          <w:color w:val="auto"/>
        </w:rPr>
      </w:pPr>
    </w:p>
    <w:p>
      <w:pPr>
        <w:spacing w:after="0" w:line="23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Address: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SIGNATURE PAGE TO</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 FOR CHIME FINANCIAL INC.</w:t>
      </w:r>
    </w:p>
    <w:p>
      <w:pPr>
        <w:sectPr>
          <w:pgSz w:w="11900" w:h="16838" w:orient="portrait"/>
          <w:cols w:equalWidth="0" w:num="1">
            <w:col w:w="9800"/>
          </w:cols>
          <w:pgMar w:left="1440" w:top="124" w:right="659" w:bottom="1440" w:gutter="0" w:footer="0" w:header="0"/>
        </w:sectPr>
      </w:pPr>
    </w:p>
    <w:bookmarkStart w:id="368" w:name="page369"/>
    <w:bookmarkEnd w:id="368"/>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hereto have executed this Agreement as of the date first written above.</w:t>
      </w:r>
    </w:p>
    <w:p>
      <w:pPr>
        <w:spacing w:after="0" w:line="25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INVESTOR:</w:t>
      </w:r>
    </w:p>
    <w:p>
      <w:pPr>
        <w:spacing w:after="0" w:line="260"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DST GLOBAL VI, L.P.</w:t>
      </w:r>
    </w:p>
    <w:p>
      <w:pPr>
        <w:spacing w:after="0" w:line="25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By: DST Managers VI Limited, its General Partner</w:t>
      </w:r>
    </w:p>
    <w:p>
      <w:pPr>
        <w:spacing w:after="0" w:line="200" w:lineRule="exact"/>
        <w:rPr>
          <w:sz w:val="20"/>
          <w:szCs w:val="20"/>
          <w:color w:val="auto"/>
        </w:rPr>
      </w:pPr>
    </w:p>
    <w:p>
      <w:pPr>
        <w:spacing w:after="0" w:line="249"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22"/>
          <w:szCs w:val="22"/>
          <w:color w:val="auto"/>
        </w:rPr>
        <w:t>By:</w:t>
        <w:tab/>
        <w:t>/s/ Despoina Zinonos</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Despoina Zinonos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-158750</wp:posOffset>
            </wp:positionV>
            <wp:extent cx="3497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ind w:left="4060"/>
        <w:spacing w:after="0"/>
        <w:rPr>
          <w:sz w:val="20"/>
          <w:szCs w:val="20"/>
          <w:color w:val="auto"/>
        </w:rPr>
      </w:pPr>
      <w:r>
        <w:rPr>
          <w:rFonts w:ascii="Times New Roman" w:cs="Times New Roman" w:eastAsia="Times New Roman" w:hAnsi="Times New Roman"/>
          <w:sz w:val="22"/>
          <w:szCs w:val="22"/>
          <w:color w:val="auto"/>
        </w:rPr>
        <w:t>Title: President</w:t>
      </w:r>
    </w:p>
    <w:p>
      <w:pPr>
        <w:spacing w:after="0" w:line="200" w:lineRule="exact"/>
        <w:rPr>
          <w:sz w:val="20"/>
          <w:szCs w:val="20"/>
          <w:color w:val="auto"/>
        </w:rPr>
      </w:pPr>
    </w:p>
    <w:p>
      <w:pPr>
        <w:spacing w:after="0" w:line="23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Address: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SIGNATURE PAGE TO</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 FOR CHIME FINANCIAL INC.</w:t>
      </w:r>
    </w:p>
    <w:p>
      <w:pPr>
        <w:sectPr>
          <w:pgSz w:w="11900" w:h="16838" w:orient="portrait"/>
          <w:cols w:equalWidth="0" w:num="1">
            <w:col w:w="9800"/>
          </w:cols>
          <w:pgMar w:left="1440" w:top="124" w:right="659" w:bottom="1440" w:gutter="0" w:footer="0" w:header="0"/>
        </w:sectPr>
      </w:pPr>
    </w:p>
    <w:bookmarkStart w:id="369" w:name="page370"/>
    <w:bookmarkEnd w:id="369"/>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hereto have executed this Agreement as of the date first written above.</w:t>
      </w:r>
    </w:p>
    <w:p>
      <w:pPr>
        <w:spacing w:after="0" w:line="25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INVESTOR:</w:t>
      </w:r>
    </w:p>
    <w:p>
      <w:pPr>
        <w:spacing w:after="0" w:line="23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DSTG VI INVESTMENTS, L.P.</w:t>
      </w:r>
    </w:p>
    <w:p>
      <w:pPr>
        <w:spacing w:after="0" w:line="23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By: DST Managers VI Limited, its General Partner</w:t>
      </w:r>
    </w:p>
    <w:p>
      <w:pPr>
        <w:spacing w:after="0" w:line="200" w:lineRule="exact"/>
        <w:rPr>
          <w:sz w:val="20"/>
          <w:szCs w:val="20"/>
          <w:color w:val="auto"/>
        </w:rPr>
      </w:pPr>
    </w:p>
    <w:p>
      <w:pPr>
        <w:spacing w:after="0" w:line="249"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22"/>
          <w:szCs w:val="22"/>
          <w:color w:val="auto"/>
        </w:rPr>
        <w:t>By:</w:t>
        <w:tab/>
        <w:t>/s/ Despoina Zinonos</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Despoina Zinonos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-158750</wp:posOffset>
            </wp:positionV>
            <wp:extent cx="3497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ind w:left="4060"/>
        <w:spacing w:after="0"/>
        <w:rPr>
          <w:sz w:val="20"/>
          <w:szCs w:val="20"/>
          <w:color w:val="auto"/>
        </w:rPr>
      </w:pPr>
      <w:r>
        <w:rPr>
          <w:rFonts w:ascii="Times New Roman" w:cs="Times New Roman" w:eastAsia="Times New Roman" w:hAnsi="Times New Roman"/>
          <w:sz w:val="22"/>
          <w:szCs w:val="22"/>
          <w:color w:val="auto"/>
        </w:rPr>
        <w:t>Title: President</w:t>
      </w:r>
    </w:p>
    <w:p>
      <w:pPr>
        <w:spacing w:after="0" w:line="200" w:lineRule="exact"/>
        <w:rPr>
          <w:sz w:val="20"/>
          <w:szCs w:val="20"/>
          <w:color w:val="auto"/>
        </w:rPr>
      </w:pPr>
    </w:p>
    <w:p>
      <w:pPr>
        <w:spacing w:after="0" w:line="23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Address: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SIGNATURE PAGE TO</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 FOR CHIME FINANCIAL INC.</w:t>
      </w:r>
    </w:p>
    <w:p>
      <w:pPr>
        <w:sectPr>
          <w:pgSz w:w="11900" w:h="16838" w:orient="portrait"/>
          <w:cols w:equalWidth="0" w:num="1">
            <w:col w:w="9800"/>
          </w:cols>
          <w:pgMar w:left="1440" w:top="124" w:right="659" w:bottom="1440" w:gutter="0" w:footer="0" w:header="0"/>
        </w:sectPr>
      </w:pPr>
    </w:p>
    <w:bookmarkStart w:id="370" w:name="page371"/>
    <w:bookmarkEnd w:id="370"/>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hereto have executed this Agreement as of the date first written above.</w:t>
      </w:r>
    </w:p>
    <w:p>
      <w:pPr>
        <w:spacing w:after="0" w:line="25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INVESTOR:</w:t>
      </w:r>
    </w:p>
    <w:p>
      <w:pPr>
        <w:spacing w:after="0" w:line="23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DSTG VI INVESTMENTS-A, L.P.</w:t>
      </w:r>
    </w:p>
    <w:p>
      <w:pPr>
        <w:spacing w:after="0" w:line="23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By: DST Managers VI Limited, its General Partner</w:t>
      </w:r>
    </w:p>
    <w:p>
      <w:pPr>
        <w:spacing w:after="0" w:line="200" w:lineRule="exact"/>
        <w:rPr>
          <w:sz w:val="20"/>
          <w:szCs w:val="20"/>
          <w:color w:val="auto"/>
        </w:rPr>
      </w:pPr>
    </w:p>
    <w:p>
      <w:pPr>
        <w:spacing w:after="0" w:line="249"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22"/>
          <w:szCs w:val="22"/>
          <w:color w:val="auto"/>
        </w:rPr>
        <w:t>By:</w:t>
        <w:tab/>
        <w:t>/s/ Despoina Zinonos</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Despoina Zinonos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-158750</wp:posOffset>
            </wp:positionV>
            <wp:extent cx="3497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ind w:left="4060"/>
        <w:spacing w:after="0"/>
        <w:rPr>
          <w:sz w:val="20"/>
          <w:szCs w:val="20"/>
          <w:color w:val="auto"/>
        </w:rPr>
      </w:pPr>
      <w:r>
        <w:rPr>
          <w:rFonts w:ascii="Times New Roman" w:cs="Times New Roman" w:eastAsia="Times New Roman" w:hAnsi="Times New Roman"/>
          <w:sz w:val="22"/>
          <w:szCs w:val="22"/>
          <w:color w:val="auto"/>
        </w:rPr>
        <w:t>Title: President</w:t>
      </w:r>
    </w:p>
    <w:p>
      <w:pPr>
        <w:spacing w:after="0" w:line="200" w:lineRule="exact"/>
        <w:rPr>
          <w:sz w:val="20"/>
          <w:szCs w:val="20"/>
          <w:color w:val="auto"/>
        </w:rPr>
      </w:pPr>
    </w:p>
    <w:p>
      <w:pPr>
        <w:spacing w:after="0" w:line="23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Address: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SIGNATURE PAGE TO</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 FOR CHIME FINANCIAL INC.</w:t>
      </w:r>
    </w:p>
    <w:p>
      <w:pPr>
        <w:sectPr>
          <w:pgSz w:w="11900" w:h="16838" w:orient="portrait"/>
          <w:cols w:equalWidth="0" w:num="1">
            <w:col w:w="9800"/>
          </w:cols>
          <w:pgMar w:left="1440" w:top="124" w:right="659" w:bottom="1440" w:gutter="0" w:footer="0" w:header="0"/>
        </w:sectPr>
      </w:pPr>
    </w:p>
    <w:bookmarkStart w:id="371" w:name="page372"/>
    <w:bookmarkEnd w:id="371"/>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hereto have executed this Agreement as of the date first written above.</w:t>
      </w:r>
    </w:p>
    <w:p>
      <w:pPr>
        <w:spacing w:after="0" w:line="25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INVESTOR:</w:t>
      </w:r>
    </w:p>
    <w:p>
      <w:pPr>
        <w:spacing w:after="0" w:line="23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DST INVESTMENTS XXI, L.P.</w:t>
      </w:r>
    </w:p>
    <w:p>
      <w:pPr>
        <w:spacing w:after="0" w:line="23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By: DST Managers VI Limited, its General Partner</w:t>
      </w:r>
    </w:p>
    <w:p>
      <w:pPr>
        <w:spacing w:after="0" w:line="200" w:lineRule="exact"/>
        <w:rPr>
          <w:sz w:val="20"/>
          <w:szCs w:val="20"/>
          <w:color w:val="auto"/>
        </w:rPr>
      </w:pPr>
    </w:p>
    <w:p>
      <w:pPr>
        <w:spacing w:after="0" w:line="249"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22"/>
          <w:szCs w:val="22"/>
          <w:color w:val="auto"/>
        </w:rPr>
        <w:t>By:</w:t>
        <w:tab/>
        <w:t>/s/ Despoina Zinonos</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Despoina Zinonos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-158750</wp:posOffset>
            </wp:positionV>
            <wp:extent cx="3497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ind w:left="4060"/>
        <w:spacing w:after="0"/>
        <w:rPr>
          <w:sz w:val="20"/>
          <w:szCs w:val="20"/>
          <w:color w:val="auto"/>
        </w:rPr>
      </w:pPr>
      <w:r>
        <w:rPr>
          <w:rFonts w:ascii="Times New Roman" w:cs="Times New Roman" w:eastAsia="Times New Roman" w:hAnsi="Times New Roman"/>
          <w:sz w:val="22"/>
          <w:szCs w:val="22"/>
          <w:color w:val="auto"/>
        </w:rPr>
        <w:t>Title: President</w:t>
      </w:r>
    </w:p>
    <w:p>
      <w:pPr>
        <w:spacing w:after="0" w:line="200" w:lineRule="exact"/>
        <w:rPr>
          <w:sz w:val="20"/>
          <w:szCs w:val="20"/>
          <w:color w:val="auto"/>
        </w:rPr>
      </w:pPr>
    </w:p>
    <w:p>
      <w:pPr>
        <w:spacing w:after="0" w:line="23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Address: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SIGNATURE PAGE TO</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 FOR CHIME FINANCIAL INC.</w:t>
      </w:r>
    </w:p>
    <w:p>
      <w:pPr>
        <w:sectPr>
          <w:pgSz w:w="11900" w:h="16838" w:orient="portrait"/>
          <w:cols w:equalWidth="0" w:num="1">
            <w:col w:w="9800"/>
          </w:cols>
          <w:pgMar w:left="1440" w:top="124" w:right="659" w:bottom="1440" w:gutter="0" w:footer="0" w:header="0"/>
        </w:sectPr>
      </w:pPr>
    </w:p>
    <w:bookmarkStart w:id="372" w:name="page373"/>
    <w:bookmarkEnd w:id="372"/>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hereto have executed this Agreement as of the date first written above.</w:t>
      </w:r>
    </w:p>
    <w:p>
      <w:pPr>
        <w:spacing w:after="0" w:line="25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INVESTOR:</w:t>
      </w:r>
    </w:p>
    <w:p>
      <w:pPr>
        <w:spacing w:after="0" w:line="23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JESMOND HOLDINGS, L.P.</w:t>
      </w:r>
    </w:p>
    <w:p>
      <w:pPr>
        <w:spacing w:after="0" w:line="23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By: Jesmond GP Limited</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Their: General Partner</w:t>
      </w:r>
    </w:p>
    <w:p>
      <w:pPr>
        <w:spacing w:after="0" w:line="200" w:lineRule="exact"/>
        <w:rPr>
          <w:sz w:val="20"/>
          <w:szCs w:val="20"/>
          <w:color w:val="auto"/>
        </w:rPr>
      </w:pPr>
    </w:p>
    <w:p>
      <w:pPr>
        <w:spacing w:after="0" w:line="237"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22"/>
          <w:szCs w:val="22"/>
          <w:color w:val="auto"/>
        </w:rPr>
        <w:t>By:</w:t>
        <w:tab/>
        <w:t>/s/ David Muir</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David Muir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-158750</wp:posOffset>
            </wp:positionV>
            <wp:extent cx="3497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ind w:left="4060"/>
        <w:spacing w:after="0"/>
        <w:rPr>
          <w:sz w:val="20"/>
          <w:szCs w:val="20"/>
          <w:color w:val="auto"/>
        </w:rPr>
      </w:pPr>
      <w:r>
        <w:rPr>
          <w:rFonts w:ascii="Times New Roman" w:cs="Times New Roman" w:eastAsia="Times New Roman" w:hAnsi="Times New Roman"/>
          <w:sz w:val="22"/>
          <w:szCs w:val="22"/>
          <w:color w:val="auto"/>
        </w:rPr>
        <w:t>Title: President</w:t>
      </w:r>
    </w:p>
    <w:p>
      <w:pPr>
        <w:spacing w:after="0" w:line="200" w:lineRule="exact"/>
        <w:rPr>
          <w:sz w:val="20"/>
          <w:szCs w:val="20"/>
          <w:color w:val="auto"/>
        </w:rPr>
      </w:pPr>
    </w:p>
    <w:p>
      <w:pPr>
        <w:spacing w:after="0" w:line="23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Address: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SIGNATURE PAGE TO</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 FOR CHIME FINANCIAL INC.</w:t>
      </w:r>
    </w:p>
    <w:p>
      <w:pPr>
        <w:sectPr>
          <w:pgSz w:w="11900" w:h="16838" w:orient="portrait"/>
          <w:cols w:equalWidth="0" w:num="1">
            <w:col w:w="9800"/>
          </w:cols>
          <w:pgMar w:left="1440" w:top="124" w:right="659" w:bottom="1440" w:gutter="0" w:footer="0" w:header="0"/>
        </w:sectPr>
      </w:pPr>
    </w:p>
    <w:bookmarkStart w:id="373" w:name="page374"/>
    <w:bookmarkEnd w:id="373"/>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hereto have executed this Agreement as of the date first written above.</w:t>
      </w:r>
    </w:p>
    <w:p>
      <w:pPr>
        <w:spacing w:after="0" w:line="258"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b w:val="1"/>
          <w:bCs w:val="1"/>
          <w:color w:val="auto"/>
        </w:rPr>
        <w:t>INVESTOR:</w:t>
      </w:r>
    </w:p>
    <w:p>
      <w:pPr>
        <w:spacing w:after="0" w:line="2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SAURABH GUPTA</w:t>
      </w:r>
    </w:p>
    <w:p>
      <w:pPr>
        <w:spacing w:after="0" w:line="200" w:lineRule="exact"/>
        <w:rPr>
          <w:sz w:val="20"/>
          <w:szCs w:val="20"/>
          <w:color w:val="auto"/>
        </w:rPr>
      </w:pPr>
    </w:p>
    <w:p>
      <w:pPr>
        <w:spacing w:after="0" w:line="253" w:lineRule="exact"/>
        <w:rPr>
          <w:sz w:val="20"/>
          <w:szCs w:val="20"/>
          <w:color w:val="auto"/>
        </w:rPr>
      </w:pPr>
    </w:p>
    <w:p>
      <w:pPr>
        <w:ind w:left="4040"/>
        <w:spacing w:after="0"/>
        <w:tabs>
          <w:tab w:leader="none" w:pos="4580" w:val="left"/>
        </w:tabs>
        <w:rPr>
          <w:sz w:val="20"/>
          <w:szCs w:val="20"/>
          <w:color w:val="auto"/>
        </w:rPr>
      </w:pPr>
      <w:r>
        <w:rPr>
          <w:rFonts w:ascii="Times New Roman" w:cs="Times New Roman" w:eastAsia="Times New Roman" w:hAnsi="Times New Roman"/>
          <w:sz w:val="22"/>
          <w:szCs w:val="22"/>
          <w:color w:val="auto"/>
        </w:rPr>
        <w:t>By:</w:t>
        <w:tab/>
        <w:t>/s/ Saurabh Gupta</w:t>
      </w:r>
    </w:p>
    <w:p>
      <w:pPr>
        <w:spacing w:after="0" w:line="2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-158750</wp:posOffset>
            </wp:positionV>
            <wp:extent cx="326580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ind w:left="404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3048635</wp:posOffset>
            </wp:positionH>
            <wp:positionV relativeFrom="paragraph">
              <wp:posOffset>12065</wp:posOffset>
            </wp:positionV>
            <wp:extent cx="337756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7756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-158750</wp:posOffset>
            </wp:positionV>
            <wp:extent cx="326580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Address: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SIGNATURE PAGE TO</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 FOR CHIME FINANCIAL INC.</w:t>
      </w:r>
    </w:p>
    <w:p>
      <w:pPr>
        <w:sectPr>
          <w:pgSz w:w="11900" w:h="16838" w:orient="portrait"/>
          <w:cols w:equalWidth="0" w:num="1">
            <w:col w:w="9800"/>
          </w:cols>
          <w:pgMar w:left="1440" w:top="124" w:right="659" w:bottom="1440" w:gutter="0" w:footer="0" w:header="0"/>
        </w:sectPr>
      </w:pPr>
    </w:p>
    <w:bookmarkStart w:id="374" w:name="page375"/>
    <w:bookmarkEnd w:id="374"/>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hereto have executed this Agreement as of the date first written above.</w:t>
      </w:r>
    </w:p>
    <w:p>
      <w:pPr>
        <w:spacing w:after="0" w:line="25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INVESTOR:</w:t>
      </w:r>
    </w:p>
    <w:p>
      <w:pPr>
        <w:spacing w:after="0" w:line="23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COATUE US 26 LLC</w:t>
      </w:r>
    </w:p>
    <w:p>
      <w:pPr>
        <w:spacing w:after="0" w:line="23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By: Coatue Management, L.L.C., its manager</w:t>
      </w:r>
    </w:p>
    <w:p>
      <w:pPr>
        <w:spacing w:after="0" w:line="200" w:lineRule="exact"/>
        <w:rPr>
          <w:sz w:val="20"/>
          <w:szCs w:val="20"/>
          <w:color w:val="auto"/>
        </w:rPr>
      </w:pPr>
    </w:p>
    <w:p>
      <w:pPr>
        <w:spacing w:after="0" w:line="249"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22"/>
          <w:szCs w:val="22"/>
          <w:color w:val="auto"/>
        </w:rPr>
        <w:t>By:</w:t>
        <w:tab/>
        <w:t>/s/ Zachary Feingold</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Zachary Feingold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-158750</wp:posOffset>
            </wp:positionV>
            <wp:extent cx="3497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ind w:left="406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3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Address: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SIGNATURE PAGE TO</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 FOR CHIME FINANCIAL INC.</w:t>
      </w:r>
    </w:p>
    <w:p>
      <w:pPr>
        <w:sectPr>
          <w:pgSz w:w="11900" w:h="16838" w:orient="portrait"/>
          <w:cols w:equalWidth="0" w:num="1">
            <w:col w:w="9800"/>
          </w:cols>
          <w:pgMar w:left="1440" w:top="124" w:right="659" w:bottom="1440" w:gutter="0" w:footer="0" w:header="0"/>
        </w:sectPr>
      </w:pPr>
    </w:p>
    <w:bookmarkStart w:id="375" w:name="page376"/>
    <w:bookmarkEnd w:id="375"/>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hereto have executed this Agreement as of the date first written above.</w:t>
      </w:r>
    </w:p>
    <w:p>
      <w:pPr>
        <w:spacing w:after="0" w:line="25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INVESTOR:</w:t>
      </w:r>
    </w:p>
    <w:p>
      <w:pPr>
        <w:spacing w:after="0" w:line="23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COATUE US 27 LLC</w:t>
      </w:r>
    </w:p>
    <w:p>
      <w:pPr>
        <w:spacing w:after="0" w:line="23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By: Coatue Management, L.L.C., its manager</w:t>
      </w:r>
    </w:p>
    <w:p>
      <w:pPr>
        <w:spacing w:after="0" w:line="200" w:lineRule="exact"/>
        <w:rPr>
          <w:sz w:val="20"/>
          <w:szCs w:val="20"/>
          <w:color w:val="auto"/>
        </w:rPr>
      </w:pPr>
    </w:p>
    <w:p>
      <w:pPr>
        <w:spacing w:after="0" w:line="249"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22"/>
          <w:szCs w:val="22"/>
          <w:color w:val="auto"/>
        </w:rPr>
        <w:t>By:</w:t>
        <w:tab/>
        <w:t>/s/ Zachary Feingold</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Zachary Feingold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-158750</wp:posOffset>
            </wp:positionV>
            <wp:extent cx="3497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ind w:left="406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3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Address: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SIGNATURE PAGE TO</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 FOR CHIME FINANCIAL INC.</w:t>
      </w:r>
    </w:p>
    <w:p>
      <w:pPr>
        <w:sectPr>
          <w:pgSz w:w="11900" w:h="16838" w:orient="portrait"/>
          <w:cols w:equalWidth="0" w:num="1">
            <w:col w:w="9800"/>
          </w:cols>
          <w:pgMar w:left="1440" w:top="124" w:right="659" w:bottom="1440" w:gutter="0" w:footer="0" w:header="0"/>
        </w:sectPr>
      </w:pPr>
    </w:p>
    <w:bookmarkStart w:id="376" w:name="page377"/>
    <w:bookmarkEnd w:id="376"/>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hereto have executed this Agreement as of the date first written above.</w:t>
      </w:r>
    </w:p>
    <w:p>
      <w:pPr>
        <w:spacing w:after="0" w:line="25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INVESTOR:</w:t>
      </w:r>
    </w:p>
    <w:p>
      <w:pPr>
        <w:spacing w:after="0" w:line="23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COATUE KONA III LP</w:t>
      </w:r>
    </w:p>
    <w:p>
      <w:pPr>
        <w:spacing w:after="0" w:line="23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By: Coatue Kona III GP LLC, its General Partner</w:t>
      </w:r>
    </w:p>
    <w:p>
      <w:pPr>
        <w:spacing w:after="0" w:line="200" w:lineRule="exact"/>
        <w:rPr>
          <w:sz w:val="20"/>
          <w:szCs w:val="20"/>
          <w:color w:val="auto"/>
        </w:rPr>
      </w:pPr>
    </w:p>
    <w:p>
      <w:pPr>
        <w:spacing w:after="0" w:line="249"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22"/>
          <w:szCs w:val="22"/>
          <w:color w:val="auto"/>
        </w:rPr>
        <w:t>By:</w:t>
        <w:tab/>
        <w:t>/s/ Zachary Feingold</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Zachary Feingold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-158750</wp:posOffset>
            </wp:positionV>
            <wp:extent cx="3497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ind w:left="406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3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Address: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SIGNATURE PAGE TO</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 FOR CHIME FINANCIAL INC.</w:t>
      </w:r>
    </w:p>
    <w:p>
      <w:pPr>
        <w:sectPr>
          <w:pgSz w:w="11900" w:h="16838" w:orient="portrait"/>
          <w:cols w:equalWidth="0" w:num="1">
            <w:col w:w="9800"/>
          </w:cols>
          <w:pgMar w:left="1440" w:top="124" w:right="659" w:bottom="1440" w:gutter="0" w:footer="0" w:header="0"/>
        </w:sectPr>
      </w:pPr>
    </w:p>
    <w:bookmarkStart w:id="377" w:name="page378"/>
    <w:bookmarkEnd w:id="377"/>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hereto have executed this Agreement as of the date first written above.</w:t>
      </w:r>
    </w:p>
    <w:p>
      <w:pPr>
        <w:spacing w:after="0" w:line="25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INVESTOR:</w:t>
      </w:r>
    </w:p>
    <w:p>
      <w:pPr>
        <w:spacing w:after="0" w:line="23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CYMBAL DF INVESTMENTS, LP</w:t>
      </w:r>
    </w:p>
    <w:p>
      <w:pPr>
        <w:spacing w:after="0" w:line="200" w:lineRule="exact"/>
        <w:rPr>
          <w:sz w:val="20"/>
          <w:szCs w:val="20"/>
          <w:color w:val="auto"/>
        </w:rPr>
      </w:pPr>
    </w:p>
    <w:p>
      <w:pPr>
        <w:spacing w:after="0" w:line="253"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22"/>
          <w:szCs w:val="22"/>
          <w:color w:val="auto"/>
        </w:rPr>
        <w:t>By:</w:t>
        <w:tab/>
        <w:t>/s/ Michael Dimitruk</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Michael Dimitruk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-158750</wp:posOffset>
            </wp:positionV>
            <wp:extent cx="3497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ind w:left="4060"/>
        <w:spacing w:after="0"/>
        <w:rPr>
          <w:sz w:val="20"/>
          <w:szCs w:val="20"/>
          <w:color w:val="auto"/>
        </w:rPr>
      </w:pPr>
      <w:r>
        <w:rPr>
          <w:rFonts w:ascii="Times New Roman" w:cs="Times New Roman" w:eastAsia="Times New Roman" w:hAnsi="Times New Roman"/>
          <w:sz w:val="22"/>
          <w:szCs w:val="22"/>
          <w:color w:val="auto"/>
        </w:rPr>
        <w:t>Title: General Counsel</w:t>
      </w:r>
    </w:p>
    <w:p>
      <w:pPr>
        <w:spacing w:after="0" w:line="200" w:lineRule="exact"/>
        <w:rPr>
          <w:sz w:val="20"/>
          <w:szCs w:val="20"/>
          <w:color w:val="auto"/>
        </w:rPr>
      </w:pPr>
    </w:p>
    <w:p>
      <w:pPr>
        <w:spacing w:after="0" w:line="23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Address: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SIGNATURE PAGE TO</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 FOR CHIME FINANCIAL INC.</w:t>
      </w:r>
    </w:p>
    <w:p>
      <w:pPr>
        <w:sectPr>
          <w:pgSz w:w="11900" w:h="16838" w:orient="portrait"/>
          <w:cols w:equalWidth="0" w:num="1">
            <w:col w:w="9800"/>
          </w:cols>
          <w:pgMar w:left="1440" w:top="124" w:right="659" w:bottom="1440" w:gutter="0" w:footer="0" w:header="0"/>
        </w:sectPr>
      </w:pPr>
    </w:p>
    <w:bookmarkStart w:id="378" w:name="page379"/>
    <w:bookmarkEnd w:id="378"/>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hereto have executed this Agreement as of the date first written above.</w:t>
      </w:r>
    </w:p>
    <w:p>
      <w:pPr>
        <w:spacing w:after="0" w:line="25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INVESTOR:</w:t>
      </w:r>
    </w:p>
    <w:p>
      <w:pPr>
        <w:spacing w:after="0" w:line="23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FORERUNNER BUILDERS I, L.P.</w:t>
      </w:r>
    </w:p>
    <w:p>
      <w:pPr>
        <w:spacing w:after="0" w:line="23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By: Forerunner Ventures GP III, LLC</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200" w:lineRule="exact"/>
        <w:rPr>
          <w:sz w:val="20"/>
          <w:szCs w:val="20"/>
          <w:color w:val="auto"/>
        </w:rPr>
      </w:pPr>
    </w:p>
    <w:p>
      <w:pPr>
        <w:spacing w:after="0" w:line="237"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22"/>
          <w:szCs w:val="22"/>
          <w:color w:val="auto"/>
        </w:rPr>
        <w:t>By:</w:t>
        <w:tab/>
        <w:t>/s/ Kirsten Green</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Kirsten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-158750</wp:posOffset>
            </wp:positionV>
            <wp:extent cx="3497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ind w:left="4060"/>
        <w:spacing w:after="0"/>
        <w:rPr>
          <w:sz w:val="20"/>
          <w:szCs w:val="20"/>
          <w:color w:val="auto"/>
        </w:rPr>
      </w:pPr>
      <w:r>
        <w:rPr>
          <w:rFonts w:ascii="Times New Roman" w:cs="Times New Roman" w:eastAsia="Times New Roman" w:hAnsi="Times New Roman"/>
          <w:sz w:val="22"/>
          <w:szCs w:val="22"/>
          <w:color w:val="auto"/>
        </w:rPr>
        <w:t>Title: Managing Partner</w:t>
      </w:r>
    </w:p>
    <w:p>
      <w:pPr>
        <w:spacing w:after="0" w:line="200" w:lineRule="exact"/>
        <w:rPr>
          <w:sz w:val="20"/>
          <w:szCs w:val="20"/>
          <w:color w:val="auto"/>
        </w:rPr>
      </w:pPr>
    </w:p>
    <w:p>
      <w:pPr>
        <w:spacing w:after="0" w:line="23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Address: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SIGNATURE PAGE TO</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 FOR CHIME FINANCIAL INC.</w:t>
      </w:r>
    </w:p>
    <w:p>
      <w:pPr>
        <w:sectPr>
          <w:pgSz w:w="11900" w:h="16838" w:orient="portrait"/>
          <w:cols w:equalWidth="0" w:num="1">
            <w:col w:w="9800"/>
          </w:cols>
          <w:pgMar w:left="1440" w:top="124" w:right="659" w:bottom="1440" w:gutter="0" w:footer="0" w:header="0"/>
        </w:sectPr>
      </w:pPr>
    </w:p>
    <w:bookmarkStart w:id="379" w:name="page380"/>
    <w:bookmarkEnd w:id="379"/>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hereto have executed this Agreement as of the date first written above.</w:t>
      </w:r>
    </w:p>
    <w:p>
      <w:pPr>
        <w:spacing w:after="0" w:line="25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INVESTOR:</w:t>
      </w:r>
    </w:p>
    <w:p>
      <w:pPr>
        <w:spacing w:after="0" w:line="23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FORERUNNER PARTNERS I, L.P.</w:t>
      </w:r>
    </w:p>
    <w:p>
      <w:pPr>
        <w:spacing w:after="0" w:line="23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By: Forerunner Ventures GP I, LLC</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200" w:lineRule="exact"/>
        <w:rPr>
          <w:sz w:val="20"/>
          <w:szCs w:val="20"/>
          <w:color w:val="auto"/>
        </w:rPr>
      </w:pPr>
    </w:p>
    <w:p>
      <w:pPr>
        <w:spacing w:after="0" w:line="237"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22"/>
          <w:szCs w:val="22"/>
          <w:color w:val="auto"/>
        </w:rPr>
        <w:t>By:</w:t>
        <w:tab/>
        <w:t>/s/ Kirsten Green</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Kirsten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-158750</wp:posOffset>
            </wp:positionV>
            <wp:extent cx="3497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ind w:left="4060"/>
        <w:spacing w:after="0"/>
        <w:rPr>
          <w:sz w:val="20"/>
          <w:szCs w:val="20"/>
          <w:color w:val="auto"/>
        </w:rPr>
      </w:pPr>
      <w:r>
        <w:rPr>
          <w:rFonts w:ascii="Times New Roman" w:cs="Times New Roman" w:eastAsia="Times New Roman" w:hAnsi="Times New Roman"/>
          <w:sz w:val="22"/>
          <w:szCs w:val="22"/>
          <w:color w:val="auto"/>
        </w:rPr>
        <w:t>Title: Managing Partner</w:t>
      </w:r>
    </w:p>
    <w:p>
      <w:pPr>
        <w:spacing w:after="0" w:line="200" w:lineRule="exact"/>
        <w:rPr>
          <w:sz w:val="20"/>
          <w:szCs w:val="20"/>
          <w:color w:val="auto"/>
        </w:rPr>
      </w:pPr>
    </w:p>
    <w:p>
      <w:pPr>
        <w:spacing w:after="0" w:line="23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Address: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SIGNATURE PAGE TO</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 FOR CHIME FINANCIAL INC.</w:t>
      </w:r>
    </w:p>
    <w:p>
      <w:pPr>
        <w:sectPr>
          <w:pgSz w:w="11900" w:h="16838" w:orient="portrait"/>
          <w:cols w:equalWidth="0" w:num="1">
            <w:col w:w="9800"/>
          </w:cols>
          <w:pgMar w:left="1440" w:top="124" w:right="659" w:bottom="1440" w:gutter="0" w:footer="0" w:header="0"/>
        </w:sectPr>
      </w:pPr>
    </w:p>
    <w:bookmarkStart w:id="380" w:name="page381"/>
    <w:bookmarkEnd w:id="380"/>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hereto have executed this Agreement as of the date first written above.</w:t>
      </w:r>
    </w:p>
    <w:p>
      <w:pPr>
        <w:spacing w:after="0" w:line="25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INVESTOR:</w:t>
      </w:r>
    </w:p>
    <w:p>
      <w:pPr>
        <w:spacing w:after="0" w:line="23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ASPECT VENTURES, L.P.</w:t>
      </w:r>
    </w:p>
    <w:p>
      <w:pPr>
        <w:spacing w:after="0" w:line="23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By: Aspect Ventures Management, LLC</w:t>
      </w:r>
    </w:p>
    <w:p>
      <w:pPr>
        <w:spacing w:after="0" w:line="200" w:lineRule="exact"/>
        <w:rPr>
          <w:sz w:val="20"/>
          <w:szCs w:val="20"/>
          <w:color w:val="auto"/>
        </w:rPr>
      </w:pPr>
    </w:p>
    <w:p>
      <w:pPr>
        <w:spacing w:after="0" w:line="249"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22"/>
          <w:szCs w:val="22"/>
          <w:color w:val="auto"/>
        </w:rPr>
        <w:t>By:</w:t>
        <w:tab/>
        <w:t>/s/ Theresia Gouw</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Theresia Gouw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-158750</wp:posOffset>
            </wp:positionV>
            <wp:extent cx="3497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ind w:left="4060"/>
        <w:spacing w:after="0"/>
        <w:rPr>
          <w:sz w:val="20"/>
          <w:szCs w:val="20"/>
          <w:color w:val="auto"/>
        </w:rPr>
      </w:pPr>
      <w:r>
        <w:rPr>
          <w:rFonts w:ascii="Times New Roman" w:cs="Times New Roman" w:eastAsia="Times New Roman" w:hAnsi="Times New Roman"/>
          <w:sz w:val="22"/>
          <w:szCs w:val="22"/>
          <w:color w:val="auto"/>
        </w:rPr>
        <w:t>Title: Managing Member</w:t>
      </w:r>
    </w:p>
    <w:p>
      <w:pPr>
        <w:spacing w:after="0" w:line="200" w:lineRule="exact"/>
        <w:rPr>
          <w:sz w:val="20"/>
          <w:szCs w:val="20"/>
          <w:color w:val="auto"/>
        </w:rPr>
      </w:pPr>
    </w:p>
    <w:p>
      <w:pPr>
        <w:spacing w:after="0" w:line="23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Address: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SIGNATURE PAGE TO</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 FOR CHIME FINANCIAL INC.</w:t>
      </w:r>
    </w:p>
    <w:p>
      <w:pPr>
        <w:sectPr>
          <w:pgSz w:w="11900" w:h="16838" w:orient="portrait"/>
          <w:cols w:equalWidth="0" w:num="1">
            <w:col w:w="9800"/>
          </w:cols>
          <w:pgMar w:left="1440" w:top="124" w:right="659" w:bottom="1440" w:gutter="0" w:footer="0" w:header="0"/>
        </w:sectPr>
      </w:pPr>
    </w:p>
    <w:bookmarkStart w:id="381" w:name="page382"/>
    <w:bookmarkEnd w:id="381"/>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hereto have executed this Agreement as of the date first written above.</w:t>
      </w:r>
    </w:p>
    <w:p>
      <w:pPr>
        <w:spacing w:after="0" w:line="25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INVESTOR:</w:t>
      </w:r>
    </w:p>
    <w:p>
      <w:pPr>
        <w:spacing w:after="0" w:line="23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ASPECT VENTURES I-A, L.P.</w:t>
      </w:r>
    </w:p>
    <w:p>
      <w:pPr>
        <w:spacing w:after="0" w:line="23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By: Aspect Ventures Management, LLC</w:t>
      </w:r>
    </w:p>
    <w:p>
      <w:pPr>
        <w:spacing w:after="0" w:line="200" w:lineRule="exact"/>
        <w:rPr>
          <w:sz w:val="20"/>
          <w:szCs w:val="20"/>
          <w:color w:val="auto"/>
        </w:rPr>
      </w:pPr>
    </w:p>
    <w:p>
      <w:pPr>
        <w:spacing w:after="0" w:line="249"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22"/>
          <w:szCs w:val="22"/>
          <w:color w:val="auto"/>
        </w:rPr>
        <w:t>By:</w:t>
        <w:tab/>
        <w:t>/s/ Theresia Gouw</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Theresia Gouw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-158750</wp:posOffset>
            </wp:positionV>
            <wp:extent cx="3497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ind w:left="4060"/>
        <w:spacing w:after="0"/>
        <w:rPr>
          <w:sz w:val="20"/>
          <w:szCs w:val="20"/>
          <w:color w:val="auto"/>
        </w:rPr>
      </w:pPr>
      <w:r>
        <w:rPr>
          <w:rFonts w:ascii="Times New Roman" w:cs="Times New Roman" w:eastAsia="Times New Roman" w:hAnsi="Times New Roman"/>
          <w:sz w:val="22"/>
          <w:szCs w:val="22"/>
          <w:color w:val="auto"/>
        </w:rPr>
        <w:t>Title: Managing Member</w:t>
      </w:r>
    </w:p>
    <w:p>
      <w:pPr>
        <w:spacing w:after="0" w:line="200" w:lineRule="exact"/>
        <w:rPr>
          <w:sz w:val="20"/>
          <w:szCs w:val="20"/>
          <w:color w:val="auto"/>
        </w:rPr>
      </w:pPr>
    </w:p>
    <w:p>
      <w:pPr>
        <w:spacing w:after="0" w:line="23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Address: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SIGNATURE PAGE TO</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 FOR CHIME FINANCIAL INC.</w:t>
      </w:r>
    </w:p>
    <w:p>
      <w:pPr>
        <w:sectPr>
          <w:pgSz w:w="11900" w:h="16838" w:orient="portrait"/>
          <w:cols w:equalWidth="0" w:num="1">
            <w:col w:w="9800"/>
          </w:cols>
          <w:pgMar w:left="1440" w:top="124" w:right="659" w:bottom="1440" w:gutter="0" w:footer="0" w:header="0"/>
        </w:sectPr>
      </w:pPr>
    </w:p>
    <w:bookmarkStart w:id="382" w:name="page383"/>
    <w:bookmarkEnd w:id="382"/>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have executed this Agreement as of the date first above written.</w:t>
      </w:r>
    </w:p>
    <w:p>
      <w:pPr>
        <w:spacing w:after="0" w:line="25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KEY HOLDERS:</w:t>
      </w:r>
    </w:p>
    <w:p>
      <w:pPr>
        <w:spacing w:after="0" w:line="260"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CHRISTOPHER R. BRITT, TRUSTEE OF</w:t>
      </w:r>
    </w:p>
    <w:p>
      <w:pPr>
        <w:spacing w:after="0" w:line="3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THE BRITT LIVING TRUST</w:t>
      </w:r>
    </w:p>
    <w:p>
      <w:pPr>
        <w:spacing w:after="0" w:line="200" w:lineRule="exact"/>
        <w:rPr>
          <w:sz w:val="20"/>
          <w:szCs w:val="20"/>
          <w:color w:val="auto"/>
        </w:rPr>
      </w:pPr>
    </w:p>
    <w:p>
      <w:pPr>
        <w:spacing w:after="0" w:line="239"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22"/>
          <w:szCs w:val="22"/>
          <w:color w:val="auto"/>
        </w:rPr>
        <w:t>By:</w:t>
        <w:tab/>
        <w:t>/s/ Christopher R. Britt</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Christopher R. Britt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-158750</wp:posOffset>
            </wp:positionV>
            <wp:extent cx="3497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ind w:left="4060"/>
        <w:spacing w:after="0"/>
        <w:rPr>
          <w:sz w:val="20"/>
          <w:szCs w:val="20"/>
          <w:color w:val="auto"/>
        </w:rPr>
      </w:pPr>
      <w:r>
        <w:rPr>
          <w:rFonts w:ascii="Times New Roman" w:cs="Times New Roman" w:eastAsia="Times New Roman" w:hAnsi="Times New Roman"/>
          <w:sz w:val="22"/>
          <w:szCs w:val="22"/>
          <w:color w:val="auto"/>
        </w:rPr>
        <w:t>Title: Trustee</w:t>
      </w:r>
    </w:p>
    <w:p>
      <w:pPr>
        <w:spacing w:after="0" w:line="200" w:lineRule="exact"/>
        <w:rPr>
          <w:sz w:val="20"/>
          <w:szCs w:val="20"/>
          <w:color w:val="auto"/>
        </w:rPr>
      </w:pPr>
    </w:p>
    <w:p>
      <w:pPr>
        <w:spacing w:after="0" w:line="23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Address: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SIGNATURE PAGE TO</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 FOR CHIME FINANCIAL INC.</w:t>
      </w:r>
    </w:p>
    <w:p>
      <w:pPr>
        <w:sectPr>
          <w:pgSz w:w="11900" w:h="16838" w:orient="portrait"/>
          <w:cols w:equalWidth="0" w:num="1">
            <w:col w:w="9200"/>
          </w:cols>
          <w:pgMar w:left="1440" w:top="124" w:right="1259" w:bottom="1440" w:gutter="0" w:footer="0" w:header="0"/>
        </w:sectPr>
      </w:pPr>
    </w:p>
    <w:bookmarkStart w:id="383" w:name="page384"/>
    <w:bookmarkEnd w:id="383"/>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have executed this Agreement as of the date first above written.</w:t>
      </w:r>
    </w:p>
    <w:p>
      <w:pPr>
        <w:spacing w:after="0" w:line="25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KEY HOLDERS:</w:t>
      </w:r>
    </w:p>
    <w:p>
      <w:pPr>
        <w:spacing w:after="0" w:line="260"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CHRISTOPHER R. BRITT, TRUSTEE OF</w:t>
      </w:r>
    </w:p>
    <w:p>
      <w:pPr>
        <w:spacing w:after="0" w:line="3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THE BRITT 2018-A GRAT</w:t>
      </w:r>
    </w:p>
    <w:p>
      <w:pPr>
        <w:spacing w:after="0" w:line="200" w:lineRule="exact"/>
        <w:rPr>
          <w:sz w:val="20"/>
          <w:szCs w:val="20"/>
          <w:color w:val="auto"/>
        </w:rPr>
      </w:pPr>
    </w:p>
    <w:p>
      <w:pPr>
        <w:spacing w:after="0" w:line="239"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22"/>
          <w:szCs w:val="22"/>
          <w:color w:val="auto"/>
        </w:rPr>
        <w:t>By:</w:t>
        <w:tab/>
        <w:t>/s/ Christopher R. Britt</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Christopher R. Britt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-158750</wp:posOffset>
            </wp:positionV>
            <wp:extent cx="3497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ind w:left="4060"/>
        <w:spacing w:after="0"/>
        <w:rPr>
          <w:sz w:val="20"/>
          <w:szCs w:val="20"/>
          <w:color w:val="auto"/>
        </w:rPr>
      </w:pPr>
      <w:r>
        <w:rPr>
          <w:rFonts w:ascii="Times New Roman" w:cs="Times New Roman" w:eastAsia="Times New Roman" w:hAnsi="Times New Roman"/>
          <w:sz w:val="22"/>
          <w:szCs w:val="22"/>
          <w:color w:val="auto"/>
        </w:rPr>
        <w:t>Title: Trustee</w:t>
      </w:r>
    </w:p>
    <w:p>
      <w:pPr>
        <w:spacing w:after="0" w:line="200" w:lineRule="exact"/>
        <w:rPr>
          <w:sz w:val="20"/>
          <w:szCs w:val="20"/>
          <w:color w:val="auto"/>
        </w:rPr>
      </w:pPr>
    </w:p>
    <w:p>
      <w:pPr>
        <w:spacing w:after="0" w:line="23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Address: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SIGNATURE PAGE TO</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 FOR CHIME FINANCIAL INC.</w:t>
      </w:r>
    </w:p>
    <w:p>
      <w:pPr>
        <w:sectPr>
          <w:pgSz w:w="11900" w:h="16838" w:orient="portrait"/>
          <w:cols w:equalWidth="0" w:num="1">
            <w:col w:w="9200"/>
          </w:cols>
          <w:pgMar w:left="1440" w:top="124" w:right="1259" w:bottom="1440" w:gutter="0" w:footer="0" w:header="0"/>
        </w:sectPr>
      </w:pPr>
    </w:p>
    <w:bookmarkStart w:id="384" w:name="page385"/>
    <w:bookmarkEnd w:id="384"/>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have executed this Agreement as of the date first above written.</w:t>
      </w:r>
    </w:p>
    <w:p>
      <w:pPr>
        <w:spacing w:after="0" w:line="25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KEY HOLDERS:</w:t>
      </w:r>
    </w:p>
    <w:p>
      <w:pPr>
        <w:spacing w:after="0" w:line="260"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CHRISTOPHER R. BRITT, TRUSTEE OF</w:t>
      </w:r>
    </w:p>
    <w:p>
      <w:pPr>
        <w:spacing w:after="0" w:line="3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THE BRITT 2018-B GRAT</w:t>
      </w:r>
    </w:p>
    <w:p>
      <w:pPr>
        <w:spacing w:after="0" w:line="200" w:lineRule="exact"/>
        <w:rPr>
          <w:sz w:val="20"/>
          <w:szCs w:val="20"/>
          <w:color w:val="auto"/>
        </w:rPr>
      </w:pPr>
    </w:p>
    <w:p>
      <w:pPr>
        <w:spacing w:after="0" w:line="239"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22"/>
          <w:szCs w:val="22"/>
          <w:color w:val="auto"/>
        </w:rPr>
        <w:t>By:</w:t>
        <w:tab/>
        <w:t>/s/ Christopher R. Britt</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Christopher R. Britt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-158750</wp:posOffset>
            </wp:positionV>
            <wp:extent cx="3497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ind w:left="4060"/>
        <w:spacing w:after="0"/>
        <w:rPr>
          <w:sz w:val="20"/>
          <w:szCs w:val="20"/>
          <w:color w:val="auto"/>
        </w:rPr>
      </w:pPr>
      <w:r>
        <w:rPr>
          <w:rFonts w:ascii="Times New Roman" w:cs="Times New Roman" w:eastAsia="Times New Roman" w:hAnsi="Times New Roman"/>
          <w:sz w:val="22"/>
          <w:szCs w:val="22"/>
          <w:color w:val="auto"/>
        </w:rPr>
        <w:t>Title: Trustee</w:t>
      </w:r>
    </w:p>
    <w:p>
      <w:pPr>
        <w:spacing w:after="0" w:line="200" w:lineRule="exact"/>
        <w:rPr>
          <w:sz w:val="20"/>
          <w:szCs w:val="20"/>
          <w:color w:val="auto"/>
        </w:rPr>
      </w:pPr>
    </w:p>
    <w:p>
      <w:pPr>
        <w:spacing w:after="0" w:line="23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Address: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SIGNATURE PAGE TO</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 FOR CHIME FINANCIAL INC.</w:t>
      </w:r>
    </w:p>
    <w:p>
      <w:pPr>
        <w:sectPr>
          <w:pgSz w:w="11900" w:h="16838" w:orient="portrait"/>
          <w:cols w:equalWidth="0" w:num="1">
            <w:col w:w="9200"/>
          </w:cols>
          <w:pgMar w:left="1440" w:top="124" w:right="1259" w:bottom="1440" w:gutter="0" w:footer="0" w:header="0"/>
        </w:sectPr>
      </w:pPr>
    </w:p>
    <w:bookmarkStart w:id="385" w:name="page386"/>
    <w:bookmarkEnd w:id="385"/>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hereto have executed this Agreement as of the date first written above.</w:t>
      </w: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KEY HOLDERS:</w:t>
      </w:r>
    </w:p>
    <w:p>
      <w:pPr>
        <w:spacing w:after="0" w:line="200" w:lineRule="exact"/>
        <w:rPr>
          <w:sz w:val="20"/>
          <w:szCs w:val="20"/>
          <w:color w:val="auto"/>
        </w:rPr>
      </w:pPr>
    </w:p>
    <w:p>
      <w:pPr>
        <w:spacing w:after="0" w:line="27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CHRISTOPHER R. BRITT, TRUSTEE OF</w:t>
      </w:r>
    </w:p>
    <w:p>
      <w:pPr>
        <w:spacing w:after="0" w:line="3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THE RJB EXEMPT TRUST</w:t>
      </w:r>
    </w:p>
    <w:p>
      <w:pPr>
        <w:spacing w:after="0" w:line="200" w:lineRule="exact"/>
        <w:rPr>
          <w:sz w:val="20"/>
          <w:szCs w:val="20"/>
          <w:color w:val="auto"/>
        </w:rPr>
      </w:pPr>
    </w:p>
    <w:p>
      <w:pPr>
        <w:spacing w:after="0" w:line="239"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22"/>
          <w:szCs w:val="22"/>
          <w:color w:val="auto"/>
        </w:rPr>
        <w:t>By:</w:t>
        <w:tab/>
        <w:t>/s/ Christopher R. Britt</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Christopher R. Britt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-158750</wp:posOffset>
            </wp:positionV>
            <wp:extent cx="3497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ind w:left="4060"/>
        <w:spacing w:after="0"/>
        <w:rPr>
          <w:sz w:val="20"/>
          <w:szCs w:val="20"/>
          <w:color w:val="auto"/>
        </w:rPr>
      </w:pPr>
      <w:r>
        <w:rPr>
          <w:rFonts w:ascii="Times New Roman" w:cs="Times New Roman" w:eastAsia="Times New Roman" w:hAnsi="Times New Roman"/>
          <w:sz w:val="22"/>
          <w:szCs w:val="22"/>
          <w:color w:val="auto"/>
        </w:rPr>
        <w:t>Title: Trustee</w:t>
      </w:r>
    </w:p>
    <w:p>
      <w:pPr>
        <w:spacing w:after="0" w:line="200" w:lineRule="exact"/>
        <w:rPr>
          <w:sz w:val="20"/>
          <w:szCs w:val="20"/>
          <w:color w:val="auto"/>
        </w:rPr>
      </w:pPr>
    </w:p>
    <w:p>
      <w:pPr>
        <w:spacing w:after="0" w:line="23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Address: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SIGNATURE PAGE TO</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 FOR CHIME FINANCIAL INC.</w:t>
      </w:r>
    </w:p>
    <w:p>
      <w:pPr>
        <w:sectPr>
          <w:pgSz w:w="11900" w:h="16838" w:orient="portrait"/>
          <w:cols w:equalWidth="0" w:num="1">
            <w:col w:w="9800"/>
          </w:cols>
          <w:pgMar w:left="1440" w:top="124" w:right="659" w:bottom="1440" w:gutter="0" w:footer="0" w:header="0"/>
        </w:sectPr>
      </w:pPr>
    </w:p>
    <w:bookmarkStart w:id="386" w:name="page387"/>
    <w:bookmarkEnd w:id="386"/>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hereto have executed this Agreement as of the date first written above.</w:t>
      </w: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KEY HOLDERS:</w:t>
      </w:r>
    </w:p>
    <w:p>
      <w:pPr>
        <w:spacing w:after="0" w:line="200" w:lineRule="exact"/>
        <w:rPr>
          <w:sz w:val="20"/>
          <w:szCs w:val="20"/>
          <w:color w:val="auto"/>
        </w:rPr>
      </w:pPr>
    </w:p>
    <w:p>
      <w:pPr>
        <w:spacing w:after="0" w:line="27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CHRISTOPHER R. BRITT, TRUSTEE OF</w:t>
      </w:r>
    </w:p>
    <w:p>
      <w:pPr>
        <w:spacing w:after="0" w:line="3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THE OAB EXEMPT TRUST</w:t>
      </w:r>
    </w:p>
    <w:p>
      <w:pPr>
        <w:spacing w:after="0" w:line="200" w:lineRule="exact"/>
        <w:rPr>
          <w:sz w:val="20"/>
          <w:szCs w:val="20"/>
          <w:color w:val="auto"/>
        </w:rPr>
      </w:pPr>
    </w:p>
    <w:p>
      <w:pPr>
        <w:spacing w:after="0" w:line="239"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22"/>
          <w:szCs w:val="22"/>
          <w:color w:val="auto"/>
        </w:rPr>
        <w:t>By:</w:t>
        <w:tab/>
        <w:t>/s/ Christopher R. Britt</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Christopher R. Britt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-158750</wp:posOffset>
            </wp:positionV>
            <wp:extent cx="3497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ind w:left="4060"/>
        <w:spacing w:after="0"/>
        <w:rPr>
          <w:sz w:val="20"/>
          <w:szCs w:val="20"/>
          <w:color w:val="auto"/>
        </w:rPr>
      </w:pPr>
      <w:r>
        <w:rPr>
          <w:rFonts w:ascii="Times New Roman" w:cs="Times New Roman" w:eastAsia="Times New Roman" w:hAnsi="Times New Roman"/>
          <w:sz w:val="22"/>
          <w:szCs w:val="22"/>
          <w:color w:val="auto"/>
        </w:rPr>
        <w:t>Title: Trustee</w:t>
      </w:r>
    </w:p>
    <w:p>
      <w:pPr>
        <w:spacing w:after="0" w:line="200" w:lineRule="exact"/>
        <w:rPr>
          <w:sz w:val="20"/>
          <w:szCs w:val="20"/>
          <w:color w:val="auto"/>
        </w:rPr>
      </w:pPr>
    </w:p>
    <w:p>
      <w:pPr>
        <w:spacing w:after="0" w:line="23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Address: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SIGNATURE PAGE TO</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 FOR CHIME FINANCIAL INC.</w:t>
      </w:r>
    </w:p>
    <w:p>
      <w:pPr>
        <w:sectPr>
          <w:pgSz w:w="11900" w:h="16838" w:orient="portrait"/>
          <w:cols w:equalWidth="0" w:num="1">
            <w:col w:w="9800"/>
          </w:cols>
          <w:pgMar w:left="1440" w:top="124" w:right="659" w:bottom="1440" w:gutter="0" w:footer="0" w:header="0"/>
        </w:sectPr>
      </w:pPr>
    </w:p>
    <w:bookmarkStart w:id="387" w:name="page388"/>
    <w:bookmarkEnd w:id="387"/>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have executed this Agreement as of the date first above written.</w:t>
      </w:r>
    </w:p>
    <w:p>
      <w:pPr>
        <w:spacing w:after="0" w:line="25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KEY HOLDERS:</w:t>
      </w:r>
    </w:p>
    <w:p>
      <w:pPr>
        <w:spacing w:after="0" w:line="200" w:lineRule="exact"/>
        <w:rPr>
          <w:sz w:val="20"/>
          <w:szCs w:val="20"/>
          <w:color w:val="auto"/>
        </w:rPr>
      </w:pPr>
    </w:p>
    <w:p>
      <w:pPr>
        <w:spacing w:after="0" w:line="27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RYAN KING</w:t>
      </w:r>
    </w:p>
    <w:p>
      <w:pPr>
        <w:spacing w:after="0" w:line="200" w:lineRule="exact"/>
        <w:rPr>
          <w:sz w:val="20"/>
          <w:szCs w:val="20"/>
          <w:color w:val="auto"/>
        </w:rPr>
      </w:pPr>
    </w:p>
    <w:p>
      <w:pPr>
        <w:spacing w:after="0" w:line="267"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22"/>
          <w:szCs w:val="22"/>
          <w:color w:val="auto"/>
        </w:rPr>
        <w:t>By:</w:t>
        <w:tab/>
        <w:t>/s/ Ryan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19685</wp:posOffset>
            </wp:positionV>
            <wp:extent cx="3497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213"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Address: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SIGNATURE PAGE TO</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 FOR CHIME FINANCIAL INC.</w:t>
      </w:r>
    </w:p>
    <w:p>
      <w:pPr>
        <w:sectPr>
          <w:pgSz w:w="11900" w:h="16838" w:orient="portrait"/>
          <w:cols w:equalWidth="0" w:num="1">
            <w:col w:w="9200"/>
          </w:cols>
          <w:pgMar w:left="1440" w:top="124" w:right="1259" w:bottom="1440" w:gutter="0" w:footer="0" w:header="0"/>
        </w:sectPr>
      </w:pPr>
    </w:p>
    <w:bookmarkStart w:id="388" w:name="page389"/>
    <w:bookmarkEnd w:id="388"/>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have executed this Agreement as of the date first above written.</w:t>
      </w:r>
    </w:p>
    <w:p>
      <w:pPr>
        <w:spacing w:after="0" w:line="25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KEY HOLDERS:</w:t>
      </w:r>
    </w:p>
    <w:p>
      <w:pPr>
        <w:spacing w:after="0" w:line="260"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ANNUAL GIFT TRUST FOR ALANA</w:t>
      </w:r>
    </w:p>
    <w:p>
      <w:pPr>
        <w:spacing w:after="0" w:line="200" w:lineRule="exact"/>
        <w:rPr>
          <w:sz w:val="20"/>
          <w:szCs w:val="20"/>
          <w:color w:val="auto"/>
        </w:rPr>
      </w:pPr>
    </w:p>
    <w:p>
      <w:pPr>
        <w:spacing w:after="0" w:line="267"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22"/>
          <w:szCs w:val="22"/>
          <w:color w:val="auto"/>
        </w:rPr>
        <w:t>By:</w:t>
        <w:tab/>
        <w:t>/s/ Ryan King</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Ryan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-158750</wp:posOffset>
            </wp:positionV>
            <wp:extent cx="3497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ind w:left="4060"/>
        <w:spacing w:after="0"/>
        <w:rPr>
          <w:sz w:val="20"/>
          <w:szCs w:val="20"/>
          <w:color w:val="auto"/>
        </w:rPr>
      </w:pPr>
      <w:r>
        <w:rPr>
          <w:rFonts w:ascii="Times New Roman" w:cs="Times New Roman" w:eastAsia="Times New Roman" w:hAnsi="Times New Roman"/>
          <w:sz w:val="22"/>
          <w:szCs w:val="22"/>
          <w:color w:val="auto"/>
        </w:rPr>
        <w:t>Title: Trustee</w:t>
      </w:r>
    </w:p>
    <w:p>
      <w:pPr>
        <w:spacing w:after="0" w:line="200" w:lineRule="exact"/>
        <w:rPr>
          <w:sz w:val="20"/>
          <w:szCs w:val="20"/>
          <w:color w:val="auto"/>
        </w:rPr>
      </w:pPr>
    </w:p>
    <w:p>
      <w:pPr>
        <w:spacing w:after="0" w:line="23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Address: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SIGNATURE PAGE TO</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 FOR CHIME FINANCIAL INC.</w:t>
      </w:r>
    </w:p>
    <w:p>
      <w:pPr>
        <w:sectPr>
          <w:pgSz w:w="11900" w:h="16838" w:orient="portrait"/>
          <w:cols w:equalWidth="0" w:num="1">
            <w:col w:w="9200"/>
          </w:cols>
          <w:pgMar w:left="1440" w:top="124" w:right="1259" w:bottom="1440" w:gutter="0" w:footer="0" w:header="0"/>
        </w:sectPr>
      </w:pPr>
    </w:p>
    <w:bookmarkStart w:id="389" w:name="page390"/>
    <w:bookmarkEnd w:id="389"/>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have executed this Agreement as of the date first above written.</w:t>
      </w:r>
    </w:p>
    <w:p>
      <w:pPr>
        <w:spacing w:after="0" w:line="25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KEY HOLDERS:</w:t>
      </w:r>
    </w:p>
    <w:p>
      <w:pPr>
        <w:spacing w:after="0" w:line="260"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IRREVOCABLE GIFT TRUST FOR ALANA</w:t>
      </w:r>
    </w:p>
    <w:p>
      <w:pPr>
        <w:spacing w:after="0" w:line="200" w:lineRule="exact"/>
        <w:rPr>
          <w:sz w:val="20"/>
          <w:szCs w:val="20"/>
          <w:color w:val="auto"/>
        </w:rPr>
      </w:pPr>
    </w:p>
    <w:p>
      <w:pPr>
        <w:spacing w:after="0" w:line="267"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22"/>
          <w:szCs w:val="22"/>
          <w:color w:val="auto"/>
        </w:rPr>
        <w:t>By:</w:t>
        <w:tab/>
        <w:t>/s/ Ryan King</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Ryan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-158750</wp:posOffset>
            </wp:positionV>
            <wp:extent cx="3497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ind w:left="4060"/>
        <w:spacing w:after="0"/>
        <w:rPr>
          <w:sz w:val="20"/>
          <w:szCs w:val="20"/>
          <w:color w:val="auto"/>
        </w:rPr>
      </w:pPr>
      <w:r>
        <w:rPr>
          <w:rFonts w:ascii="Times New Roman" w:cs="Times New Roman" w:eastAsia="Times New Roman" w:hAnsi="Times New Roman"/>
          <w:sz w:val="22"/>
          <w:szCs w:val="22"/>
          <w:color w:val="auto"/>
        </w:rPr>
        <w:t>Title: Trustee</w:t>
      </w:r>
    </w:p>
    <w:p>
      <w:pPr>
        <w:spacing w:after="0" w:line="200" w:lineRule="exact"/>
        <w:rPr>
          <w:sz w:val="20"/>
          <w:szCs w:val="20"/>
          <w:color w:val="auto"/>
        </w:rPr>
      </w:pPr>
    </w:p>
    <w:p>
      <w:pPr>
        <w:spacing w:after="0" w:line="23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Address: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SIGNATURE PAGE TO</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 FOR CHIME FINANCIAL INC.</w:t>
      </w:r>
    </w:p>
    <w:p>
      <w:pPr>
        <w:sectPr>
          <w:pgSz w:w="11900" w:h="16838" w:orient="portrait"/>
          <w:cols w:equalWidth="0" w:num="1">
            <w:col w:w="9200"/>
          </w:cols>
          <w:pgMar w:left="1440" w:top="124" w:right="1259" w:bottom="1440" w:gutter="0" w:footer="0" w:header="0"/>
        </w:sectPr>
      </w:pPr>
    </w:p>
    <w:bookmarkStart w:id="390" w:name="page391"/>
    <w:bookmarkEnd w:id="390"/>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have executed this Agreement as of the date first above written.</w:t>
      </w:r>
    </w:p>
    <w:p>
      <w:pPr>
        <w:spacing w:after="0" w:line="25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KEY HOLDERS:</w:t>
      </w:r>
    </w:p>
    <w:p>
      <w:pPr>
        <w:spacing w:after="0" w:line="200" w:lineRule="exact"/>
        <w:rPr>
          <w:sz w:val="20"/>
          <w:szCs w:val="20"/>
          <w:color w:val="auto"/>
        </w:rPr>
      </w:pPr>
    </w:p>
    <w:p>
      <w:pPr>
        <w:spacing w:after="0" w:line="27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ANNUAL GIFT TRUST FOR ALBA</w:t>
      </w:r>
    </w:p>
    <w:p>
      <w:pPr>
        <w:spacing w:after="0" w:line="200" w:lineRule="exact"/>
        <w:rPr>
          <w:sz w:val="20"/>
          <w:szCs w:val="20"/>
          <w:color w:val="auto"/>
        </w:rPr>
      </w:pPr>
    </w:p>
    <w:p>
      <w:pPr>
        <w:spacing w:after="0" w:line="267"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22"/>
          <w:szCs w:val="22"/>
          <w:color w:val="auto"/>
        </w:rPr>
        <w:t>By:</w:t>
        <w:tab/>
        <w:t>/s/ Ryan King</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Ryan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-158750</wp:posOffset>
            </wp:positionV>
            <wp:extent cx="3497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ind w:left="4060"/>
        <w:spacing w:after="0"/>
        <w:rPr>
          <w:sz w:val="20"/>
          <w:szCs w:val="20"/>
          <w:color w:val="auto"/>
        </w:rPr>
      </w:pPr>
      <w:r>
        <w:rPr>
          <w:rFonts w:ascii="Times New Roman" w:cs="Times New Roman" w:eastAsia="Times New Roman" w:hAnsi="Times New Roman"/>
          <w:sz w:val="22"/>
          <w:szCs w:val="22"/>
          <w:color w:val="auto"/>
        </w:rPr>
        <w:t>Title: Trustee</w:t>
      </w:r>
    </w:p>
    <w:p>
      <w:pPr>
        <w:spacing w:after="0" w:line="200" w:lineRule="exact"/>
        <w:rPr>
          <w:sz w:val="20"/>
          <w:szCs w:val="20"/>
          <w:color w:val="auto"/>
        </w:rPr>
      </w:pPr>
    </w:p>
    <w:p>
      <w:pPr>
        <w:spacing w:after="0" w:line="23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Address: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SIGNATURE PAGE TO</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 FOR CHIME FINANCIAL INC.</w:t>
      </w:r>
    </w:p>
    <w:p>
      <w:pPr>
        <w:sectPr>
          <w:pgSz w:w="11900" w:h="16838" w:orient="portrait"/>
          <w:cols w:equalWidth="0" w:num="1">
            <w:col w:w="9200"/>
          </w:cols>
          <w:pgMar w:left="1440" w:top="124" w:right="1259" w:bottom="1440" w:gutter="0" w:footer="0" w:header="0"/>
        </w:sectPr>
      </w:pPr>
    </w:p>
    <w:bookmarkStart w:id="391" w:name="page392"/>
    <w:bookmarkEnd w:id="391"/>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have executed this Agreement as of the date first above written.</w:t>
      </w:r>
    </w:p>
    <w:p>
      <w:pPr>
        <w:spacing w:after="0" w:line="25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KEY HOLDERS:</w:t>
      </w:r>
    </w:p>
    <w:p>
      <w:pPr>
        <w:spacing w:after="0" w:line="200" w:lineRule="exact"/>
        <w:rPr>
          <w:sz w:val="20"/>
          <w:szCs w:val="20"/>
          <w:color w:val="auto"/>
        </w:rPr>
      </w:pPr>
    </w:p>
    <w:p>
      <w:pPr>
        <w:spacing w:after="0" w:line="27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ANNUAL GIFT TRUST FOR CARLES</w:t>
      </w:r>
    </w:p>
    <w:p>
      <w:pPr>
        <w:spacing w:after="0" w:line="200" w:lineRule="exact"/>
        <w:rPr>
          <w:sz w:val="20"/>
          <w:szCs w:val="20"/>
          <w:color w:val="auto"/>
        </w:rPr>
      </w:pPr>
    </w:p>
    <w:p>
      <w:pPr>
        <w:spacing w:after="0" w:line="267"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22"/>
          <w:szCs w:val="22"/>
          <w:color w:val="auto"/>
        </w:rPr>
        <w:t>By:</w:t>
        <w:tab/>
        <w:t>/s/ Ryan King</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Ryan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-158750</wp:posOffset>
            </wp:positionV>
            <wp:extent cx="3497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ind w:left="4060"/>
        <w:spacing w:after="0"/>
        <w:rPr>
          <w:sz w:val="20"/>
          <w:szCs w:val="20"/>
          <w:color w:val="auto"/>
        </w:rPr>
      </w:pPr>
      <w:r>
        <w:rPr>
          <w:rFonts w:ascii="Times New Roman" w:cs="Times New Roman" w:eastAsia="Times New Roman" w:hAnsi="Times New Roman"/>
          <w:sz w:val="22"/>
          <w:szCs w:val="22"/>
          <w:color w:val="auto"/>
        </w:rPr>
        <w:t>Title: Trustee</w:t>
      </w:r>
    </w:p>
    <w:p>
      <w:pPr>
        <w:spacing w:after="0" w:line="200" w:lineRule="exact"/>
        <w:rPr>
          <w:sz w:val="20"/>
          <w:szCs w:val="20"/>
          <w:color w:val="auto"/>
        </w:rPr>
      </w:pPr>
    </w:p>
    <w:p>
      <w:pPr>
        <w:spacing w:after="0" w:line="23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Address: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SIGNATURE PAGE TO</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 FOR CHIME FINANCIAL INC.</w:t>
      </w:r>
    </w:p>
    <w:p>
      <w:pPr>
        <w:sectPr>
          <w:pgSz w:w="11900" w:h="16838" w:orient="portrait"/>
          <w:cols w:equalWidth="0" w:num="1">
            <w:col w:w="9200"/>
          </w:cols>
          <w:pgMar w:left="1440" w:top="124" w:right="1259" w:bottom="1440" w:gutter="0" w:footer="0" w:header="0"/>
        </w:sectPr>
      </w:pPr>
    </w:p>
    <w:bookmarkStart w:id="392" w:name="page393"/>
    <w:bookmarkEnd w:id="392"/>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have executed this Agreement as of the date first above written.</w:t>
      </w:r>
    </w:p>
    <w:p>
      <w:pPr>
        <w:spacing w:after="0" w:line="25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KEY HOLDERS:</w:t>
      </w:r>
    </w:p>
    <w:p>
      <w:pPr>
        <w:spacing w:after="0" w:line="200" w:lineRule="exact"/>
        <w:rPr>
          <w:sz w:val="20"/>
          <w:szCs w:val="20"/>
          <w:color w:val="auto"/>
        </w:rPr>
      </w:pPr>
    </w:p>
    <w:p>
      <w:pPr>
        <w:spacing w:after="0" w:line="27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ANNUAL GIFT TRUST FOR ESTELLE</w:t>
      </w:r>
    </w:p>
    <w:p>
      <w:pPr>
        <w:spacing w:after="0" w:line="200" w:lineRule="exact"/>
        <w:rPr>
          <w:sz w:val="20"/>
          <w:szCs w:val="20"/>
          <w:color w:val="auto"/>
        </w:rPr>
      </w:pPr>
    </w:p>
    <w:p>
      <w:pPr>
        <w:spacing w:after="0" w:line="267"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22"/>
          <w:szCs w:val="22"/>
          <w:color w:val="auto"/>
        </w:rPr>
        <w:t>By:</w:t>
        <w:tab/>
        <w:t>/s/ Ryan King</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Ryan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-158750</wp:posOffset>
            </wp:positionV>
            <wp:extent cx="3497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ind w:left="4060"/>
        <w:spacing w:after="0"/>
        <w:rPr>
          <w:sz w:val="20"/>
          <w:szCs w:val="20"/>
          <w:color w:val="auto"/>
        </w:rPr>
      </w:pPr>
      <w:r>
        <w:rPr>
          <w:rFonts w:ascii="Times New Roman" w:cs="Times New Roman" w:eastAsia="Times New Roman" w:hAnsi="Times New Roman"/>
          <w:sz w:val="22"/>
          <w:szCs w:val="22"/>
          <w:color w:val="auto"/>
        </w:rPr>
        <w:t>Title: Trustee</w:t>
      </w:r>
    </w:p>
    <w:p>
      <w:pPr>
        <w:spacing w:after="0" w:line="200" w:lineRule="exact"/>
        <w:rPr>
          <w:sz w:val="20"/>
          <w:szCs w:val="20"/>
          <w:color w:val="auto"/>
        </w:rPr>
      </w:pPr>
    </w:p>
    <w:p>
      <w:pPr>
        <w:spacing w:after="0" w:line="23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Address: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SIGNATURE PAGE TO</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 FOR CHIME FINANCIAL INC.</w:t>
      </w:r>
    </w:p>
    <w:p>
      <w:pPr>
        <w:sectPr>
          <w:pgSz w:w="11900" w:h="16838" w:orient="portrait"/>
          <w:cols w:equalWidth="0" w:num="1">
            <w:col w:w="9200"/>
          </w:cols>
          <w:pgMar w:left="1440" w:top="124" w:right="1259" w:bottom="1440" w:gutter="0" w:footer="0" w:header="0"/>
        </w:sectPr>
      </w:pPr>
    </w:p>
    <w:bookmarkStart w:id="393" w:name="page394"/>
    <w:bookmarkEnd w:id="393"/>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have executed this Agreement as of the date first above written.</w:t>
      </w:r>
    </w:p>
    <w:p>
      <w:pPr>
        <w:spacing w:after="0" w:line="25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KEY HOLDERS:</w:t>
      </w:r>
    </w:p>
    <w:p>
      <w:pPr>
        <w:spacing w:after="0" w:line="200" w:lineRule="exact"/>
        <w:rPr>
          <w:sz w:val="20"/>
          <w:szCs w:val="20"/>
          <w:color w:val="auto"/>
        </w:rPr>
      </w:pPr>
    </w:p>
    <w:p>
      <w:pPr>
        <w:spacing w:after="0" w:line="27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ANNUAL GIFT TRUST FOR LANDON</w:t>
      </w:r>
    </w:p>
    <w:p>
      <w:pPr>
        <w:spacing w:after="0" w:line="200" w:lineRule="exact"/>
        <w:rPr>
          <w:sz w:val="20"/>
          <w:szCs w:val="20"/>
          <w:color w:val="auto"/>
        </w:rPr>
      </w:pPr>
    </w:p>
    <w:p>
      <w:pPr>
        <w:spacing w:after="0" w:line="267"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22"/>
          <w:szCs w:val="22"/>
          <w:color w:val="auto"/>
        </w:rPr>
        <w:t>By:</w:t>
        <w:tab/>
        <w:t>/s/ Ryan King</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Ryan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-158750</wp:posOffset>
            </wp:positionV>
            <wp:extent cx="3497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ind w:left="4060"/>
        <w:spacing w:after="0"/>
        <w:rPr>
          <w:sz w:val="20"/>
          <w:szCs w:val="20"/>
          <w:color w:val="auto"/>
        </w:rPr>
      </w:pPr>
      <w:r>
        <w:rPr>
          <w:rFonts w:ascii="Times New Roman" w:cs="Times New Roman" w:eastAsia="Times New Roman" w:hAnsi="Times New Roman"/>
          <w:sz w:val="22"/>
          <w:szCs w:val="22"/>
          <w:color w:val="auto"/>
        </w:rPr>
        <w:t>Title: Trustee</w:t>
      </w:r>
    </w:p>
    <w:p>
      <w:pPr>
        <w:spacing w:after="0" w:line="200" w:lineRule="exact"/>
        <w:rPr>
          <w:sz w:val="20"/>
          <w:szCs w:val="20"/>
          <w:color w:val="auto"/>
        </w:rPr>
      </w:pPr>
    </w:p>
    <w:p>
      <w:pPr>
        <w:spacing w:after="0" w:line="23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Address: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SIGNATURE PAGE TO</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 FOR CHIME FINANCIAL INC.</w:t>
      </w:r>
    </w:p>
    <w:p>
      <w:pPr>
        <w:sectPr>
          <w:pgSz w:w="11900" w:h="16838" w:orient="portrait"/>
          <w:cols w:equalWidth="0" w:num="1">
            <w:col w:w="9200"/>
          </w:cols>
          <w:pgMar w:left="1440" w:top="124" w:right="1259" w:bottom="1440" w:gutter="0" w:footer="0" w:header="0"/>
        </w:sectPr>
      </w:pPr>
    </w:p>
    <w:bookmarkStart w:id="394" w:name="page395"/>
    <w:bookmarkEnd w:id="394"/>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have executed this Agreement as of the date first above written.</w:t>
      </w:r>
    </w:p>
    <w:p>
      <w:pPr>
        <w:spacing w:after="0" w:line="25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KEY HOLDERS:</w:t>
      </w:r>
    </w:p>
    <w:p>
      <w:pPr>
        <w:spacing w:after="0" w:line="200" w:lineRule="exact"/>
        <w:rPr>
          <w:sz w:val="20"/>
          <w:szCs w:val="20"/>
          <w:color w:val="auto"/>
        </w:rPr>
      </w:pPr>
    </w:p>
    <w:p>
      <w:pPr>
        <w:spacing w:after="0" w:line="27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ANNUAL GIFT TRUST FOR MELINA</w:t>
      </w:r>
    </w:p>
    <w:p>
      <w:pPr>
        <w:spacing w:after="0" w:line="200" w:lineRule="exact"/>
        <w:rPr>
          <w:sz w:val="20"/>
          <w:szCs w:val="20"/>
          <w:color w:val="auto"/>
        </w:rPr>
      </w:pPr>
    </w:p>
    <w:p>
      <w:pPr>
        <w:spacing w:after="0" w:line="267"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22"/>
          <w:szCs w:val="22"/>
          <w:color w:val="auto"/>
        </w:rPr>
        <w:t>By:</w:t>
        <w:tab/>
        <w:t>/s/ Ryan King</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Ryan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-158750</wp:posOffset>
            </wp:positionV>
            <wp:extent cx="3497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ind w:left="4060"/>
        <w:spacing w:after="0"/>
        <w:rPr>
          <w:sz w:val="20"/>
          <w:szCs w:val="20"/>
          <w:color w:val="auto"/>
        </w:rPr>
      </w:pPr>
      <w:r>
        <w:rPr>
          <w:rFonts w:ascii="Times New Roman" w:cs="Times New Roman" w:eastAsia="Times New Roman" w:hAnsi="Times New Roman"/>
          <w:sz w:val="22"/>
          <w:szCs w:val="22"/>
          <w:color w:val="auto"/>
        </w:rPr>
        <w:t>Title: Trustee</w:t>
      </w:r>
    </w:p>
    <w:p>
      <w:pPr>
        <w:spacing w:after="0" w:line="200" w:lineRule="exact"/>
        <w:rPr>
          <w:sz w:val="20"/>
          <w:szCs w:val="20"/>
          <w:color w:val="auto"/>
        </w:rPr>
      </w:pPr>
    </w:p>
    <w:p>
      <w:pPr>
        <w:spacing w:after="0" w:line="23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Address: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SIGNATURE PAGE TO</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 FOR CHIME FINANCIAL INC.</w:t>
      </w:r>
    </w:p>
    <w:p>
      <w:pPr>
        <w:sectPr>
          <w:pgSz w:w="11900" w:h="16838" w:orient="portrait"/>
          <w:cols w:equalWidth="0" w:num="1">
            <w:col w:w="9200"/>
          </w:cols>
          <w:pgMar w:left="1440" w:top="124" w:right="1259" w:bottom="1440" w:gutter="0" w:footer="0" w:header="0"/>
        </w:sectPr>
      </w:pPr>
    </w:p>
    <w:bookmarkStart w:id="395" w:name="page396"/>
    <w:bookmarkEnd w:id="395"/>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have executed this Agreement as of the date first above written.</w:t>
      </w:r>
    </w:p>
    <w:p>
      <w:pPr>
        <w:spacing w:after="0" w:line="25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KEY HOLDERS:</w:t>
      </w:r>
    </w:p>
    <w:p>
      <w:pPr>
        <w:spacing w:after="0" w:line="200" w:lineRule="exact"/>
        <w:rPr>
          <w:sz w:val="20"/>
          <w:szCs w:val="20"/>
          <w:color w:val="auto"/>
        </w:rPr>
      </w:pPr>
    </w:p>
    <w:p>
      <w:pPr>
        <w:spacing w:after="0" w:line="27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IRREVOCABLE GIFT TRUST FOR MELINA</w:t>
      </w:r>
    </w:p>
    <w:p>
      <w:pPr>
        <w:spacing w:after="0" w:line="200" w:lineRule="exact"/>
        <w:rPr>
          <w:sz w:val="20"/>
          <w:szCs w:val="20"/>
          <w:color w:val="auto"/>
        </w:rPr>
      </w:pPr>
    </w:p>
    <w:p>
      <w:pPr>
        <w:spacing w:after="0" w:line="267"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22"/>
          <w:szCs w:val="22"/>
          <w:color w:val="auto"/>
        </w:rPr>
        <w:t>By:</w:t>
        <w:tab/>
        <w:t>/s/ Ryan King</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Ryan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-158750</wp:posOffset>
            </wp:positionV>
            <wp:extent cx="3497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ind w:left="4060"/>
        <w:spacing w:after="0"/>
        <w:rPr>
          <w:sz w:val="20"/>
          <w:szCs w:val="20"/>
          <w:color w:val="auto"/>
        </w:rPr>
      </w:pPr>
      <w:r>
        <w:rPr>
          <w:rFonts w:ascii="Times New Roman" w:cs="Times New Roman" w:eastAsia="Times New Roman" w:hAnsi="Times New Roman"/>
          <w:sz w:val="22"/>
          <w:szCs w:val="22"/>
          <w:color w:val="auto"/>
        </w:rPr>
        <w:t>Title: Trustee</w:t>
      </w:r>
    </w:p>
    <w:p>
      <w:pPr>
        <w:spacing w:after="0" w:line="200" w:lineRule="exact"/>
        <w:rPr>
          <w:sz w:val="20"/>
          <w:szCs w:val="20"/>
          <w:color w:val="auto"/>
        </w:rPr>
      </w:pPr>
    </w:p>
    <w:p>
      <w:pPr>
        <w:spacing w:after="0" w:line="23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Address: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SIGNATURE PAGE TO</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 FOR CHIME FINANCIAL INC.</w:t>
      </w:r>
    </w:p>
    <w:p>
      <w:pPr>
        <w:sectPr>
          <w:pgSz w:w="11900" w:h="16838" w:orient="portrait"/>
          <w:cols w:equalWidth="0" w:num="1">
            <w:col w:w="9200"/>
          </w:cols>
          <w:pgMar w:left="1440" w:top="124" w:right="1259" w:bottom="1440" w:gutter="0" w:footer="0" w:header="0"/>
        </w:sectPr>
      </w:pPr>
    </w:p>
    <w:bookmarkStart w:id="396" w:name="page397"/>
    <w:bookmarkEnd w:id="396"/>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have executed this Agreement as of the date first above written.</w:t>
      </w:r>
    </w:p>
    <w:p>
      <w:pPr>
        <w:spacing w:after="0" w:line="25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KEY HOLDERS:</w:t>
      </w:r>
    </w:p>
    <w:p>
      <w:pPr>
        <w:spacing w:after="0" w:line="200" w:lineRule="exact"/>
        <w:rPr>
          <w:sz w:val="20"/>
          <w:szCs w:val="20"/>
          <w:color w:val="auto"/>
        </w:rPr>
      </w:pPr>
    </w:p>
    <w:p>
      <w:pPr>
        <w:spacing w:after="0" w:line="27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ANNUAL GIFT TRUST FOR NATALIA</w:t>
      </w:r>
    </w:p>
    <w:p>
      <w:pPr>
        <w:spacing w:after="0" w:line="200" w:lineRule="exact"/>
        <w:rPr>
          <w:sz w:val="20"/>
          <w:szCs w:val="20"/>
          <w:color w:val="auto"/>
        </w:rPr>
      </w:pPr>
    </w:p>
    <w:p>
      <w:pPr>
        <w:spacing w:after="0" w:line="267"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22"/>
          <w:szCs w:val="22"/>
          <w:color w:val="auto"/>
        </w:rPr>
        <w:t>By:</w:t>
        <w:tab/>
        <w:t>/s/ Ryan King</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Ryan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-158750</wp:posOffset>
            </wp:positionV>
            <wp:extent cx="3497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ind w:left="4060"/>
        <w:spacing w:after="0"/>
        <w:rPr>
          <w:sz w:val="20"/>
          <w:szCs w:val="20"/>
          <w:color w:val="auto"/>
        </w:rPr>
      </w:pPr>
      <w:r>
        <w:rPr>
          <w:rFonts w:ascii="Times New Roman" w:cs="Times New Roman" w:eastAsia="Times New Roman" w:hAnsi="Times New Roman"/>
          <w:sz w:val="22"/>
          <w:szCs w:val="22"/>
          <w:color w:val="auto"/>
        </w:rPr>
        <w:t>Title: Trustee</w:t>
      </w:r>
    </w:p>
    <w:p>
      <w:pPr>
        <w:spacing w:after="0" w:line="200" w:lineRule="exact"/>
        <w:rPr>
          <w:sz w:val="20"/>
          <w:szCs w:val="20"/>
          <w:color w:val="auto"/>
        </w:rPr>
      </w:pPr>
    </w:p>
    <w:p>
      <w:pPr>
        <w:spacing w:after="0" w:line="23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Address: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SIGNATURE PAGE TO</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 FOR CHIME FINANCIAL INC.</w:t>
      </w:r>
    </w:p>
    <w:p>
      <w:pPr>
        <w:sectPr>
          <w:pgSz w:w="11900" w:h="16838" w:orient="portrait"/>
          <w:cols w:equalWidth="0" w:num="1">
            <w:col w:w="9200"/>
          </w:cols>
          <w:pgMar w:left="1440" w:top="124" w:right="1259" w:bottom="1440" w:gutter="0" w:footer="0" w:header="0"/>
        </w:sectPr>
      </w:pPr>
    </w:p>
    <w:bookmarkStart w:id="397" w:name="page398"/>
    <w:bookmarkEnd w:id="397"/>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have executed this Agreement as of the date first above written.</w:t>
      </w:r>
    </w:p>
    <w:p>
      <w:pPr>
        <w:spacing w:after="0" w:line="25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KEY HOLDERS:</w:t>
      </w:r>
    </w:p>
    <w:p>
      <w:pPr>
        <w:spacing w:after="0" w:line="200" w:lineRule="exact"/>
        <w:rPr>
          <w:sz w:val="20"/>
          <w:szCs w:val="20"/>
          <w:color w:val="auto"/>
        </w:rPr>
      </w:pPr>
    </w:p>
    <w:p>
      <w:pPr>
        <w:spacing w:after="0" w:line="27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ANNUAL GIFT TRUST FOR STERLING</w:t>
      </w:r>
    </w:p>
    <w:p>
      <w:pPr>
        <w:spacing w:after="0" w:line="200" w:lineRule="exact"/>
        <w:rPr>
          <w:sz w:val="20"/>
          <w:szCs w:val="20"/>
          <w:color w:val="auto"/>
        </w:rPr>
      </w:pPr>
    </w:p>
    <w:p>
      <w:pPr>
        <w:spacing w:after="0" w:line="267"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22"/>
          <w:szCs w:val="22"/>
          <w:color w:val="auto"/>
        </w:rPr>
        <w:t>By:</w:t>
        <w:tab/>
        <w:t>/s/ Ryan King</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Ryan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-158750</wp:posOffset>
            </wp:positionV>
            <wp:extent cx="3497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ind w:left="4060"/>
        <w:spacing w:after="0"/>
        <w:rPr>
          <w:sz w:val="20"/>
          <w:szCs w:val="20"/>
          <w:color w:val="auto"/>
        </w:rPr>
      </w:pPr>
      <w:r>
        <w:rPr>
          <w:rFonts w:ascii="Times New Roman" w:cs="Times New Roman" w:eastAsia="Times New Roman" w:hAnsi="Times New Roman"/>
          <w:sz w:val="22"/>
          <w:szCs w:val="22"/>
          <w:color w:val="auto"/>
        </w:rPr>
        <w:t>Title: Trustee</w:t>
      </w:r>
    </w:p>
    <w:p>
      <w:pPr>
        <w:spacing w:after="0" w:line="200" w:lineRule="exact"/>
        <w:rPr>
          <w:sz w:val="20"/>
          <w:szCs w:val="20"/>
          <w:color w:val="auto"/>
        </w:rPr>
      </w:pPr>
    </w:p>
    <w:p>
      <w:pPr>
        <w:spacing w:after="0" w:line="23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Address: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SIGNATURE PAGE TO</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 FOR CHIME FINANCIAL INC.</w:t>
      </w:r>
    </w:p>
    <w:p>
      <w:pPr>
        <w:sectPr>
          <w:pgSz w:w="11900" w:h="16838" w:orient="portrait"/>
          <w:cols w:equalWidth="0" w:num="1">
            <w:col w:w="9200"/>
          </w:cols>
          <w:pgMar w:left="1440" w:top="124" w:right="1259" w:bottom="1440" w:gutter="0" w:footer="0" w:header="0"/>
        </w:sectPr>
      </w:pPr>
    </w:p>
    <w:bookmarkStart w:id="398" w:name="page399"/>
    <w:bookmarkEnd w:id="398"/>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have executed this Agreement as of the date first above written</w:t>
      </w:r>
    </w:p>
    <w:p>
      <w:pPr>
        <w:spacing w:after="0" w:line="25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INVESTOR:</w:t>
      </w:r>
    </w:p>
    <w:p>
      <w:pPr>
        <w:spacing w:after="0" w:line="260"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SVF II AGGREGATOR (DE) LLC</w:t>
      </w:r>
    </w:p>
    <w:p>
      <w:pPr>
        <w:spacing w:after="0" w:line="200" w:lineRule="exact"/>
        <w:rPr>
          <w:sz w:val="20"/>
          <w:szCs w:val="20"/>
          <w:color w:val="auto"/>
        </w:rPr>
      </w:pPr>
    </w:p>
    <w:p>
      <w:pPr>
        <w:spacing w:after="0" w:line="267"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22"/>
          <w:szCs w:val="22"/>
          <w:color w:val="auto"/>
        </w:rPr>
        <w:t>By:</w:t>
        <w:tab/>
        <w:t>/s/ Ian McLean</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Ian McLean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-158750</wp:posOffset>
            </wp:positionV>
            <wp:extent cx="3497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ind w:left="406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3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Address: [***]</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Email: [***]</w:t>
      </w:r>
    </w:p>
    <w:p>
      <w:pPr>
        <w:spacing w:after="0" w:line="27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with a copy to: c/o SB Investment Advisers (US) Inc.</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Email: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SIGNATURE PAGE TO</w:t>
      </w:r>
    </w:p>
    <w:p>
      <w:pPr>
        <w:spacing w:after="0" w:line="3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 FOR CHIME FINANCIAL INC.</w:t>
      </w:r>
    </w:p>
    <w:p>
      <w:pPr>
        <w:sectPr>
          <w:pgSz w:w="11900" w:h="16838" w:orient="portrait"/>
          <w:cols w:equalWidth="0" w:num="1">
            <w:col w:w="9140"/>
          </w:cols>
          <w:pgMar w:left="1440" w:top="124" w:right="1319" w:bottom="1440" w:gutter="0" w:footer="0" w:header="0"/>
        </w:sectPr>
      </w:pPr>
    </w:p>
    <w:bookmarkStart w:id="399" w:name="page400"/>
    <w:bookmarkEnd w:id="399"/>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have executed this Agreement as of the date first above written</w:t>
      </w:r>
    </w:p>
    <w:p>
      <w:pPr>
        <w:spacing w:after="0" w:line="25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INVESTOR:</w:t>
      </w:r>
    </w:p>
    <w:p>
      <w:pPr>
        <w:spacing w:after="0" w:line="260"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TIGER GLOBAL INVESTMENTS, L.P.</w:t>
      </w:r>
    </w:p>
    <w:p>
      <w:pPr>
        <w:spacing w:after="0" w:line="2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By: Tiger Global Performance, LLC, Its General</w:t>
      </w:r>
    </w:p>
    <w:p>
      <w:pPr>
        <w:ind w:left="4060"/>
        <w:spacing w:after="0"/>
        <w:rPr>
          <w:sz w:val="20"/>
          <w:szCs w:val="20"/>
          <w:color w:val="auto"/>
        </w:rPr>
      </w:pPr>
      <w:r>
        <w:rPr>
          <w:rFonts w:ascii="Times New Roman" w:cs="Times New Roman" w:eastAsia="Times New Roman" w:hAnsi="Times New Roman"/>
          <w:sz w:val="22"/>
          <w:szCs w:val="22"/>
          <w:color w:val="auto"/>
        </w:rPr>
        <w:t>Partner</w:t>
      </w:r>
    </w:p>
    <w:p>
      <w:pPr>
        <w:spacing w:after="0" w:line="5"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22"/>
          <w:szCs w:val="22"/>
          <w:color w:val="auto"/>
        </w:rPr>
        <w:t>By:</w:t>
        <w:tab/>
        <w:t>/s/ Steven D. Boyd</w:t>
      </w:r>
    </w:p>
    <w:p>
      <w:pPr>
        <w:spacing w:after="0" w:line="1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Steven D. Boyd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-158750</wp:posOffset>
            </wp:positionV>
            <wp:extent cx="3497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ind w:left="4060"/>
        <w:spacing w:after="0"/>
        <w:rPr>
          <w:sz w:val="20"/>
          <w:szCs w:val="20"/>
          <w:color w:val="auto"/>
        </w:rPr>
      </w:pPr>
      <w:r>
        <w:rPr>
          <w:rFonts w:ascii="Times New Roman" w:cs="Times New Roman" w:eastAsia="Times New Roman" w:hAnsi="Times New Roman"/>
          <w:sz w:val="22"/>
          <w:szCs w:val="22"/>
          <w:color w:val="auto"/>
        </w:rPr>
        <w:t>Title: General Counsel</w:t>
      </w:r>
    </w:p>
    <w:p>
      <w:pPr>
        <w:spacing w:after="0" w:line="200" w:lineRule="exact"/>
        <w:rPr>
          <w:sz w:val="20"/>
          <w:szCs w:val="20"/>
          <w:color w:val="auto"/>
        </w:rPr>
      </w:pPr>
    </w:p>
    <w:p>
      <w:pPr>
        <w:spacing w:after="0" w:line="23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Address: [***]</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Email (notices): [***]</w:t>
      </w:r>
    </w:p>
    <w:p>
      <w:pPr>
        <w:spacing w:after="0" w:line="1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Email (certificates): [***]</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INVESTOR:</w:t>
      </w:r>
    </w:p>
    <w:p>
      <w:pPr>
        <w:spacing w:after="0" w:line="22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TIGER GLOBAL LONG OPPORTUNITIES</w:t>
      </w:r>
    </w:p>
    <w:p>
      <w:pPr>
        <w:ind w:left="4060"/>
        <w:spacing w:after="0"/>
        <w:rPr>
          <w:sz w:val="20"/>
          <w:szCs w:val="20"/>
          <w:color w:val="auto"/>
        </w:rPr>
      </w:pPr>
      <w:r>
        <w:rPr>
          <w:rFonts w:ascii="Times New Roman" w:cs="Times New Roman" w:eastAsia="Times New Roman" w:hAnsi="Times New Roman"/>
          <w:sz w:val="22"/>
          <w:szCs w:val="22"/>
          <w:b w:val="1"/>
          <w:bCs w:val="1"/>
          <w:color w:val="auto"/>
        </w:rPr>
        <w:t>MASTER FUND, L.P.</w:t>
      </w:r>
    </w:p>
    <w:p>
      <w:pPr>
        <w:spacing w:after="0" w:line="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1"/>
          <w:szCs w:val="21"/>
          <w:color w:val="auto"/>
        </w:rPr>
        <w:t>By: Tiger Global Performance, LLC, its Investment Advisor</w:t>
      </w:r>
    </w:p>
    <w:p>
      <w:pPr>
        <w:spacing w:after="0" w:line="232"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22"/>
          <w:szCs w:val="22"/>
          <w:color w:val="auto"/>
        </w:rPr>
        <w:t>By:</w:t>
        <w:tab/>
        <w:t>/s/ Steven D. Boyd</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Steven D. Boyd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-158750</wp:posOffset>
            </wp:positionV>
            <wp:extent cx="3497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ind w:left="4060"/>
        <w:spacing w:after="0"/>
        <w:rPr>
          <w:sz w:val="20"/>
          <w:szCs w:val="20"/>
          <w:color w:val="auto"/>
        </w:rPr>
      </w:pPr>
      <w:r>
        <w:rPr>
          <w:rFonts w:ascii="Times New Roman" w:cs="Times New Roman" w:eastAsia="Times New Roman" w:hAnsi="Times New Roman"/>
          <w:sz w:val="22"/>
          <w:szCs w:val="22"/>
          <w:color w:val="auto"/>
        </w:rPr>
        <w:t>Title: General Counsel</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Address: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SIGNATURE PAGE TO</w:t>
      </w:r>
    </w:p>
    <w:p>
      <w:pPr>
        <w:spacing w:after="0" w:line="31"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 FOR CHIME FINANCIAL INC.</w:t>
      </w:r>
    </w:p>
    <w:p>
      <w:pPr>
        <w:sectPr>
          <w:pgSz w:w="11900" w:h="16838" w:orient="portrait"/>
          <w:cols w:equalWidth="0" w:num="1">
            <w:col w:w="9280"/>
          </w:cols>
          <w:pgMar w:left="1440" w:top="124" w:right="1179" w:bottom="1440" w:gutter="0" w:footer="0" w:header="0"/>
        </w:sectPr>
      </w:pPr>
    </w:p>
    <w:bookmarkStart w:id="400" w:name="page401"/>
    <w:bookmarkEnd w:id="400"/>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have executed this Agreement as of the date first above written</w:t>
      </w:r>
    </w:p>
    <w:p>
      <w:pPr>
        <w:spacing w:after="0" w:line="25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INVESTOR:</w:t>
      </w:r>
    </w:p>
    <w:p>
      <w:pPr>
        <w:spacing w:after="0" w:line="260"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TIGER GLOBAL PRIVATE INVESTMENT</w:t>
      </w:r>
    </w:p>
    <w:p>
      <w:pPr>
        <w:spacing w:after="0" w:line="3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PARTNERS XII, L.P.</w:t>
      </w:r>
    </w:p>
    <w:p>
      <w:pPr>
        <w:spacing w:after="0" w:line="3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By: Tiger Global PIP Performance XII, L.P., Its</w:t>
      </w:r>
    </w:p>
    <w:p>
      <w:pPr>
        <w:spacing w:after="0" w:line="2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General Partner</w:t>
      </w:r>
    </w:p>
    <w:p>
      <w:pPr>
        <w:spacing w:after="0" w:line="3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By: Tiger Global PIP Management XII, Ltd., Its</w:t>
      </w:r>
    </w:p>
    <w:p>
      <w:pPr>
        <w:spacing w:after="0" w:line="2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General Partner</w:t>
      </w:r>
    </w:p>
    <w:p>
      <w:pPr>
        <w:spacing w:after="0" w:line="200" w:lineRule="exact"/>
        <w:rPr>
          <w:sz w:val="20"/>
          <w:szCs w:val="20"/>
          <w:color w:val="auto"/>
        </w:rPr>
      </w:pPr>
    </w:p>
    <w:p>
      <w:pPr>
        <w:spacing w:after="0" w:line="239"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22"/>
          <w:szCs w:val="22"/>
          <w:color w:val="auto"/>
        </w:rPr>
        <w:t>By:</w:t>
        <w:tab/>
        <w:t>/s/ Steven D. Boyd</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Steven D. Boyd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-158750</wp:posOffset>
            </wp:positionV>
            <wp:extent cx="3497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ind w:left="4060"/>
        <w:spacing w:after="0"/>
        <w:rPr>
          <w:sz w:val="20"/>
          <w:szCs w:val="20"/>
          <w:color w:val="auto"/>
        </w:rPr>
      </w:pPr>
      <w:r>
        <w:rPr>
          <w:rFonts w:ascii="Times New Roman" w:cs="Times New Roman" w:eastAsia="Times New Roman" w:hAnsi="Times New Roman"/>
          <w:sz w:val="22"/>
          <w:szCs w:val="22"/>
          <w:color w:val="auto"/>
        </w:rPr>
        <w:t>Title: General Counsel</w:t>
      </w:r>
    </w:p>
    <w:p>
      <w:pPr>
        <w:spacing w:after="0" w:line="200" w:lineRule="exact"/>
        <w:rPr>
          <w:sz w:val="20"/>
          <w:szCs w:val="20"/>
          <w:color w:val="auto"/>
        </w:rPr>
      </w:pPr>
    </w:p>
    <w:p>
      <w:pPr>
        <w:spacing w:after="0" w:line="23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color w:val="auto"/>
        </w:rPr>
        <w:t>Address: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SIGNATURE PAGE TO</w:t>
      </w:r>
    </w:p>
    <w:p>
      <w:pPr>
        <w:spacing w:after="0" w:line="3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 FOR CHIME FINANCIAL INC.</w:t>
      </w:r>
    </w:p>
    <w:p>
      <w:pPr>
        <w:sectPr>
          <w:pgSz w:w="11900" w:h="16838" w:orient="portrait"/>
          <w:cols w:equalWidth="0" w:num="1">
            <w:col w:w="9140"/>
          </w:cols>
          <w:pgMar w:left="1440" w:top="124" w:right="1319" w:bottom="1440" w:gutter="0" w:footer="0" w:header="0"/>
        </w:sectPr>
      </w:pPr>
    </w:p>
    <w:bookmarkStart w:id="401" w:name="page402"/>
    <w:bookmarkEnd w:id="401"/>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have executed this Agreement as of the date first above written</w:t>
      </w:r>
    </w:p>
    <w:p>
      <w:pPr>
        <w:spacing w:after="0" w:line="25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INVESTOR:</w:t>
      </w:r>
    </w:p>
    <w:p>
      <w:pPr>
        <w:spacing w:after="0" w:line="260"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TIGER GLOBAL PIP 12 HOLDINGS, L.P.</w:t>
      </w:r>
    </w:p>
    <w:p>
      <w:pPr>
        <w:spacing w:after="0" w:line="6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By: Tiger Global Private Investment Partners XI,</w:t>
      </w:r>
    </w:p>
    <w:p>
      <w:pPr>
        <w:spacing w:after="0" w:line="2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L.P., Its General Partner</w:t>
      </w:r>
    </w:p>
    <w:p>
      <w:pPr>
        <w:spacing w:after="0" w:line="3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By: Tiger Global PIP Performance XII, L.P., Its</w:t>
      </w:r>
    </w:p>
    <w:p>
      <w:pPr>
        <w:spacing w:after="0" w:line="2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General Partner</w:t>
      </w:r>
    </w:p>
    <w:p>
      <w:pPr>
        <w:spacing w:after="0" w:line="3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By: Tiger Global PIP Management XII, Ltd., Its</w:t>
      </w:r>
    </w:p>
    <w:p>
      <w:pPr>
        <w:spacing w:after="0" w:line="2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color w:val="auto"/>
        </w:rPr>
        <w:t>General Partner</w:t>
      </w:r>
    </w:p>
    <w:p>
      <w:pPr>
        <w:spacing w:after="0" w:line="200" w:lineRule="exact"/>
        <w:rPr>
          <w:sz w:val="20"/>
          <w:szCs w:val="20"/>
          <w:color w:val="auto"/>
        </w:rPr>
      </w:pPr>
    </w:p>
    <w:p>
      <w:pPr>
        <w:spacing w:after="0" w:line="239"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22"/>
          <w:szCs w:val="22"/>
          <w:color w:val="auto"/>
        </w:rPr>
        <w:t>By:</w:t>
        <w:tab/>
        <w:t>/s/ Steven D. Boyd</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Steven D. Boyd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-158750</wp:posOffset>
            </wp:positionV>
            <wp:extent cx="3497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ind w:left="4060"/>
        <w:spacing w:after="0"/>
        <w:rPr>
          <w:sz w:val="20"/>
          <w:szCs w:val="20"/>
          <w:color w:val="auto"/>
        </w:rPr>
      </w:pPr>
      <w:r>
        <w:rPr>
          <w:rFonts w:ascii="Times New Roman" w:cs="Times New Roman" w:eastAsia="Times New Roman" w:hAnsi="Times New Roman"/>
          <w:sz w:val="22"/>
          <w:szCs w:val="22"/>
          <w:color w:val="auto"/>
        </w:rPr>
        <w:t>Title: General Counsel</w:t>
      </w:r>
    </w:p>
    <w:p>
      <w:pPr>
        <w:spacing w:after="0" w:line="200" w:lineRule="exact"/>
        <w:rPr>
          <w:sz w:val="20"/>
          <w:szCs w:val="20"/>
          <w:color w:val="auto"/>
        </w:rPr>
      </w:pPr>
    </w:p>
    <w:p>
      <w:pPr>
        <w:spacing w:after="0" w:line="23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color w:val="auto"/>
        </w:rPr>
        <w:t>Address: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SIGNATURE PAGE TO</w:t>
      </w:r>
    </w:p>
    <w:p>
      <w:pPr>
        <w:spacing w:after="0" w:line="3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 FOR CHIME FINANCIAL INC.</w:t>
      </w:r>
    </w:p>
    <w:p>
      <w:pPr>
        <w:sectPr>
          <w:pgSz w:w="11900" w:h="16838" w:orient="portrait"/>
          <w:cols w:equalWidth="0" w:num="1">
            <w:col w:w="9140"/>
          </w:cols>
          <w:pgMar w:left="1440" w:top="124" w:right="1319" w:bottom="1440" w:gutter="0" w:footer="0" w:header="0"/>
        </w:sectPr>
      </w:pPr>
    </w:p>
    <w:bookmarkStart w:id="402" w:name="page403"/>
    <w:bookmarkEnd w:id="402"/>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have executed this Agreement as of the date first above written</w:t>
      </w:r>
    </w:p>
    <w:p>
      <w:pPr>
        <w:spacing w:after="0" w:line="258"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INVESTOR:</w:t>
      </w:r>
    </w:p>
    <w:p>
      <w:pPr>
        <w:spacing w:after="0" w:line="23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ALEX COOK</w:t>
      </w:r>
    </w:p>
    <w:p>
      <w:pPr>
        <w:spacing w:after="0" w:line="200" w:lineRule="exact"/>
        <w:rPr>
          <w:sz w:val="20"/>
          <w:szCs w:val="20"/>
          <w:color w:val="auto"/>
        </w:rPr>
      </w:pPr>
    </w:p>
    <w:p>
      <w:pPr>
        <w:spacing w:after="0" w:line="253" w:lineRule="exact"/>
        <w:rPr>
          <w:sz w:val="20"/>
          <w:szCs w:val="20"/>
          <w:color w:val="auto"/>
        </w:rPr>
      </w:pPr>
    </w:p>
    <w:p>
      <w:pPr>
        <w:ind w:left="4020"/>
        <w:spacing w:after="0"/>
        <w:tabs>
          <w:tab w:leader="none" w:pos="4560" w:val="left"/>
        </w:tabs>
        <w:rPr>
          <w:sz w:val="20"/>
          <w:szCs w:val="20"/>
          <w:color w:val="auto"/>
        </w:rPr>
      </w:pPr>
      <w:r>
        <w:rPr>
          <w:rFonts w:ascii="Times New Roman" w:cs="Times New Roman" w:eastAsia="Times New Roman" w:hAnsi="Times New Roman"/>
          <w:sz w:val="22"/>
          <w:szCs w:val="22"/>
          <w:color w:val="auto"/>
        </w:rPr>
        <w:t>By:</w:t>
        <w:tab/>
        <w:t>/s/ Alex Cook</w:t>
      </w:r>
    </w:p>
    <w:p>
      <w:pPr>
        <w:spacing w:after="0" w:line="31" w:lineRule="exact"/>
        <w:rPr>
          <w:sz w:val="20"/>
          <w:szCs w:val="20"/>
          <w:color w:val="auto"/>
        </w:rPr>
      </w:pPr>
    </w:p>
    <w:p>
      <w:pPr>
        <w:ind w:left="4020"/>
        <w:spacing w:after="0"/>
        <w:tabs>
          <w:tab w:leader="none" w:pos="49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2"/>
          <w:szCs w:val="22"/>
          <w:color w:val="auto"/>
        </w:rPr>
        <w:t>Alex Cook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-160020</wp:posOffset>
            </wp:positionV>
            <wp:extent cx="264033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12065</wp:posOffset>
            </wp:positionV>
            <wp:extent cx="275145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751455"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-158750</wp:posOffset>
            </wp:positionV>
            <wp:extent cx="264033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Address: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SIGNATURE PAGE TO</w:t>
      </w:r>
    </w:p>
    <w:p>
      <w:pPr>
        <w:spacing w:after="0" w:line="3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 FOR CHIME FINANCIAL INC.</w:t>
      </w:r>
    </w:p>
    <w:p>
      <w:pPr>
        <w:sectPr>
          <w:pgSz w:w="11900" w:h="16838" w:orient="portrait"/>
          <w:cols w:equalWidth="0" w:num="1">
            <w:col w:w="9140"/>
          </w:cols>
          <w:pgMar w:left="1440" w:top="124" w:right="1319" w:bottom="1440" w:gutter="0" w:footer="0" w:header="0"/>
        </w:sectPr>
      </w:pPr>
    </w:p>
    <w:bookmarkStart w:id="403" w:name="page404"/>
    <w:bookmarkEnd w:id="403"/>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have executed this Agreement as of the date first above written</w:t>
      </w:r>
    </w:p>
    <w:p>
      <w:pPr>
        <w:spacing w:after="0" w:line="25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INVESTOR:</w:t>
      </w:r>
    </w:p>
    <w:p>
      <w:pPr>
        <w:spacing w:after="0" w:line="31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ICONIQ STRATEGIC PARTNERS IV, L.P.,</w:t>
      </w:r>
    </w:p>
    <w:p>
      <w:pPr>
        <w:spacing w:after="0" w:line="3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a Cayman Islands exempted limited partnership</w:t>
      </w:r>
    </w:p>
    <w:p>
      <w:pPr>
        <w:spacing w:after="0" w:line="260"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By: ICONIQ Strategic Partners IV GP, L.P., a</w:t>
      </w:r>
    </w:p>
    <w:p>
      <w:pPr>
        <w:spacing w:after="0" w:line="2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Cayman Islands exempted limited partnership</w:t>
      </w:r>
    </w:p>
    <w:p>
      <w:pPr>
        <w:spacing w:after="0" w:line="3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5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By: ICONIQ Strategic Partners IV TT GP, Ltd.,</w:t>
      </w:r>
    </w:p>
    <w:p>
      <w:pPr>
        <w:spacing w:after="0" w:line="2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a Cayman Islands exempted company</w:t>
      </w:r>
    </w:p>
    <w:p>
      <w:pPr>
        <w:spacing w:after="0" w:line="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200" w:lineRule="exact"/>
        <w:rPr>
          <w:sz w:val="20"/>
          <w:szCs w:val="20"/>
          <w:color w:val="auto"/>
        </w:rPr>
      </w:pPr>
    </w:p>
    <w:p>
      <w:pPr>
        <w:spacing w:after="0" w:line="249"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22"/>
          <w:szCs w:val="22"/>
          <w:color w:val="auto"/>
        </w:rPr>
        <w:t>By:</w:t>
        <w:tab/>
        <w:t>/s/ Kevin Foster</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Kevin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-158750</wp:posOffset>
            </wp:positionV>
            <wp:extent cx="3497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ind w:left="4060"/>
        <w:spacing w:after="0"/>
        <w:rPr>
          <w:sz w:val="20"/>
          <w:szCs w:val="20"/>
          <w:color w:val="auto"/>
        </w:rPr>
      </w:pPr>
      <w:r>
        <w:rPr>
          <w:rFonts w:ascii="Times New Roman" w:cs="Times New Roman" w:eastAsia="Times New Roman" w:hAnsi="Times New Roman"/>
          <w:sz w:val="22"/>
          <w:szCs w:val="22"/>
          <w:color w:val="auto"/>
        </w:rPr>
        <w:t>Title: Authorized Person</w:t>
      </w:r>
    </w:p>
    <w:p>
      <w:pPr>
        <w:spacing w:after="0" w:line="200" w:lineRule="exact"/>
        <w:rPr>
          <w:sz w:val="20"/>
          <w:szCs w:val="20"/>
          <w:color w:val="auto"/>
        </w:rPr>
      </w:pPr>
    </w:p>
    <w:p>
      <w:pPr>
        <w:spacing w:after="0" w:line="23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ICONIQ STRATEGIC PARTNERS IV-B, L.P.,</w:t>
      </w:r>
    </w:p>
    <w:p>
      <w:pPr>
        <w:spacing w:after="0" w:line="3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a Cayman Islands exempted limited partnership</w:t>
      </w:r>
    </w:p>
    <w:p>
      <w:pPr>
        <w:spacing w:after="0" w:line="30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By: ICONIQ Strategic Partners IV GP, L.P., a</w:t>
      </w:r>
    </w:p>
    <w:p>
      <w:pPr>
        <w:spacing w:after="0" w:line="2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Cayman Islands exempted limited partnership</w:t>
      </w:r>
    </w:p>
    <w:p>
      <w:pPr>
        <w:spacing w:after="0" w:line="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4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By: ICONIQ Strategic Partners IV TT GP, Ltd., a</w:t>
      </w:r>
    </w:p>
    <w:p>
      <w:pPr>
        <w:spacing w:after="0" w:line="2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Cayman Islands exempted company</w:t>
      </w:r>
    </w:p>
    <w:p>
      <w:pPr>
        <w:spacing w:after="0" w:line="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200" w:lineRule="exact"/>
        <w:rPr>
          <w:sz w:val="20"/>
          <w:szCs w:val="20"/>
          <w:color w:val="auto"/>
        </w:rPr>
      </w:pPr>
    </w:p>
    <w:p>
      <w:pPr>
        <w:spacing w:after="0" w:line="249"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22"/>
          <w:szCs w:val="22"/>
          <w:color w:val="auto"/>
        </w:rPr>
        <w:t>By:</w:t>
        <w:tab/>
        <w:t>/s/ Kevin Foster</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Kevin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-158750</wp:posOffset>
            </wp:positionV>
            <wp:extent cx="3497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ind w:left="4060"/>
        <w:spacing w:after="0"/>
        <w:rPr>
          <w:sz w:val="20"/>
          <w:szCs w:val="20"/>
          <w:color w:val="auto"/>
        </w:rPr>
      </w:pPr>
      <w:r>
        <w:rPr>
          <w:rFonts w:ascii="Times New Roman" w:cs="Times New Roman" w:eastAsia="Times New Roman" w:hAnsi="Times New Roman"/>
          <w:sz w:val="22"/>
          <w:szCs w:val="22"/>
          <w:color w:val="auto"/>
        </w:rPr>
        <w:t>Title: Authorized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SIGNATURE PAGE TO</w:t>
      </w:r>
    </w:p>
    <w:p>
      <w:pPr>
        <w:spacing w:after="0" w:line="3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 FOR CHIME FINANCIAL INC.</w:t>
      </w:r>
    </w:p>
    <w:p>
      <w:pPr>
        <w:sectPr>
          <w:pgSz w:w="11900" w:h="16838" w:orient="portrait"/>
          <w:cols w:equalWidth="0" w:num="1">
            <w:col w:w="9140"/>
          </w:cols>
          <w:pgMar w:left="1440" w:top="124" w:right="1319" w:bottom="1440" w:gutter="0" w:footer="0" w:header="0"/>
        </w:sectPr>
      </w:pPr>
    </w:p>
    <w:bookmarkStart w:id="404" w:name="page405"/>
    <w:bookmarkEnd w:id="404"/>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have executed this Agreement as of the date first above written</w:t>
      </w:r>
    </w:p>
    <w:p>
      <w:pPr>
        <w:spacing w:after="0" w:line="28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ICONIQ STRATEGIC PARTNERS IV CO-</w:t>
      </w:r>
    </w:p>
    <w:p>
      <w:pPr>
        <w:spacing w:after="0" w:line="3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 xml:space="preserve">INVEST, L.P. (SERIES C), </w:t>
      </w:r>
      <w:r>
        <w:rPr>
          <w:rFonts w:ascii="Times New Roman" w:cs="Times New Roman" w:eastAsia="Times New Roman" w:hAnsi="Times New Roman"/>
          <w:sz w:val="22"/>
          <w:szCs w:val="22"/>
          <w:color w:val="auto"/>
        </w:rPr>
        <w:t>a Delaware series</w:t>
      </w:r>
    </w:p>
    <w:p>
      <w:pPr>
        <w:spacing w:after="0" w:line="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limited partnership</w:t>
      </w:r>
    </w:p>
    <w:p>
      <w:pPr>
        <w:spacing w:after="0" w:line="26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By: ICONIQ Strategic Partners IV GP, L.P., a</w:t>
      </w:r>
    </w:p>
    <w:p>
      <w:pPr>
        <w:spacing w:after="0" w:line="2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Cayman Islands exempted limited partnership</w:t>
      </w:r>
    </w:p>
    <w:p>
      <w:pPr>
        <w:spacing w:after="0" w:line="3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1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By: ICONIQ Strategic Partners IV TT GP, Ltd., a</w:t>
      </w:r>
    </w:p>
    <w:p>
      <w:pPr>
        <w:ind w:left="4060"/>
        <w:spacing w:after="0"/>
        <w:rPr>
          <w:sz w:val="20"/>
          <w:szCs w:val="20"/>
          <w:color w:val="auto"/>
        </w:rPr>
      </w:pPr>
      <w:r>
        <w:rPr>
          <w:rFonts w:ascii="Times New Roman" w:cs="Times New Roman" w:eastAsia="Times New Roman" w:hAnsi="Times New Roman"/>
          <w:sz w:val="22"/>
          <w:szCs w:val="22"/>
          <w:color w:val="auto"/>
        </w:rPr>
        <w:t>Cayman Islands exempted company</w:t>
      </w:r>
    </w:p>
    <w:p>
      <w:pPr>
        <w:spacing w:after="0" w:line="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221"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22"/>
          <w:szCs w:val="22"/>
          <w:color w:val="auto"/>
        </w:rPr>
        <w:t>By:</w:t>
        <w:tab/>
        <w:t>/s/ Kevin Foster</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Kevin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-158750</wp:posOffset>
            </wp:positionV>
            <wp:extent cx="3497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ind w:left="4060"/>
        <w:spacing w:after="0"/>
        <w:rPr>
          <w:sz w:val="20"/>
          <w:szCs w:val="20"/>
          <w:color w:val="auto"/>
        </w:rPr>
      </w:pPr>
      <w:r>
        <w:rPr>
          <w:rFonts w:ascii="Times New Roman" w:cs="Times New Roman" w:eastAsia="Times New Roman" w:hAnsi="Times New Roman"/>
          <w:sz w:val="22"/>
          <w:szCs w:val="22"/>
          <w:color w:val="auto"/>
        </w:rPr>
        <w:t>Title: Authorized Person</w:t>
      </w:r>
    </w:p>
    <w:p>
      <w:pPr>
        <w:spacing w:after="0" w:line="200" w:lineRule="exact"/>
        <w:rPr>
          <w:sz w:val="20"/>
          <w:szCs w:val="20"/>
          <w:color w:val="auto"/>
        </w:rPr>
      </w:pPr>
    </w:p>
    <w:p>
      <w:pPr>
        <w:spacing w:after="0" w:line="23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ICONIQ STRATEGIC PARTNERS III, L.P.,</w:t>
      </w:r>
    </w:p>
    <w:p>
      <w:pPr>
        <w:spacing w:after="0" w:line="3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a Cayman Islands exempted limited partnership</w:t>
      </w:r>
    </w:p>
    <w:p>
      <w:pPr>
        <w:spacing w:after="0" w:line="24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By: ICONIQ Strategic Partners IV GP, L.P., a</w:t>
      </w:r>
    </w:p>
    <w:p>
      <w:pPr>
        <w:spacing w:after="0" w:line="2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Cayman Islands exempted limited partnership</w:t>
      </w:r>
    </w:p>
    <w:p>
      <w:pPr>
        <w:spacing w:after="0" w:line="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4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By: ICONIQ Strategic Partners IV TT GP, Ltd., a</w:t>
      </w:r>
    </w:p>
    <w:p>
      <w:pPr>
        <w:spacing w:after="0" w:line="2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Cayman Islands exempted company</w:t>
      </w:r>
    </w:p>
    <w:p>
      <w:pPr>
        <w:spacing w:after="0" w:line="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233"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22"/>
          <w:szCs w:val="22"/>
          <w:color w:val="auto"/>
        </w:rPr>
        <w:t>By:</w:t>
        <w:tab/>
        <w:t>/s/ Kevin Foster</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Kevin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-158750</wp:posOffset>
            </wp:positionV>
            <wp:extent cx="3497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ind w:left="4060"/>
        <w:spacing w:after="0"/>
        <w:rPr>
          <w:sz w:val="20"/>
          <w:szCs w:val="20"/>
          <w:color w:val="auto"/>
        </w:rPr>
      </w:pPr>
      <w:r>
        <w:rPr>
          <w:rFonts w:ascii="Times New Roman" w:cs="Times New Roman" w:eastAsia="Times New Roman" w:hAnsi="Times New Roman"/>
          <w:sz w:val="22"/>
          <w:szCs w:val="22"/>
          <w:color w:val="auto"/>
        </w:rPr>
        <w:t>Title: Authorized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SIGNATURE PAGE TO</w:t>
      </w:r>
    </w:p>
    <w:p>
      <w:pPr>
        <w:spacing w:after="0" w:line="3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 FOR CHIME FINANCIAL INC.</w:t>
      </w:r>
    </w:p>
    <w:p>
      <w:pPr>
        <w:sectPr>
          <w:pgSz w:w="11900" w:h="16838" w:orient="portrait"/>
          <w:cols w:equalWidth="0" w:num="1">
            <w:col w:w="9140"/>
          </w:cols>
          <w:pgMar w:left="1440" w:top="124" w:right="1319" w:bottom="1440" w:gutter="0" w:footer="0" w:header="0"/>
        </w:sectPr>
      </w:pPr>
    </w:p>
    <w:bookmarkStart w:id="405" w:name="page406"/>
    <w:bookmarkEnd w:id="405"/>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have executed this Agreement as of the date first above written</w:t>
      </w:r>
    </w:p>
    <w:p>
      <w:pPr>
        <w:spacing w:after="0" w:line="28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ICONIQ STRATEGIC PARTNERS III-B, L.P.,</w:t>
      </w:r>
    </w:p>
    <w:p>
      <w:pPr>
        <w:spacing w:after="0" w:line="3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a Cayman Islands exempted limited partnership</w:t>
      </w:r>
    </w:p>
    <w:p>
      <w:pPr>
        <w:spacing w:after="0" w:line="250"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By: ICONIQ Strategic Partners IV GP, L.P.,</w:t>
      </w:r>
    </w:p>
    <w:p>
      <w:pPr>
        <w:spacing w:after="0" w:line="2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a Cayman Islands exempted limited partnership</w:t>
      </w:r>
    </w:p>
    <w:p>
      <w:pPr>
        <w:spacing w:after="0" w:line="3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1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By: ICONIQ Strategic Partners IV TT GP, Ltd., a</w:t>
      </w:r>
    </w:p>
    <w:p>
      <w:pPr>
        <w:ind w:left="4060"/>
        <w:spacing w:after="0"/>
        <w:rPr>
          <w:sz w:val="20"/>
          <w:szCs w:val="20"/>
          <w:color w:val="auto"/>
        </w:rPr>
      </w:pPr>
      <w:r>
        <w:rPr>
          <w:rFonts w:ascii="Times New Roman" w:cs="Times New Roman" w:eastAsia="Times New Roman" w:hAnsi="Times New Roman"/>
          <w:sz w:val="22"/>
          <w:szCs w:val="22"/>
          <w:color w:val="auto"/>
        </w:rPr>
        <w:t>Cayman Islands exempted company</w:t>
      </w:r>
    </w:p>
    <w:p>
      <w:pPr>
        <w:spacing w:after="0" w:line="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200" w:lineRule="exact"/>
        <w:rPr>
          <w:sz w:val="20"/>
          <w:szCs w:val="20"/>
          <w:color w:val="auto"/>
        </w:rPr>
      </w:pPr>
    </w:p>
    <w:p>
      <w:pPr>
        <w:spacing w:after="0" w:line="237"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22"/>
          <w:szCs w:val="22"/>
          <w:color w:val="auto"/>
        </w:rPr>
        <w:t>By:</w:t>
        <w:tab/>
        <w:t>/s/ Kevin Foster</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Kevin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-158750</wp:posOffset>
            </wp:positionV>
            <wp:extent cx="3497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ind w:left="4060"/>
        <w:spacing w:after="0"/>
        <w:rPr>
          <w:sz w:val="20"/>
          <w:szCs w:val="20"/>
          <w:color w:val="auto"/>
        </w:rPr>
      </w:pPr>
      <w:r>
        <w:rPr>
          <w:rFonts w:ascii="Times New Roman" w:cs="Times New Roman" w:eastAsia="Times New Roman" w:hAnsi="Times New Roman"/>
          <w:sz w:val="22"/>
          <w:szCs w:val="22"/>
          <w:color w:val="auto"/>
        </w:rPr>
        <w:t>Title: Authorized Person</w:t>
      </w:r>
    </w:p>
    <w:p>
      <w:pPr>
        <w:spacing w:after="0" w:line="200" w:lineRule="exact"/>
        <w:rPr>
          <w:sz w:val="20"/>
          <w:szCs w:val="20"/>
          <w:color w:val="auto"/>
        </w:rPr>
      </w:pPr>
    </w:p>
    <w:p>
      <w:pPr>
        <w:spacing w:after="0" w:line="23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color w:val="auto"/>
        </w:rPr>
        <w:t>Address: [***]</w:t>
      </w:r>
    </w:p>
    <w:p>
      <w:pPr>
        <w:spacing w:after="0" w:line="200" w:lineRule="exact"/>
        <w:rPr>
          <w:sz w:val="20"/>
          <w:szCs w:val="20"/>
          <w:color w:val="auto"/>
        </w:rPr>
      </w:pPr>
    </w:p>
    <w:p>
      <w:pPr>
        <w:spacing w:after="0" w:line="23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ICONIQ STRATEGIC PARTNERS V, L.P.,</w:t>
      </w:r>
    </w:p>
    <w:p>
      <w:pPr>
        <w:ind w:left="4060"/>
        <w:spacing w:after="0"/>
        <w:rPr>
          <w:sz w:val="20"/>
          <w:szCs w:val="20"/>
          <w:color w:val="auto"/>
        </w:rPr>
      </w:pPr>
      <w:r>
        <w:rPr>
          <w:rFonts w:ascii="Times New Roman" w:cs="Times New Roman" w:eastAsia="Times New Roman" w:hAnsi="Times New Roman"/>
          <w:sz w:val="22"/>
          <w:szCs w:val="22"/>
          <w:color w:val="auto"/>
        </w:rPr>
        <w:t>a Cayman Islands exempted limited partnership</w:t>
      </w:r>
    </w:p>
    <w:p>
      <w:pPr>
        <w:spacing w:after="0" w:line="20"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By: ICONIQ Strategic Partners V GP, L.P.</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4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By: ICONIQ Strategic Partners V TT GP, Ltd.,</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200" w:lineRule="exact"/>
        <w:rPr>
          <w:sz w:val="20"/>
          <w:szCs w:val="20"/>
          <w:color w:val="auto"/>
        </w:rPr>
      </w:pPr>
    </w:p>
    <w:p>
      <w:pPr>
        <w:spacing w:after="0" w:line="249"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22"/>
          <w:szCs w:val="22"/>
          <w:color w:val="auto"/>
        </w:rPr>
        <w:t>By:</w:t>
        <w:tab/>
        <w:t>/s/ Kevin Foster</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Kevin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-158750</wp:posOffset>
            </wp:positionV>
            <wp:extent cx="3497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ind w:left="4060"/>
        <w:spacing w:after="0"/>
        <w:rPr>
          <w:sz w:val="20"/>
          <w:szCs w:val="20"/>
          <w:color w:val="auto"/>
        </w:rPr>
      </w:pPr>
      <w:r>
        <w:rPr>
          <w:rFonts w:ascii="Times New Roman" w:cs="Times New Roman" w:eastAsia="Times New Roman" w:hAnsi="Times New Roman"/>
          <w:sz w:val="22"/>
          <w:szCs w:val="22"/>
          <w:color w:val="auto"/>
        </w:rPr>
        <w:t>Title: Authorized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SIGNATURE PAGE TO</w:t>
      </w:r>
    </w:p>
    <w:p>
      <w:pPr>
        <w:spacing w:after="0" w:line="3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 FOR CHIME FINANCIAL INC.</w:t>
      </w:r>
    </w:p>
    <w:p>
      <w:pPr>
        <w:sectPr>
          <w:pgSz w:w="11900" w:h="16838" w:orient="portrait"/>
          <w:cols w:equalWidth="0" w:num="1">
            <w:col w:w="9140"/>
          </w:cols>
          <w:pgMar w:left="1440" w:top="124" w:right="1319" w:bottom="1440" w:gutter="0" w:footer="0" w:header="0"/>
        </w:sectPr>
      </w:pPr>
    </w:p>
    <w:bookmarkStart w:id="406" w:name="page407"/>
    <w:bookmarkEnd w:id="406"/>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have executed this Agreement as of the date first above written</w:t>
      </w:r>
    </w:p>
    <w:p>
      <w:pPr>
        <w:spacing w:after="0" w:line="28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ICONIQ STRATEGIC PARTNERS V-B, L.P.,</w:t>
      </w:r>
    </w:p>
    <w:p>
      <w:pPr>
        <w:spacing w:after="0" w:line="3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a Cayman Islands exempted limited partnership</w:t>
      </w:r>
    </w:p>
    <w:p>
      <w:pPr>
        <w:spacing w:after="0" w:line="200" w:lineRule="exact"/>
        <w:rPr>
          <w:sz w:val="20"/>
          <w:szCs w:val="20"/>
          <w:color w:val="auto"/>
        </w:rPr>
      </w:pPr>
    </w:p>
    <w:p>
      <w:pPr>
        <w:spacing w:after="0" w:line="26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By: ICONIQ Strategic Partners V GP, L.P.</w:t>
      </w:r>
    </w:p>
    <w:p>
      <w:pPr>
        <w:spacing w:after="0" w:line="5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By: ICONIQ Strategic Partners V TT GP, Ltd.,</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200" w:lineRule="exact"/>
        <w:rPr>
          <w:sz w:val="20"/>
          <w:szCs w:val="20"/>
          <w:color w:val="auto"/>
        </w:rPr>
      </w:pPr>
    </w:p>
    <w:p>
      <w:pPr>
        <w:spacing w:after="0" w:line="237"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22"/>
          <w:szCs w:val="22"/>
          <w:color w:val="auto"/>
        </w:rPr>
        <w:t>By:</w:t>
        <w:tab/>
        <w:t>/s/ Kevin Foster</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Kevin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-158750</wp:posOffset>
            </wp:positionV>
            <wp:extent cx="3497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ind w:left="4060"/>
        <w:spacing w:after="0"/>
        <w:rPr>
          <w:sz w:val="20"/>
          <w:szCs w:val="20"/>
          <w:color w:val="auto"/>
        </w:rPr>
      </w:pPr>
      <w:r>
        <w:rPr>
          <w:rFonts w:ascii="Times New Roman" w:cs="Times New Roman" w:eastAsia="Times New Roman" w:hAnsi="Times New Roman"/>
          <w:sz w:val="22"/>
          <w:szCs w:val="22"/>
          <w:color w:val="auto"/>
        </w:rPr>
        <w:t>Title: Authorized Person</w:t>
      </w:r>
    </w:p>
    <w:p>
      <w:pPr>
        <w:spacing w:after="0" w:line="200" w:lineRule="exact"/>
        <w:rPr>
          <w:sz w:val="20"/>
          <w:szCs w:val="20"/>
          <w:color w:val="auto"/>
        </w:rPr>
      </w:pPr>
    </w:p>
    <w:p>
      <w:pPr>
        <w:spacing w:after="0" w:line="23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color w:val="auto"/>
        </w:rPr>
        <w:t>Address: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SIGNATURE PAGE TO</w:t>
      </w:r>
    </w:p>
    <w:p>
      <w:pPr>
        <w:spacing w:after="0" w:line="3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 FOR CHIME FINANCIAL INC.</w:t>
      </w:r>
    </w:p>
    <w:p>
      <w:pPr>
        <w:sectPr>
          <w:pgSz w:w="11900" w:h="16838" w:orient="portrait"/>
          <w:cols w:equalWidth="0" w:num="1">
            <w:col w:w="9140"/>
          </w:cols>
          <w:pgMar w:left="1440" w:top="124" w:right="1319" w:bottom="1440" w:gutter="0" w:footer="0" w:header="0"/>
        </w:sectPr>
      </w:pPr>
    </w:p>
    <w:bookmarkStart w:id="407" w:name="page408"/>
    <w:bookmarkEnd w:id="407"/>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have executed this Agreement as of the date first above written.</w:t>
      </w:r>
    </w:p>
    <w:p>
      <w:pPr>
        <w:spacing w:after="0" w:line="25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KEY HOLDERS:</w:t>
      </w:r>
    </w:p>
    <w:p>
      <w:pPr>
        <w:spacing w:after="0" w:line="200" w:lineRule="exact"/>
        <w:rPr>
          <w:sz w:val="20"/>
          <w:szCs w:val="20"/>
          <w:color w:val="auto"/>
        </w:rPr>
      </w:pPr>
    </w:p>
    <w:p>
      <w:pPr>
        <w:spacing w:after="0" w:line="27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DAVID KING</w:t>
      </w:r>
    </w:p>
    <w:p>
      <w:pPr>
        <w:spacing w:after="0" w:line="200" w:lineRule="exact"/>
        <w:rPr>
          <w:sz w:val="20"/>
          <w:szCs w:val="20"/>
          <w:color w:val="auto"/>
        </w:rPr>
      </w:pPr>
    </w:p>
    <w:p>
      <w:pPr>
        <w:spacing w:after="0" w:line="267"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22"/>
          <w:szCs w:val="22"/>
          <w:color w:val="auto"/>
        </w:rPr>
        <w:t>By:</w:t>
        <w:tab/>
        <w:t>/s/ David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19685</wp:posOffset>
            </wp:positionV>
            <wp:extent cx="3497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213"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Address: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SIGNATURE PAGE TO</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 FOR CHIME FINANCIAL INC.</w:t>
      </w:r>
    </w:p>
    <w:p>
      <w:pPr>
        <w:sectPr>
          <w:pgSz w:w="11900" w:h="16838" w:orient="portrait"/>
          <w:cols w:equalWidth="0" w:num="1">
            <w:col w:w="9200"/>
          </w:cols>
          <w:pgMar w:left="1440" w:top="124" w:right="1259" w:bottom="1440" w:gutter="0" w:footer="0" w:header="0"/>
        </w:sectPr>
      </w:pPr>
    </w:p>
    <w:bookmarkStart w:id="408" w:name="page409"/>
    <w:bookmarkEnd w:id="408"/>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have executed this Agreement as of the date first above written.</w:t>
      </w:r>
    </w:p>
    <w:p>
      <w:pPr>
        <w:spacing w:after="0" w:line="25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KEY HOLDERS:</w:t>
      </w:r>
    </w:p>
    <w:p>
      <w:pPr>
        <w:spacing w:after="0" w:line="200" w:lineRule="exact"/>
        <w:rPr>
          <w:sz w:val="20"/>
          <w:szCs w:val="20"/>
          <w:color w:val="auto"/>
        </w:rPr>
      </w:pPr>
    </w:p>
    <w:p>
      <w:pPr>
        <w:spacing w:after="0" w:line="27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MAUREEN VERGARA</w:t>
      </w:r>
    </w:p>
    <w:p>
      <w:pPr>
        <w:spacing w:after="0" w:line="200" w:lineRule="exact"/>
        <w:rPr>
          <w:sz w:val="20"/>
          <w:szCs w:val="20"/>
          <w:color w:val="auto"/>
        </w:rPr>
      </w:pPr>
    </w:p>
    <w:p>
      <w:pPr>
        <w:spacing w:after="0" w:line="267"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22"/>
          <w:szCs w:val="22"/>
          <w:color w:val="auto"/>
        </w:rPr>
        <w:t>By:</w:t>
        <w:tab/>
        <w:t>/s/ Maureen Vergara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19685</wp:posOffset>
            </wp:positionV>
            <wp:extent cx="3497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213"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Address: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SIGNATURE PAGE TO</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 FOR CHIME FINANCIAL INC.</w:t>
      </w:r>
    </w:p>
    <w:p>
      <w:pPr>
        <w:sectPr>
          <w:pgSz w:w="11900" w:h="16838" w:orient="portrait"/>
          <w:cols w:equalWidth="0" w:num="1">
            <w:col w:w="9200"/>
          </w:cols>
          <w:pgMar w:left="1440" w:top="124" w:right="1259" w:bottom="1440" w:gutter="0" w:footer="0" w:header="0"/>
        </w:sectPr>
      </w:pPr>
    </w:p>
    <w:bookmarkStart w:id="409" w:name="page410"/>
    <w:bookmarkEnd w:id="409"/>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have executed this Agreement as of the date first above written</w:t>
      </w:r>
    </w:p>
    <w:p>
      <w:pPr>
        <w:spacing w:after="0" w:line="25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INVESTOR:</w:t>
      </w:r>
    </w:p>
    <w:p>
      <w:pPr>
        <w:spacing w:after="0" w:line="260"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HMI CAPITAL PARTNERS, L.P.</w:t>
      </w:r>
    </w:p>
    <w:p>
      <w:pPr>
        <w:spacing w:after="0" w:line="3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By: HMI Capital Fund GP, LLC</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200" w:lineRule="exact"/>
        <w:rPr>
          <w:sz w:val="20"/>
          <w:szCs w:val="20"/>
          <w:color w:val="auto"/>
        </w:rPr>
      </w:pPr>
    </w:p>
    <w:p>
      <w:pPr>
        <w:spacing w:after="0" w:line="237"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22"/>
          <w:szCs w:val="22"/>
          <w:color w:val="auto"/>
        </w:rPr>
        <w:t>By:</w:t>
        <w:tab/>
        <w:t>/s/ Sean Barett</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Sean Barett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-158750</wp:posOffset>
            </wp:positionV>
            <wp:extent cx="3497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ind w:left="4060"/>
        <w:spacing w:after="0"/>
        <w:rPr>
          <w:sz w:val="20"/>
          <w:szCs w:val="20"/>
          <w:color w:val="auto"/>
        </w:rPr>
      </w:pPr>
      <w:r>
        <w:rPr>
          <w:rFonts w:ascii="Times New Roman" w:cs="Times New Roman" w:eastAsia="Times New Roman" w:hAnsi="Times New Roman"/>
          <w:sz w:val="22"/>
          <w:szCs w:val="22"/>
          <w:color w:val="auto"/>
        </w:rPr>
        <w:t>Title: Authorized Person</w:t>
      </w:r>
    </w:p>
    <w:p>
      <w:pPr>
        <w:spacing w:after="0" w:line="200" w:lineRule="exact"/>
        <w:rPr>
          <w:sz w:val="20"/>
          <w:szCs w:val="20"/>
          <w:color w:val="auto"/>
        </w:rPr>
      </w:pPr>
    </w:p>
    <w:p>
      <w:pPr>
        <w:spacing w:after="0" w:line="23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Address: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SIGNATURE PAGE TO</w:t>
      </w:r>
    </w:p>
    <w:p>
      <w:pPr>
        <w:spacing w:after="0" w:line="3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 FOR CHIME FINANCIAL INC.</w:t>
      </w:r>
    </w:p>
    <w:p>
      <w:pPr>
        <w:sectPr>
          <w:pgSz w:w="11900" w:h="16838" w:orient="portrait"/>
          <w:cols w:equalWidth="0" w:num="1">
            <w:col w:w="9140"/>
          </w:cols>
          <w:pgMar w:left="1440" w:top="124" w:right="1319" w:bottom="1440" w:gutter="0" w:footer="0" w:header="0"/>
        </w:sectPr>
      </w:pPr>
    </w:p>
    <w:bookmarkStart w:id="410" w:name="page411"/>
    <w:bookmarkEnd w:id="410"/>
    <w:p>
      <w:pPr>
        <w:jc w:val="center"/>
        <w:ind w:right="96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have executed this Agreement as of the date first above written</w:t>
      </w:r>
    </w:p>
    <w:p>
      <w:pPr>
        <w:spacing w:after="0" w:line="25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INVESTOR:</w:t>
      </w:r>
    </w:p>
    <w:p>
      <w:pPr>
        <w:spacing w:after="0" w:line="260"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THE SCHIEHALLION FUND LIMITED</w:t>
      </w:r>
    </w:p>
    <w:p>
      <w:pPr>
        <w:spacing w:after="0" w:line="251" w:lineRule="exact"/>
        <w:rPr>
          <w:sz w:val="20"/>
          <w:szCs w:val="20"/>
          <w:color w:val="auto"/>
        </w:rPr>
      </w:pPr>
    </w:p>
    <w:p>
      <w:pPr>
        <w:ind w:left="4060"/>
        <w:spacing w:after="0" w:line="236" w:lineRule="auto"/>
        <w:rPr>
          <w:sz w:val="20"/>
          <w:szCs w:val="20"/>
          <w:color w:val="auto"/>
        </w:rPr>
      </w:pPr>
      <w:r>
        <w:rPr>
          <w:rFonts w:ascii="Times New Roman" w:cs="Times New Roman" w:eastAsia="Times New Roman" w:hAnsi="Times New Roman"/>
          <w:sz w:val="22"/>
          <w:szCs w:val="22"/>
          <w:color w:val="auto"/>
        </w:rPr>
        <w:t>Executed for and on behalf of the Schiehallion Fund Limited, acting through its agent, Baillie Gifford Overseas Limited</w:t>
      </w:r>
    </w:p>
    <w:p>
      <w:pPr>
        <w:spacing w:after="0" w:line="200" w:lineRule="exact"/>
        <w:rPr>
          <w:sz w:val="20"/>
          <w:szCs w:val="20"/>
          <w:color w:val="auto"/>
        </w:rPr>
      </w:pPr>
    </w:p>
    <w:p>
      <w:pPr>
        <w:spacing w:after="0" w:line="220"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22"/>
          <w:szCs w:val="22"/>
          <w:color w:val="auto"/>
        </w:rPr>
        <w:t>By:</w:t>
        <w:tab/>
        <w:t>/s/ Mark Urquhart</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Mark Urquhart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-158750</wp:posOffset>
            </wp:positionV>
            <wp:extent cx="3497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ind w:left="4060"/>
        <w:spacing w:after="0"/>
        <w:rPr>
          <w:sz w:val="20"/>
          <w:szCs w:val="20"/>
          <w:color w:val="auto"/>
        </w:rPr>
      </w:pPr>
      <w:r>
        <w:rPr>
          <w:rFonts w:ascii="Times New Roman" w:cs="Times New Roman" w:eastAsia="Times New Roman" w:hAnsi="Times New Roman"/>
          <w:sz w:val="22"/>
          <w:szCs w:val="22"/>
          <w:color w:val="auto"/>
        </w:rPr>
        <w:t>Title: Authorised Signatory of Baillie Gifford</w:t>
      </w:r>
    </w:p>
    <w:p>
      <w:pPr>
        <w:spacing w:after="0" w:line="1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Overseas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SIGNATURE PAGE TO</w:t>
      </w:r>
    </w:p>
    <w:p>
      <w:pPr>
        <w:spacing w:after="0" w:line="31"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 FOR CHIME FINANCIAL INC.</w:t>
      </w:r>
    </w:p>
    <w:p>
      <w:pPr>
        <w:sectPr>
          <w:pgSz w:w="11900" w:h="16838" w:orient="portrait"/>
          <w:cols w:equalWidth="0" w:num="1">
            <w:col w:w="9960"/>
          </w:cols>
          <w:pgMar w:left="1440" w:top="124" w:right="499" w:bottom="1440" w:gutter="0" w:footer="0" w:header="0"/>
        </w:sectPr>
      </w:pPr>
    </w:p>
    <w:bookmarkStart w:id="411" w:name="page412"/>
    <w:bookmarkEnd w:id="411"/>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have executed this Agreement as of the date first above written</w:t>
      </w:r>
    </w:p>
    <w:p>
      <w:pPr>
        <w:spacing w:after="0" w:line="25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INVESTOR:</w:t>
      </w:r>
    </w:p>
    <w:p>
      <w:pPr>
        <w:spacing w:after="0" w:line="260"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THE GROWTH FUND OF AMERICA</w:t>
      </w:r>
    </w:p>
    <w:p>
      <w:pPr>
        <w:spacing w:after="0" w:line="200" w:lineRule="exact"/>
        <w:rPr>
          <w:sz w:val="20"/>
          <w:szCs w:val="20"/>
          <w:color w:val="auto"/>
        </w:rPr>
      </w:pPr>
    </w:p>
    <w:p>
      <w:pPr>
        <w:spacing w:after="0" w:line="29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By: Capital Research and Management Company,</w:t>
      </w:r>
    </w:p>
    <w:p>
      <w:pPr>
        <w:spacing w:after="0" w:line="2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for and on behalf of The Growth Fund of America</w:t>
      </w:r>
    </w:p>
    <w:p>
      <w:pPr>
        <w:spacing w:after="0" w:line="223"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22"/>
          <w:szCs w:val="22"/>
          <w:color w:val="auto"/>
        </w:rPr>
        <w:t>By:</w:t>
        <w:tab/>
        <w:t>/s/ Walter R. Burkley</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Walter R. Burkley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-158750</wp:posOffset>
            </wp:positionV>
            <wp:extent cx="3497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ind w:left="406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8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INVESTOR:</w:t>
      </w:r>
    </w:p>
    <w:p>
      <w:pPr>
        <w:spacing w:after="0" w:line="22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CAPITAL GROUP GROWTH FUND OF</w:t>
      </w:r>
    </w:p>
    <w:p>
      <w:pPr>
        <w:ind w:left="4060"/>
        <w:spacing w:after="0"/>
        <w:rPr>
          <w:sz w:val="20"/>
          <w:szCs w:val="20"/>
          <w:color w:val="auto"/>
        </w:rPr>
      </w:pPr>
      <w:r>
        <w:rPr>
          <w:rFonts w:ascii="Times New Roman" w:cs="Times New Roman" w:eastAsia="Times New Roman" w:hAnsi="Times New Roman"/>
          <w:sz w:val="22"/>
          <w:szCs w:val="22"/>
          <w:b w:val="1"/>
          <w:bCs w:val="1"/>
          <w:color w:val="auto"/>
        </w:rPr>
        <w:t>AMERICA TRUST (US)</w:t>
      </w:r>
    </w:p>
    <w:p>
      <w:pPr>
        <w:spacing w:after="0" w:line="200" w:lineRule="exact"/>
        <w:rPr>
          <w:sz w:val="20"/>
          <w:szCs w:val="20"/>
          <w:color w:val="auto"/>
        </w:rPr>
      </w:pPr>
    </w:p>
    <w:p>
      <w:pPr>
        <w:spacing w:after="0" w:line="25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By: Capital Research and Management Company,</w:t>
      </w:r>
    </w:p>
    <w:p>
      <w:pPr>
        <w:spacing w:after="0" w:line="2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for and on behalf of Capital Group Growth Fund of</w:t>
      </w:r>
    </w:p>
    <w:p>
      <w:pPr>
        <w:spacing w:after="0" w:line="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America Trust (US)</w:t>
      </w:r>
    </w:p>
    <w:p>
      <w:pPr>
        <w:spacing w:after="0" w:line="234"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22"/>
          <w:szCs w:val="22"/>
          <w:color w:val="auto"/>
        </w:rPr>
        <w:t>By:</w:t>
        <w:tab/>
        <w:t>/s/ Walter R. Burkley</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Walter R. Burkley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-158750</wp:posOffset>
            </wp:positionV>
            <wp:extent cx="3497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ind w:left="406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SIGNATURE PAGE TO</w:t>
      </w:r>
    </w:p>
    <w:p>
      <w:pPr>
        <w:spacing w:after="0" w:line="3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 FOR CHIME FINANCIAL INC.</w:t>
      </w:r>
    </w:p>
    <w:p>
      <w:pPr>
        <w:sectPr>
          <w:pgSz w:w="11900" w:h="16838" w:orient="portrait"/>
          <w:cols w:equalWidth="0" w:num="1">
            <w:col w:w="9140"/>
          </w:cols>
          <w:pgMar w:left="1440" w:top="124" w:right="1319" w:bottom="1440" w:gutter="0" w:footer="0" w:header="0"/>
        </w:sectPr>
      </w:pPr>
    </w:p>
    <w:bookmarkStart w:id="412" w:name="page413"/>
    <w:bookmarkEnd w:id="412"/>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1"/>
          <w:szCs w:val="21"/>
          <w:b w:val="1"/>
          <w:bCs w:val="1"/>
          <w:color w:val="auto"/>
        </w:rPr>
        <w:t xml:space="preserve">IN WITNESS WHEREOF, </w:t>
      </w:r>
      <w:r>
        <w:rPr>
          <w:rFonts w:ascii="Times New Roman" w:cs="Times New Roman" w:eastAsia="Times New Roman" w:hAnsi="Times New Roman"/>
          <w:sz w:val="21"/>
          <w:szCs w:val="21"/>
          <w:color w:val="auto"/>
        </w:rPr>
        <w:t>the parties have executed this Agreement as of the date first above written</w:t>
      </w:r>
    </w:p>
    <w:p>
      <w:pPr>
        <w:spacing w:after="0" w:line="25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INVESTOR:</w:t>
      </w:r>
    </w:p>
    <w:p>
      <w:pPr>
        <w:spacing w:after="0" w:line="260"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ALGER CAPITAL APPRECIATION FUND</w:t>
      </w:r>
    </w:p>
    <w:p>
      <w:pPr>
        <w:spacing w:after="0" w:line="200" w:lineRule="exact"/>
        <w:rPr>
          <w:sz w:val="20"/>
          <w:szCs w:val="20"/>
          <w:color w:val="auto"/>
        </w:rPr>
      </w:pPr>
    </w:p>
    <w:p>
      <w:pPr>
        <w:spacing w:after="0" w:line="267"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22"/>
          <w:szCs w:val="22"/>
          <w:color w:val="auto"/>
        </w:rPr>
        <w:t>By:</w:t>
        <w:tab/>
        <w:t>/s/ Tina Payne</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Tina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-158750</wp:posOffset>
            </wp:positionV>
            <wp:extent cx="3497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ind w:left="4060"/>
        <w:spacing w:after="0"/>
        <w:rPr>
          <w:sz w:val="20"/>
          <w:szCs w:val="20"/>
          <w:color w:val="auto"/>
        </w:rPr>
      </w:pPr>
      <w:r>
        <w:rPr>
          <w:rFonts w:ascii="Times New Roman" w:cs="Times New Roman" w:eastAsia="Times New Roman" w:hAnsi="Times New Roman"/>
          <w:sz w:val="22"/>
          <w:szCs w:val="22"/>
          <w:color w:val="auto"/>
        </w:rPr>
        <w:t>Title: Secretary</w:t>
      </w:r>
    </w:p>
    <w:p>
      <w:pPr>
        <w:spacing w:after="0" w:line="200" w:lineRule="exact"/>
        <w:rPr>
          <w:sz w:val="20"/>
          <w:szCs w:val="20"/>
          <w:color w:val="auto"/>
        </w:rPr>
      </w:pPr>
    </w:p>
    <w:p>
      <w:pPr>
        <w:spacing w:after="0" w:line="28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INVESTOR:</w:t>
      </w:r>
    </w:p>
    <w:p>
      <w:pPr>
        <w:spacing w:after="0" w:line="22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ALGER CAPITAL APPRECIATION</w:t>
      </w:r>
    </w:p>
    <w:p>
      <w:pPr>
        <w:ind w:left="4060"/>
        <w:spacing w:after="0"/>
        <w:rPr>
          <w:sz w:val="20"/>
          <w:szCs w:val="20"/>
          <w:color w:val="auto"/>
        </w:rPr>
      </w:pPr>
      <w:r>
        <w:rPr>
          <w:rFonts w:ascii="Times New Roman" w:cs="Times New Roman" w:eastAsia="Times New Roman" w:hAnsi="Times New Roman"/>
          <w:sz w:val="22"/>
          <w:szCs w:val="22"/>
          <w:b w:val="1"/>
          <w:bCs w:val="1"/>
          <w:color w:val="auto"/>
        </w:rPr>
        <w:t>INSTITUTIONAL FUND</w:t>
      </w:r>
    </w:p>
    <w:p>
      <w:pPr>
        <w:spacing w:after="0" w:line="200" w:lineRule="exact"/>
        <w:rPr>
          <w:sz w:val="20"/>
          <w:szCs w:val="20"/>
          <w:color w:val="auto"/>
        </w:rPr>
      </w:pPr>
    </w:p>
    <w:p>
      <w:pPr>
        <w:spacing w:after="0" w:line="225"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22"/>
          <w:szCs w:val="22"/>
          <w:color w:val="auto"/>
        </w:rPr>
        <w:t>By:</w:t>
        <w:tab/>
        <w:t>/s/ Tina Payne</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Tina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-158750</wp:posOffset>
            </wp:positionV>
            <wp:extent cx="3497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ind w:left="4060"/>
        <w:spacing w:after="0"/>
        <w:rPr>
          <w:sz w:val="20"/>
          <w:szCs w:val="20"/>
          <w:color w:val="auto"/>
        </w:rPr>
      </w:pPr>
      <w:r>
        <w:rPr>
          <w:rFonts w:ascii="Times New Roman" w:cs="Times New Roman" w:eastAsia="Times New Roman" w:hAnsi="Times New Roman"/>
          <w:sz w:val="22"/>
          <w:szCs w:val="22"/>
          <w:color w:val="auto"/>
        </w:rPr>
        <w:t>Title: Secretary</w:t>
      </w:r>
    </w:p>
    <w:p>
      <w:pPr>
        <w:spacing w:after="0" w:line="200" w:lineRule="exact"/>
        <w:rPr>
          <w:sz w:val="20"/>
          <w:szCs w:val="20"/>
          <w:color w:val="auto"/>
        </w:rPr>
      </w:pPr>
    </w:p>
    <w:p>
      <w:pPr>
        <w:spacing w:after="0" w:line="28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INVESTOR:</w:t>
      </w:r>
    </w:p>
    <w:p>
      <w:pPr>
        <w:spacing w:after="0" w:line="22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ALGER CAPITAL APPRECIATION</w:t>
      </w:r>
    </w:p>
    <w:p>
      <w:pPr>
        <w:ind w:left="4060"/>
        <w:spacing w:after="0"/>
        <w:rPr>
          <w:sz w:val="20"/>
          <w:szCs w:val="20"/>
          <w:color w:val="auto"/>
        </w:rPr>
      </w:pPr>
      <w:r>
        <w:rPr>
          <w:rFonts w:ascii="Times New Roman" w:cs="Times New Roman" w:eastAsia="Times New Roman" w:hAnsi="Times New Roman"/>
          <w:sz w:val="22"/>
          <w:szCs w:val="22"/>
          <w:b w:val="1"/>
          <w:bCs w:val="1"/>
          <w:color w:val="auto"/>
        </w:rPr>
        <w:t>PORTFOLIO</w:t>
      </w:r>
    </w:p>
    <w:p>
      <w:pPr>
        <w:spacing w:after="0" w:line="200" w:lineRule="exact"/>
        <w:rPr>
          <w:sz w:val="20"/>
          <w:szCs w:val="20"/>
          <w:color w:val="auto"/>
        </w:rPr>
      </w:pPr>
    </w:p>
    <w:p>
      <w:pPr>
        <w:spacing w:after="0" w:line="225"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22"/>
          <w:szCs w:val="22"/>
          <w:color w:val="auto"/>
        </w:rPr>
        <w:t>By:</w:t>
        <w:tab/>
        <w:t>/s/ Tina Payne</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Tina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-158750</wp:posOffset>
            </wp:positionV>
            <wp:extent cx="3497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ind w:left="4060"/>
        <w:spacing w:after="0"/>
        <w:rPr>
          <w:sz w:val="20"/>
          <w:szCs w:val="20"/>
          <w:color w:val="auto"/>
        </w:rPr>
      </w:pPr>
      <w:r>
        <w:rPr>
          <w:rFonts w:ascii="Times New Roman" w:cs="Times New Roman" w:eastAsia="Times New Roman" w:hAnsi="Times New Roman"/>
          <w:sz w:val="22"/>
          <w:szCs w:val="22"/>
          <w:color w:val="auto"/>
        </w:rPr>
        <w:t>Title: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SIGNATURE PAGE TO</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 FOR CHIME FINANCIAL INC.</w:t>
      </w:r>
    </w:p>
    <w:p>
      <w:pPr>
        <w:sectPr>
          <w:pgSz w:w="11900" w:h="16838" w:orient="portrait"/>
          <w:cols w:equalWidth="0" w:num="1">
            <w:col w:w="9120"/>
          </w:cols>
          <w:pgMar w:left="1440" w:top="124" w:right="1339" w:bottom="1440" w:gutter="0" w:footer="0" w:header="0"/>
        </w:sectPr>
      </w:pPr>
    </w:p>
    <w:bookmarkStart w:id="413" w:name="page414"/>
    <w:bookmarkEnd w:id="413"/>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1"/>
          <w:szCs w:val="21"/>
          <w:b w:val="1"/>
          <w:bCs w:val="1"/>
          <w:color w:val="auto"/>
        </w:rPr>
        <w:t xml:space="preserve">IN WITNESS WHEREOF, </w:t>
      </w:r>
      <w:r>
        <w:rPr>
          <w:rFonts w:ascii="Times New Roman" w:cs="Times New Roman" w:eastAsia="Times New Roman" w:hAnsi="Times New Roman"/>
          <w:sz w:val="21"/>
          <w:szCs w:val="21"/>
          <w:color w:val="auto"/>
        </w:rPr>
        <w:t>the parties have executed this Agreement as of the date first above written</w:t>
      </w:r>
    </w:p>
    <w:p>
      <w:pPr>
        <w:spacing w:after="0" w:line="25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INVESTOR:</w:t>
      </w:r>
    </w:p>
    <w:p>
      <w:pPr>
        <w:spacing w:after="0" w:line="260"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ALGER SPECTRA FUND</w:t>
      </w:r>
    </w:p>
    <w:p>
      <w:pPr>
        <w:spacing w:after="0" w:line="200" w:lineRule="exact"/>
        <w:rPr>
          <w:sz w:val="20"/>
          <w:szCs w:val="20"/>
          <w:color w:val="auto"/>
        </w:rPr>
      </w:pPr>
    </w:p>
    <w:p>
      <w:pPr>
        <w:spacing w:after="0" w:line="267"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22"/>
          <w:szCs w:val="22"/>
          <w:color w:val="auto"/>
        </w:rPr>
        <w:t>By:</w:t>
        <w:tab/>
        <w:t>/s/ Tina Payne</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Tina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-158750</wp:posOffset>
            </wp:positionV>
            <wp:extent cx="3497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ind w:left="4060"/>
        <w:spacing w:after="0"/>
        <w:rPr>
          <w:sz w:val="20"/>
          <w:szCs w:val="20"/>
          <w:color w:val="auto"/>
        </w:rPr>
      </w:pPr>
      <w:r>
        <w:rPr>
          <w:rFonts w:ascii="Times New Roman" w:cs="Times New Roman" w:eastAsia="Times New Roman" w:hAnsi="Times New Roman"/>
          <w:sz w:val="22"/>
          <w:szCs w:val="22"/>
          <w:color w:val="auto"/>
        </w:rPr>
        <w:t>Title: Secretary</w:t>
      </w:r>
    </w:p>
    <w:p>
      <w:pPr>
        <w:spacing w:after="0" w:line="200" w:lineRule="exact"/>
        <w:rPr>
          <w:sz w:val="20"/>
          <w:szCs w:val="20"/>
          <w:color w:val="auto"/>
        </w:rPr>
      </w:pPr>
    </w:p>
    <w:p>
      <w:pPr>
        <w:spacing w:after="0" w:line="23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INVESTOR:</w:t>
      </w:r>
    </w:p>
    <w:p>
      <w:pPr>
        <w:spacing w:after="0" w:line="22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ALGER SMALL CAP GROWTH</w:t>
      </w:r>
    </w:p>
    <w:p>
      <w:pPr>
        <w:ind w:left="4060"/>
        <w:spacing w:after="0"/>
        <w:rPr>
          <w:sz w:val="20"/>
          <w:szCs w:val="20"/>
          <w:color w:val="auto"/>
        </w:rPr>
      </w:pPr>
      <w:r>
        <w:rPr>
          <w:rFonts w:ascii="Times New Roman" w:cs="Times New Roman" w:eastAsia="Times New Roman" w:hAnsi="Times New Roman"/>
          <w:sz w:val="22"/>
          <w:szCs w:val="22"/>
          <w:b w:val="1"/>
          <w:bCs w:val="1"/>
          <w:color w:val="auto"/>
        </w:rPr>
        <w:t>INSTITUTIONAL FUND</w:t>
      </w:r>
    </w:p>
    <w:p>
      <w:pPr>
        <w:spacing w:after="0" w:line="200" w:lineRule="exact"/>
        <w:rPr>
          <w:sz w:val="20"/>
          <w:szCs w:val="20"/>
          <w:color w:val="auto"/>
        </w:rPr>
      </w:pPr>
    </w:p>
    <w:p>
      <w:pPr>
        <w:spacing w:after="0" w:line="225"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22"/>
          <w:szCs w:val="22"/>
          <w:color w:val="auto"/>
        </w:rPr>
        <w:t>By:</w:t>
        <w:tab/>
        <w:t>/s/ Tina Payne</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Tina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-158750</wp:posOffset>
            </wp:positionV>
            <wp:extent cx="3497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ind w:left="4060"/>
        <w:spacing w:after="0"/>
        <w:rPr>
          <w:sz w:val="20"/>
          <w:szCs w:val="20"/>
          <w:color w:val="auto"/>
        </w:rPr>
      </w:pPr>
      <w:r>
        <w:rPr>
          <w:rFonts w:ascii="Times New Roman" w:cs="Times New Roman" w:eastAsia="Times New Roman" w:hAnsi="Times New Roman"/>
          <w:sz w:val="22"/>
          <w:szCs w:val="22"/>
          <w:color w:val="auto"/>
        </w:rPr>
        <w:t>Title: Secretary</w:t>
      </w:r>
    </w:p>
    <w:p>
      <w:pPr>
        <w:spacing w:after="0" w:line="200" w:lineRule="exact"/>
        <w:rPr>
          <w:sz w:val="20"/>
          <w:szCs w:val="20"/>
          <w:color w:val="auto"/>
        </w:rPr>
      </w:pPr>
    </w:p>
    <w:p>
      <w:pPr>
        <w:spacing w:after="0" w:line="23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Address for Notices: [***]</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Email: [***]</w:t>
      </w:r>
    </w:p>
    <w:p>
      <w:pPr>
        <w:spacing w:after="0" w:line="27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color w:val="auto"/>
        </w:rPr>
        <w:t>with a copy to:</w:t>
      </w:r>
    </w:p>
    <w:p>
      <w:pPr>
        <w:spacing w:after="0" w:line="2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Stroock &amp; Stroock &amp; Lavan LLP</w:t>
      </w:r>
    </w:p>
    <w:p>
      <w:pPr>
        <w:spacing w:after="0" w:line="1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Email: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SIGNATURE PAGE TO</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 FOR CHIME FINANCIAL INC.</w:t>
      </w:r>
    </w:p>
    <w:p>
      <w:pPr>
        <w:sectPr>
          <w:pgSz w:w="11900" w:h="16838" w:orient="portrait"/>
          <w:cols w:equalWidth="0" w:num="1">
            <w:col w:w="9120"/>
          </w:cols>
          <w:pgMar w:left="1440" w:top="124" w:right="1339" w:bottom="1440" w:gutter="0" w:footer="0" w:header="0"/>
        </w:sectPr>
      </w:pPr>
    </w:p>
    <w:bookmarkStart w:id="414" w:name="page415"/>
    <w:bookmarkEnd w:id="414"/>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have executed this Agreement as of the date first above written</w:t>
      </w:r>
    </w:p>
    <w:p>
      <w:pPr>
        <w:spacing w:after="0" w:line="25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INVESTOR:</w:t>
      </w:r>
    </w:p>
    <w:p>
      <w:pPr>
        <w:spacing w:after="0" w:line="22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THIRTY FIFTH INVESTMENT COMPANY</w:t>
      </w:r>
    </w:p>
    <w:p>
      <w:pPr>
        <w:ind w:left="4060"/>
        <w:spacing w:after="0"/>
        <w:rPr>
          <w:sz w:val="20"/>
          <w:szCs w:val="20"/>
          <w:color w:val="auto"/>
        </w:rPr>
      </w:pPr>
      <w:r>
        <w:rPr>
          <w:rFonts w:ascii="Times New Roman" w:cs="Times New Roman" w:eastAsia="Times New Roman" w:hAnsi="Times New Roman"/>
          <w:sz w:val="22"/>
          <w:szCs w:val="22"/>
          <w:b w:val="1"/>
          <w:bCs w:val="1"/>
          <w:color w:val="auto"/>
        </w:rPr>
        <w:t>LLC</w:t>
      </w:r>
    </w:p>
    <w:p>
      <w:pPr>
        <w:spacing w:after="0" w:line="200" w:lineRule="exact"/>
        <w:rPr>
          <w:sz w:val="20"/>
          <w:szCs w:val="20"/>
          <w:color w:val="auto"/>
        </w:rPr>
      </w:pPr>
    </w:p>
    <w:p>
      <w:pPr>
        <w:spacing w:after="0" w:line="225"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22"/>
          <w:szCs w:val="22"/>
          <w:color w:val="auto"/>
        </w:rPr>
        <w:t>By:</w:t>
        <w:tab/>
        <w:t>/s/ Rodney Cannon /s/ Hani Barhoush</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Rodney Cannon / Hani Barhoush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-158750</wp:posOffset>
            </wp:positionV>
            <wp:extent cx="3497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ind w:left="4060"/>
        <w:spacing w:after="0"/>
        <w:rPr>
          <w:sz w:val="20"/>
          <w:szCs w:val="20"/>
          <w:color w:val="auto"/>
        </w:rPr>
      </w:pPr>
      <w:r>
        <w:rPr>
          <w:rFonts w:ascii="Times New Roman" w:cs="Times New Roman" w:eastAsia="Times New Roman" w:hAnsi="Times New Roman"/>
          <w:sz w:val="22"/>
          <w:szCs w:val="22"/>
          <w:color w:val="auto"/>
        </w:rPr>
        <w:t>Title: Authorised Signatories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SIGNATURE PAGE TO</w:t>
      </w:r>
    </w:p>
    <w:p>
      <w:pPr>
        <w:spacing w:after="0" w:line="3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 FOR CHIME FINANCIAL INC.</w:t>
      </w:r>
    </w:p>
    <w:p>
      <w:pPr>
        <w:sectPr>
          <w:pgSz w:w="11900" w:h="16838" w:orient="portrait"/>
          <w:cols w:equalWidth="0" w:num="1">
            <w:col w:w="9140"/>
          </w:cols>
          <w:pgMar w:left="1440" w:top="124" w:right="1319" w:bottom="1440" w:gutter="0" w:footer="0" w:header="0"/>
        </w:sectPr>
      </w:pPr>
    </w:p>
    <w:bookmarkStart w:id="415" w:name="page416"/>
    <w:bookmarkEnd w:id="415"/>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have executed this Agreement as of the date first above written.</w:t>
      </w:r>
    </w:p>
    <w:p>
      <w:pPr>
        <w:spacing w:after="0" w:line="25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INVESTOR:</w:t>
      </w:r>
    </w:p>
    <w:p>
      <w:pPr>
        <w:spacing w:after="0" w:line="26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HS Investments III Limited</w:t>
      </w:r>
    </w:p>
    <w:p>
      <w:pPr>
        <w:spacing w:after="0" w:line="23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 xml:space="preserve">SIGNED </w:t>
      </w:r>
      <w:r>
        <w:rPr>
          <w:rFonts w:ascii="Times New Roman" w:cs="Times New Roman" w:eastAsia="Times New Roman" w:hAnsi="Times New Roman"/>
          <w:sz w:val="22"/>
          <w:szCs w:val="22"/>
          <w:color w:val="auto"/>
        </w:rPr>
        <w:t>for and on behalf of</w:t>
      </w:r>
    </w:p>
    <w:p>
      <w:pPr>
        <w:ind w:left="4060"/>
        <w:spacing w:after="0"/>
        <w:rPr>
          <w:sz w:val="20"/>
          <w:szCs w:val="20"/>
          <w:color w:val="auto"/>
        </w:rPr>
      </w:pPr>
      <w:r>
        <w:rPr>
          <w:rFonts w:ascii="Times New Roman" w:cs="Times New Roman" w:eastAsia="Times New Roman" w:hAnsi="Times New Roman"/>
          <w:sz w:val="22"/>
          <w:szCs w:val="22"/>
          <w:b w:val="1"/>
          <w:bCs w:val="1"/>
          <w:color w:val="auto"/>
        </w:rPr>
        <w:t>HS INVESTMENTS III LIMITED</w:t>
      </w:r>
    </w:p>
    <w:p>
      <w:pPr>
        <w:spacing w:after="0" w:line="200" w:lineRule="exact"/>
        <w:rPr>
          <w:sz w:val="20"/>
          <w:szCs w:val="20"/>
          <w:color w:val="auto"/>
        </w:rPr>
      </w:pPr>
    </w:p>
    <w:p>
      <w:pPr>
        <w:spacing w:after="0" w:line="225" w:lineRule="exact"/>
        <w:rPr>
          <w:sz w:val="20"/>
          <w:szCs w:val="20"/>
          <w:color w:val="auto"/>
        </w:rPr>
      </w:pPr>
    </w:p>
    <w:p>
      <w:pPr>
        <w:ind w:left="4060"/>
        <w:spacing w:after="0"/>
        <w:tabs>
          <w:tab w:leader="none" w:pos="4660" w:val="left"/>
        </w:tabs>
        <w:rPr>
          <w:sz w:val="20"/>
          <w:szCs w:val="20"/>
          <w:color w:val="auto"/>
        </w:rPr>
      </w:pPr>
      <w:r>
        <w:rPr>
          <w:rFonts w:ascii="Times New Roman" w:cs="Times New Roman" w:eastAsia="Times New Roman" w:hAnsi="Times New Roman"/>
          <w:sz w:val="22"/>
          <w:szCs w:val="22"/>
          <w:color w:val="auto"/>
        </w:rPr>
        <w:t>By:</w:t>
        <w:tab/>
        <w:t>/s/ John Bishop</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John Bishop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-158750</wp:posOffset>
            </wp:positionV>
            <wp:extent cx="3497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ind w:left="406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SIGNATURE PAGE TO</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 FOR CHIME FINANCIAL INC.</w:t>
      </w:r>
    </w:p>
    <w:p>
      <w:pPr>
        <w:sectPr>
          <w:pgSz w:w="11900" w:h="16838" w:orient="portrait"/>
          <w:cols w:equalWidth="0" w:num="1">
            <w:col w:w="9200"/>
          </w:cols>
          <w:pgMar w:left="1440" w:top="124" w:right="1259" w:bottom="1440" w:gutter="0" w:footer="0" w:header="0"/>
        </w:sectPr>
      </w:pPr>
    </w:p>
    <w:bookmarkStart w:id="416" w:name="page417"/>
    <w:bookmarkEnd w:id="416"/>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have executed this Agreement as of the date first above written</w:t>
      </w:r>
    </w:p>
    <w:p>
      <w:pPr>
        <w:spacing w:after="0" w:line="25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INVESTOR:</w:t>
      </w:r>
    </w:p>
    <w:p>
      <w:pPr>
        <w:spacing w:after="0" w:line="23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OMEGA ORYX LIMITED</w:t>
      </w:r>
    </w:p>
    <w:p>
      <w:pPr>
        <w:spacing w:after="0" w:line="200" w:lineRule="exact"/>
        <w:rPr>
          <w:sz w:val="20"/>
          <w:szCs w:val="20"/>
          <w:color w:val="auto"/>
        </w:rPr>
      </w:pPr>
    </w:p>
    <w:p>
      <w:pPr>
        <w:spacing w:after="0" w:line="253"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22"/>
          <w:szCs w:val="22"/>
          <w:color w:val="auto"/>
        </w:rPr>
        <w:t>By:</w:t>
        <w:tab/>
        <w:t>/s/ Bashar Al Rosan</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Bashar Al Rosan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-158750</wp:posOffset>
            </wp:positionV>
            <wp:extent cx="3497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ind w:left="406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SIGNATURE PAGE TO</w:t>
      </w:r>
    </w:p>
    <w:p>
      <w:pPr>
        <w:spacing w:after="0" w:line="3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 FOR CHIME FINANCIAL INC.</w:t>
      </w:r>
    </w:p>
    <w:p>
      <w:pPr>
        <w:sectPr>
          <w:pgSz w:w="11900" w:h="16838" w:orient="portrait"/>
          <w:cols w:equalWidth="0" w:num="1">
            <w:col w:w="9140"/>
          </w:cols>
          <w:pgMar w:left="1440" w:top="124" w:right="1319" w:bottom="1440" w:gutter="0" w:footer="0" w:header="0"/>
        </w:sectPr>
      </w:pPr>
    </w:p>
    <w:bookmarkStart w:id="417" w:name="page418"/>
    <w:bookmarkEnd w:id="417"/>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SCHEDULE A</w:t>
      </w:r>
    </w:p>
    <w:p>
      <w:pPr>
        <w:spacing w:after="0" w:line="19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SCHEDULE OF INVESTORS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Sino French (Innovation) Fund FPCI</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Clocktower Technologies I 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Acrew K SPV, 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Acrew Diversify Capital Fund, L.P.</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Acrew Diversify Capital Fund (A), L.P.</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Acrew Diversify Capital Executive Fund, 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Acrew Diversify Capital Executive Fund (A), 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Acrew Diversify Capital Fund (G), 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AME Cloud Ventures LP</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AME 2019 Fund LP</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Aspect Ventures, 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Aspect Ventures I-A, 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Crosslink Ventures VII, 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Crosslink Ventures VII-B, L.P</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Crosslink Bayview VII, LLC</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Crosslink Crossover Fund VI, 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Crosslink Crossover Fund VII, 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Crosslink Crossover Fund VII-A, 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Crosslink Crossover Fund VII-B, 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Crosslink Ventures C, L.L.C.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Emerson Collective Investments, LLC</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GIC Private Investments, 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General Atlantic (CH), 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HMI Capital Partners, 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Homebrew Ventures I, L.P.</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Forerunner Partners I, L.P.</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Forerunner Builders I, 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Board of Trustees of the Leland Stanford Junior University (Daper I)</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Zander Lurie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Omidyar Network Fund LLC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Flourish Venture Fund LLC (f/k/a Fair Finance Fund LLC)</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Ohana Holdings,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Ventures XIV, 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Entrepreneurs Fund XIV, 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MMEF XIV, 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Special Opportunities Fund, L.P.</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MMSOP, L.P.</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Special Opportunities Fund II, 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Entrepreneurs Inflection Fund, L.P.</w:t>
      </w:r>
    </w:p>
    <w:p>
      <w:pPr>
        <w:sectPr>
          <w:pgSz w:w="11900" w:h="16838" w:orient="portrait"/>
          <w:cols w:equalWidth="0" w:num="1">
            <w:col w:w="10139"/>
          </w:cols>
          <w:pgMar w:left="320" w:top="12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1"/>
          <w:szCs w:val="21"/>
          <w:color w:val="auto"/>
        </w:rPr>
        <w:t>S-A</w:t>
      </w:r>
    </w:p>
    <w:p>
      <w:pPr>
        <w:sectPr>
          <w:pgSz w:w="11900" w:h="16838" w:orient="portrait"/>
          <w:cols w:equalWidth="0" w:num="1">
            <w:col w:w="10139"/>
          </w:cols>
          <w:pgMar w:left="320" w:top="124" w:right="1440" w:bottom="1440" w:gutter="0" w:footer="0" w:header="0"/>
          <w:type w:val="continuous"/>
        </w:sectPr>
      </w:pPr>
    </w:p>
    <w:bookmarkStart w:id="418" w:name="page419"/>
    <w:bookmarkEnd w:id="418"/>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8079" w:firstLine="8"/>
        <w:spacing w:after="0" w:line="251" w:lineRule="auto"/>
        <w:tabs>
          <w:tab w:leader="none" w:pos="438"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Inflection, L.P. Jesmond Holdings, L.P. Saurabh Gupta</w:t>
      </w:r>
    </w:p>
    <w:p>
      <w:pPr>
        <w:spacing w:after="0" w:line="1" w:lineRule="exact"/>
        <w:rPr>
          <w:rFonts w:ascii="Times New Roman" w:cs="Times New Roman" w:eastAsia="Times New Roman" w:hAnsi="Times New Roman"/>
          <w:sz w:val="22"/>
          <w:szCs w:val="22"/>
          <w:color w:val="auto"/>
        </w:rPr>
      </w:pPr>
    </w:p>
    <w:p>
      <w:pPr>
        <w:ind w:right="7519"/>
        <w:spacing w:after="0" w:line="24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DST Global VI, L.P. DSTG VI Investments, L.P. DSTG VI Investments-A, L.P. DST Investments XXI, L.P. DST Global VII, L.P.</w:t>
      </w:r>
    </w:p>
    <w:p>
      <w:pPr>
        <w:spacing w:after="0" w:line="4" w:lineRule="exact"/>
        <w:rPr>
          <w:rFonts w:ascii="Times New Roman" w:cs="Times New Roman" w:eastAsia="Times New Roman" w:hAnsi="Times New Roman"/>
          <w:sz w:val="22"/>
          <w:szCs w:val="22"/>
          <w:color w:val="auto"/>
        </w:rPr>
      </w:pPr>
    </w:p>
    <w:p>
      <w:pPr>
        <w:jc w:val="both"/>
        <w:ind w:right="7499"/>
        <w:spacing w:after="0" w:line="24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DSTG VII Investments-1, L.P. DSTG VII Investments-4, L.P. Coatue Kona III LP</w:t>
      </w:r>
    </w:p>
    <w:p>
      <w:pPr>
        <w:spacing w:after="0" w:line="3" w:lineRule="exact"/>
        <w:rPr>
          <w:rFonts w:ascii="Times New Roman" w:cs="Times New Roman" w:eastAsia="Times New Roman" w:hAnsi="Times New Roman"/>
          <w:sz w:val="22"/>
          <w:szCs w:val="22"/>
          <w:color w:val="auto"/>
        </w:rPr>
      </w:pPr>
    </w:p>
    <w:p>
      <w:pPr>
        <w:ind w:right="6859"/>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ICONIQ Strategic Partners III, L.P. ICONIQ Strategic Partners III-B, L.P. ICONIQ Strategic Partners IV, L.P. ICONIQ Strategic Partners IV-B, L.P.</w:t>
      </w:r>
    </w:p>
    <w:p>
      <w:pPr>
        <w:spacing w:after="0" w:line="1" w:lineRule="exact"/>
        <w:rPr>
          <w:rFonts w:ascii="Times New Roman" w:cs="Times New Roman" w:eastAsia="Times New Roman" w:hAnsi="Times New Roman"/>
          <w:sz w:val="22"/>
          <w:szCs w:val="22"/>
          <w:color w:val="auto"/>
        </w:rPr>
      </w:pPr>
    </w:p>
    <w:p>
      <w:pPr>
        <w:ind w:right="5239"/>
        <w:spacing w:after="0" w:line="24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ICONIQ Strategic Partners IV Co-Invest, L.P. (Series C) Cymbal DF Investments, LP</w:t>
      </w:r>
    </w:p>
    <w:p>
      <w:pPr>
        <w:ind w:right="5579"/>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Chateau, LLC, a Delaware limited liability company Oleg Tscheltzoff</w:t>
      </w:r>
    </w:p>
    <w:p>
      <w:pPr>
        <w:ind w:right="7579"/>
        <w:spacing w:after="0" w:line="24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AI Bells Holdings LLC Acrew Capital Fund (A), L.P. Alex Cook</w:t>
      </w:r>
    </w:p>
    <w:p>
      <w:pPr>
        <w:spacing w:after="0" w:line="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Tiger Global Investments, L.P.</w:t>
      </w:r>
    </w:p>
    <w:p>
      <w:pPr>
        <w:spacing w:after="0" w:line="3" w:lineRule="exact"/>
        <w:rPr>
          <w:rFonts w:ascii="Times New Roman" w:cs="Times New Roman" w:eastAsia="Times New Roman" w:hAnsi="Times New Roman"/>
          <w:sz w:val="22"/>
          <w:szCs w:val="22"/>
          <w:color w:val="auto"/>
        </w:rPr>
      </w:pPr>
    </w:p>
    <w:p>
      <w:pPr>
        <w:ind w:right="5679"/>
        <w:spacing w:after="0" w:line="24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Tiger Global Long Opportunities Master Fund, L.P. Tiger Global Private Investment Partners XII, L.P. Acrew Capital Fund, L.P.</w:t>
      </w:r>
    </w:p>
    <w:p>
      <w:pPr>
        <w:spacing w:after="0" w:line="1" w:lineRule="exact"/>
        <w:rPr>
          <w:rFonts w:ascii="Times New Roman" w:cs="Times New Roman" w:eastAsia="Times New Roman" w:hAnsi="Times New Roman"/>
          <w:sz w:val="22"/>
          <w:szCs w:val="22"/>
          <w:color w:val="auto"/>
        </w:rPr>
      </w:pPr>
    </w:p>
    <w:p>
      <w:pPr>
        <w:ind w:right="8319"/>
        <w:spacing w:after="0" w:line="24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Blake Commagere Capili Living Trust IA 1debit, LLC Jay McGraw Oliver and Lish Jung Russell Fradin</w:t>
      </w:r>
    </w:p>
    <w:p>
      <w:pPr>
        <w:spacing w:after="0" w:line="3" w:lineRule="exact"/>
        <w:rPr>
          <w:rFonts w:ascii="Times New Roman" w:cs="Times New Roman" w:eastAsia="Times New Roman" w:hAnsi="Times New Roman"/>
          <w:sz w:val="22"/>
          <w:szCs w:val="22"/>
          <w:color w:val="auto"/>
        </w:rPr>
      </w:pPr>
    </w:p>
    <w:p>
      <w:pPr>
        <w:ind w:right="7539"/>
        <w:spacing w:after="0" w:line="24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Golub Family 1999 Trust Turbo Ventures, LLC zPark Venture, L.P.</w:t>
      </w:r>
    </w:p>
    <w:p>
      <w:pPr>
        <w:spacing w:after="0" w:line="3" w:lineRule="exact"/>
        <w:rPr>
          <w:rFonts w:ascii="Times New Roman" w:cs="Times New Roman" w:eastAsia="Times New Roman" w:hAnsi="Times New Roman"/>
          <w:sz w:val="22"/>
          <w:szCs w:val="22"/>
          <w:color w:val="auto"/>
        </w:rPr>
      </w:pPr>
    </w:p>
    <w:p>
      <w:pPr>
        <w:ind w:right="6739"/>
        <w:spacing w:after="0" w:line="2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Whale Rock Flagship Master Fund, LP Whale Rock Flagship AI Fund LP</w:t>
      </w:r>
    </w:p>
    <w:p>
      <w:pPr>
        <w:spacing w:after="0" w:line="1" w:lineRule="exact"/>
        <w:rPr>
          <w:rFonts w:ascii="Times New Roman" w:cs="Times New Roman" w:eastAsia="Times New Roman" w:hAnsi="Times New Roman"/>
          <w:sz w:val="22"/>
          <w:szCs w:val="22"/>
          <w:color w:val="auto"/>
        </w:rPr>
      </w:pPr>
    </w:p>
    <w:p>
      <w:pPr>
        <w:ind w:right="5799"/>
        <w:spacing w:after="0" w:line="24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Whale Rock Long Opportunities Master Fund, LP Coatue US 26 LLC</w:t>
      </w:r>
    </w:p>
    <w:p>
      <w:pPr>
        <w:ind w:right="7579"/>
        <w:spacing w:after="0" w:line="24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Coatue US 27 LLC D&amp;H Yang Trust AGATE Capital C, LLC The Schiehallion Fund HMI Capital Partners, L.P. Merckx Capital Partners. L.P.</w:t>
      </w:r>
    </w:p>
    <w:p>
      <w:pPr>
        <w:sectPr>
          <w:pgSz w:w="11900" w:h="16838" w:orient="portrait"/>
          <w:cols w:equalWidth="0" w:num="1">
            <w:col w:w="10139"/>
          </w:cols>
          <w:pgMar w:left="320" w:top="12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1"/>
          <w:szCs w:val="21"/>
          <w:color w:val="auto"/>
        </w:rPr>
        <w:t>S-A</w:t>
      </w:r>
    </w:p>
    <w:p>
      <w:pPr>
        <w:sectPr>
          <w:pgSz w:w="11900" w:h="16838" w:orient="portrait"/>
          <w:cols w:equalWidth="0" w:num="1">
            <w:col w:w="10139"/>
          </w:cols>
          <w:pgMar w:left="320" w:top="124" w:right="1440" w:bottom="1440" w:gutter="0" w:footer="0" w:header="0"/>
          <w:type w:val="continuous"/>
        </w:sectPr>
      </w:pPr>
    </w:p>
    <w:bookmarkStart w:id="419" w:name="page420"/>
    <w:bookmarkEnd w:id="419"/>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THSDFS LLC Series 14</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SCGE Fund, 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Light Street SPV5, L.P.</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MACSF Epargne Retraite SA</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HS Investments III Limited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SkyBridge Capital Holdings, 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Capital Ventures International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Nye Family Trust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2020 Timothy J. Maguire Investment Trust dated August 4, 2020</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Empros Technologies Fund XIV,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GFC Global Founders Capital GMBH</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Rocket Internet Capital Partners II SCS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Rocket Internet Capital Partners (EURO) II SCS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Moisey Uretsky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Walter Wong</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Sequoia Capital Global Growth Fund III – U.S./India Annex Fund, 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SVF II Aggregator (DE)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Tiger Global Private Investment Partners XII, 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Tiger Global Investments, L.P.</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Tiger Global Long Opportunities Master Fund, L.P.</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ICONIQ Strategic Partners IV, 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ICONIQ Strategic Partners IV-B, 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ICONIQ Strategic Partners IV Co-Invest, L.P. (Series 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ICONIQ Strategic Partners III, L.P.</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ICONIQ Strategic Partners III-B, L.P.</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ICONIQ Strategic Partners V, 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ICONIQ Strategic Partners V-B, 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Growth Fund of America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Capital Group Growth Fund of America Trust (US)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Alger Capital Appreciation Fund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Alger Capital Appreciation Institutional Fund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Alger Capital Appreciation Portfolio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Alger Spectra Fund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Alger Small Cap Growth Institutional Fund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Thirty Fifth Investment Company LLC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HS Investments III Limited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Omega Oryx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S-A</w:t>
      </w:r>
    </w:p>
    <w:p>
      <w:pPr>
        <w:sectPr>
          <w:pgSz w:w="11900" w:h="16838" w:orient="portrait"/>
          <w:cols w:equalWidth="0" w:num="1">
            <w:col w:w="10139"/>
          </w:cols>
          <w:pgMar w:left="320" w:top="124" w:right="1440" w:bottom="1440" w:gutter="0" w:footer="0" w:header="0"/>
        </w:sectPr>
      </w:pPr>
    </w:p>
    <w:bookmarkStart w:id="420" w:name="page421"/>
    <w:bookmarkEnd w:id="420"/>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B</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STOCK OF THE COMPANY BENEFICIALLY OWNED BY KEY HOLDERS</w:t>
      </w:r>
    </w:p>
    <w:p>
      <w:pPr>
        <w:spacing w:after="0" w:line="244" w:lineRule="exact"/>
        <w:rPr>
          <w:sz w:val="20"/>
          <w:szCs w:val="20"/>
          <w:color w:val="auto"/>
        </w:rPr>
      </w:pPr>
    </w:p>
    <w:tbl>
      <w:tblPr>
        <w:tblLayout w:type="fixed"/>
        <w:tblInd w:w="190" w:type="dxa"/>
        <w:tblCellMar>
          <w:top w:w="0" w:type="dxa"/>
          <w:left w:w="0" w:type="dxa"/>
          <w:bottom w:w="0" w:type="dxa"/>
          <w:right w:w="0" w:type="dxa"/>
        </w:tblCellMar>
      </w:tblPr>
      <w:tr>
        <w:trPr>
          <w:trHeight w:val="243"/>
        </w:trPr>
        <w:tc>
          <w:tcPr>
            <w:tcW w:w="5520" w:type="dxa"/>
            <w:vAlign w:val="bottom"/>
            <w:tcBorders>
              <w:top w:val="single" w:sz="8" w:color="auto"/>
              <w:left w:val="single" w:sz="8" w:color="auto"/>
              <w:right w:val="single" w:sz="8" w:color="auto"/>
            </w:tcBorders>
            <w:gridSpan w:val="2"/>
          </w:tcPr>
          <w:p>
            <w:pPr>
              <w:ind w:left="20"/>
              <w:spacing w:after="0" w:line="243" w:lineRule="exact"/>
              <w:rPr>
                <w:sz w:val="20"/>
                <w:szCs w:val="20"/>
                <w:color w:val="auto"/>
              </w:rPr>
            </w:pPr>
            <w:r>
              <w:rPr>
                <w:rFonts w:ascii="Times New Roman" w:cs="Times New Roman" w:eastAsia="Times New Roman" w:hAnsi="Times New Roman"/>
                <w:sz w:val="22"/>
                <w:szCs w:val="22"/>
                <w:b w:val="1"/>
                <w:bCs w:val="1"/>
                <w:color w:val="auto"/>
              </w:rPr>
              <w:t>Key Holder</w:t>
            </w:r>
          </w:p>
        </w:tc>
        <w:tc>
          <w:tcPr>
            <w:tcW w:w="3180" w:type="dxa"/>
            <w:vAlign w:val="bottom"/>
            <w:tcBorders>
              <w:top w:val="single" w:sz="8" w:color="auto"/>
              <w:right w:val="single" w:sz="8" w:color="auto"/>
            </w:tcBorders>
            <w:gridSpan w:val="2"/>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Number of Shares</w:t>
            </w:r>
          </w:p>
        </w:tc>
      </w:tr>
      <w:tr>
        <w:trPr>
          <w:trHeight w:val="48"/>
        </w:trPr>
        <w:tc>
          <w:tcPr>
            <w:tcW w:w="1080" w:type="dxa"/>
            <w:vAlign w:val="bottom"/>
            <w:tcBorders>
              <w:top w:val="single" w:sz="8" w:color="auto"/>
              <w:left w:val="single" w:sz="8" w:color="auto"/>
              <w:bottom w:val="single" w:sz="8" w:color="auto"/>
            </w:tcBorders>
          </w:tcPr>
          <w:p>
            <w:pPr>
              <w:spacing w:after="0"/>
              <w:rPr>
                <w:sz w:val="4"/>
                <w:szCs w:val="4"/>
                <w:color w:val="auto"/>
              </w:rPr>
            </w:pPr>
          </w:p>
        </w:tc>
        <w:tc>
          <w:tcPr>
            <w:tcW w:w="4440" w:type="dxa"/>
            <w:vAlign w:val="bottom"/>
            <w:tcBorders>
              <w:bottom w:val="single" w:sz="8" w:color="auto"/>
              <w:right w:val="single" w:sz="8" w:color="auto"/>
            </w:tcBorders>
          </w:tcPr>
          <w:p>
            <w:pPr>
              <w:spacing w:after="0"/>
              <w:rPr>
                <w:sz w:val="4"/>
                <w:szCs w:val="4"/>
                <w:color w:val="auto"/>
              </w:rPr>
            </w:pPr>
          </w:p>
        </w:tc>
        <w:tc>
          <w:tcPr>
            <w:tcW w:w="1680" w:type="dxa"/>
            <w:vAlign w:val="bottom"/>
            <w:tcBorders>
              <w:top w:val="single" w:sz="8" w:color="auto"/>
              <w:bottom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r>
      <w:tr>
        <w:trPr>
          <w:trHeight w:val="284"/>
        </w:trPr>
        <w:tc>
          <w:tcPr>
            <w:tcW w:w="552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22"/>
                <w:szCs w:val="22"/>
                <w:color w:val="auto"/>
              </w:rPr>
              <w:t>Jay McGraw</w:t>
            </w:r>
          </w:p>
        </w:tc>
        <w:tc>
          <w:tcPr>
            <w:tcW w:w="1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4,315,840</w:t>
            </w:r>
          </w:p>
        </w:tc>
        <w:tc>
          <w:tcPr>
            <w:tcW w:w="1500" w:type="dxa"/>
            <w:vAlign w:val="bottom"/>
            <w:tcBorders>
              <w:bottom w:val="single" w:sz="8" w:color="auto"/>
              <w:right w:val="single" w:sz="8" w:color="auto"/>
            </w:tcBorders>
          </w:tcPr>
          <w:p>
            <w:pPr>
              <w:spacing w:after="0"/>
              <w:rPr>
                <w:sz w:val="24"/>
                <w:szCs w:val="24"/>
                <w:color w:val="auto"/>
              </w:rPr>
            </w:pPr>
          </w:p>
        </w:tc>
      </w:tr>
      <w:tr>
        <w:trPr>
          <w:trHeight w:val="291"/>
        </w:trPr>
        <w:tc>
          <w:tcPr>
            <w:tcW w:w="552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22"/>
                <w:szCs w:val="22"/>
                <w:color w:val="auto"/>
              </w:rPr>
              <w:t>Britt-2018-A-GRAT</w:t>
            </w:r>
          </w:p>
        </w:tc>
        <w:tc>
          <w:tcPr>
            <w:tcW w:w="1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466,599</w:t>
            </w:r>
          </w:p>
        </w:tc>
        <w:tc>
          <w:tcPr>
            <w:tcW w:w="1500" w:type="dxa"/>
            <w:vAlign w:val="bottom"/>
            <w:tcBorders>
              <w:bottom w:val="single" w:sz="8" w:color="auto"/>
              <w:right w:val="single" w:sz="8" w:color="auto"/>
            </w:tcBorders>
          </w:tcPr>
          <w:p>
            <w:pPr>
              <w:spacing w:after="0"/>
              <w:rPr>
                <w:sz w:val="24"/>
                <w:szCs w:val="24"/>
                <w:color w:val="auto"/>
              </w:rPr>
            </w:pPr>
          </w:p>
        </w:tc>
      </w:tr>
      <w:tr>
        <w:trPr>
          <w:trHeight w:val="290"/>
        </w:trPr>
        <w:tc>
          <w:tcPr>
            <w:tcW w:w="552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22"/>
                <w:szCs w:val="22"/>
                <w:color w:val="auto"/>
              </w:rPr>
              <w:t>Britt-2018-B-GRAT</w:t>
            </w:r>
          </w:p>
        </w:tc>
        <w:tc>
          <w:tcPr>
            <w:tcW w:w="1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466,599</w:t>
            </w:r>
          </w:p>
        </w:tc>
        <w:tc>
          <w:tcPr>
            <w:tcW w:w="1500" w:type="dxa"/>
            <w:vAlign w:val="bottom"/>
            <w:tcBorders>
              <w:bottom w:val="single" w:sz="8" w:color="auto"/>
              <w:right w:val="single" w:sz="8" w:color="auto"/>
            </w:tcBorders>
          </w:tcPr>
          <w:p>
            <w:pPr>
              <w:spacing w:after="0"/>
              <w:rPr>
                <w:sz w:val="24"/>
                <w:szCs w:val="24"/>
                <w:color w:val="auto"/>
              </w:rPr>
            </w:pPr>
          </w:p>
        </w:tc>
      </w:tr>
      <w:tr>
        <w:trPr>
          <w:trHeight w:val="291"/>
        </w:trPr>
        <w:tc>
          <w:tcPr>
            <w:tcW w:w="552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22"/>
                <w:szCs w:val="22"/>
                <w:color w:val="auto"/>
              </w:rPr>
              <w:t>Britt Living Trust</w:t>
            </w:r>
          </w:p>
        </w:tc>
        <w:tc>
          <w:tcPr>
            <w:tcW w:w="1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16,412,421</w:t>
            </w:r>
          </w:p>
        </w:tc>
        <w:tc>
          <w:tcPr>
            <w:tcW w:w="1500" w:type="dxa"/>
            <w:vAlign w:val="bottom"/>
            <w:tcBorders>
              <w:bottom w:val="single" w:sz="8" w:color="auto"/>
              <w:right w:val="single" w:sz="8" w:color="auto"/>
            </w:tcBorders>
          </w:tcPr>
          <w:p>
            <w:pPr>
              <w:spacing w:after="0"/>
              <w:rPr>
                <w:sz w:val="24"/>
                <w:szCs w:val="24"/>
                <w:color w:val="auto"/>
              </w:rPr>
            </w:pPr>
          </w:p>
        </w:tc>
      </w:tr>
      <w:tr>
        <w:trPr>
          <w:trHeight w:val="290"/>
        </w:trPr>
        <w:tc>
          <w:tcPr>
            <w:tcW w:w="552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22"/>
                <w:szCs w:val="22"/>
                <w:color w:val="auto"/>
              </w:rPr>
              <w:t>OAB Exempt Trust</w:t>
            </w:r>
          </w:p>
        </w:tc>
        <w:tc>
          <w:tcPr>
            <w:tcW w:w="1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500,000</w:t>
            </w:r>
          </w:p>
        </w:tc>
        <w:tc>
          <w:tcPr>
            <w:tcW w:w="1500" w:type="dxa"/>
            <w:vAlign w:val="bottom"/>
            <w:tcBorders>
              <w:bottom w:val="single" w:sz="8" w:color="auto"/>
              <w:right w:val="single" w:sz="8" w:color="auto"/>
            </w:tcBorders>
          </w:tcPr>
          <w:p>
            <w:pPr>
              <w:spacing w:after="0"/>
              <w:rPr>
                <w:sz w:val="24"/>
                <w:szCs w:val="24"/>
                <w:color w:val="auto"/>
              </w:rPr>
            </w:pPr>
          </w:p>
        </w:tc>
      </w:tr>
      <w:tr>
        <w:trPr>
          <w:trHeight w:val="291"/>
        </w:trPr>
        <w:tc>
          <w:tcPr>
            <w:tcW w:w="552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22"/>
                <w:szCs w:val="22"/>
                <w:color w:val="auto"/>
              </w:rPr>
              <w:t>RJB Exempt Trust</w:t>
            </w:r>
          </w:p>
        </w:tc>
        <w:tc>
          <w:tcPr>
            <w:tcW w:w="1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500,000</w:t>
            </w:r>
          </w:p>
        </w:tc>
        <w:tc>
          <w:tcPr>
            <w:tcW w:w="1500" w:type="dxa"/>
            <w:vAlign w:val="bottom"/>
            <w:tcBorders>
              <w:bottom w:val="single" w:sz="8" w:color="auto"/>
              <w:right w:val="single" w:sz="8" w:color="auto"/>
            </w:tcBorders>
          </w:tcPr>
          <w:p>
            <w:pPr>
              <w:spacing w:after="0"/>
              <w:rPr>
                <w:sz w:val="24"/>
                <w:szCs w:val="24"/>
                <w:color w:val="auto"/>
              </w:rPr>
            </w:pPr>
          </w:p>
        </w:tc>
      </w:tr>
      <w:tr>
        <w:trPr>
          <w:trHeight w:val="290"/>
        </w:trPr>
        <w:tc>
          <w:tcPr>
            <w:tcW w:w="552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22"/>
                <w:szCs w:val="22"/>
                <w:color w:val="auto"/>
              </w:rPr>
              <w:t>Ryan King</w:t>
            </w:r>
          </w:p>
        </w:tc>
        <w:tc>
          <w:tcPr>
            <w:tcW w:w="1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14,763,457</w:t>
            </w:r>
          </w:p>
        </w:tc>
        <w:tc>
          <w:tcPr>
            <w:tcW w:w="1500" w:type="dxa"/>
            <w:vAlign w:val="bottom"/>
            <w:tcBorders>
              <w:bottom w:val="single" w:sz="8" w:color="auto"/>
              <w:right w:val="single" w:sz="8" w:color="auto"/>
            </w:tcBorders>
          </w:tcPr>
          <w:p>
            <w:pPr>
              <w:spacing w:after="0"/>
              <w:rPr>
                <w:sz w:val="24"/>
                <w:szCs w:val="24"/>
                <w:color w:val="auto"/>
              </w:rPr>
            </w:pPr>
          </w:p>
        </w:tc>
      </w:tr>
      <w:tr>
        <w:trPr>
          <w:trHeight w:val="291"/>
        </w:trPr>
        <w:tc>
          <w:tcPr>
            <w:tcW w:w="552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22"/>
                <w:szCs w:val="22"/>
                <w:color w:val="auto"/>
              </w:rPr>
              <w:t>Annual Gift Trust for Alana</w:t>
            </w:r>
          </w:p>
        </w:tc>
        <w:tc>
          <w:tcPr>
            <w:tcW w:w="1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87,700</w:t>
            </w:r>
          </w:p>
        </w:tc>
        <w:tc>
          <w:tcPr>
            <w:tcW w:w="1500" w:type="dxa"/>
            <w:vAlign w:val="bottom"/>
            <w:tcBorders>
              <w:bottom w:val="single" w:sz="8" w:color="auto"/>
              <w:right w:val="single" w:sz="8" w:color="auto"/>
            </w:tcBorders>
          </w:tcPr>
          <w:p>
            <w:pPr>
              <w:spacing w:after="0"/>
              <w:rPr>
                <w:sz w:val="24"/>
                <w:szCs w:val="24"/>
                <w:color w:val="auto"/>
              </w:rPr>
            </w:pPr>
          </w:p>
        </w:tc>
      </w:tr>
      <w:tr>
        <w:trPr>
          <w:trHeight w:val="291"/>
        </w:trPr>
        <w:tc>
          <w:tcPr>
            <w:tcW w:w="552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22"/>
                <w:szCs w:val="22"/>
                <w:color w:val="auto"/>
              </w:rPr>
              <w:t>Irrevocable Gift Trust for Alana</w:t>
            </w:r>
          </w:p>
        </w:tc>
        <w:tc>
          <w:tcPr>
            <w:tcW w:w="1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400,000</w:t>
            </w:r>
          </w:p>
        </w:tc>
        <w:tc>
          <w:tcPr>
            <w:tcW w:w="1500" w:type="dxa"/>
            <w:vAlign w:val="bottom"/>
            <w:tcBorders>
              <w:bottom w:val="single" w:sz="8" w:color="auto"/>
              <w:right w:val="single" w:sz="8" w:color="auto"/>
            </w:tcBorders>
          </w:tcPr>
          <w:p>
            <w:pPr>
              <w:spacing w:after="0"/>
              <w:rPr>
                <w:sz w:val="24"/>
                <w:szCs w:val="24"/>
                <w:color w:val="auto"/>
              </w:rPr>
            </w:pPr>
          </w:p>
        </w:tc>
      </w:tr>
      <w:tr>
        <w:trPr>
          <w:trHeight w:val="290"/>
        </w:trPr>
        <w:tc>
          <w:tcPr>
            <w:tcW w:w="552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22"/>
                <w:szCs w:val="22"/>
                <w:color w:val="auto"/>
              </w:rPr>
              <w:t>Annual Gift Trust for Alba</w:t>
            </w:r>
          </w:p>
        </w:tc>
        <w:tc>
          <w:tcPr>
            <w:tcW w:w="1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87,700</w:t>
            </w:r>
          </w:p>
        </w:tc>
        <w:tc>
          <w:tcPr>
            <w:tcW w:w="1500" w:type="dxa"/>
            <w:vAlign w:val="bottom"/>
            <w:tcBorders>
              <w:bottom w:val="single" w:sz="8" w:color="auto"/>
              <w:right w:val="single" w:sz="8" w:color="auto"/>
            </w:tcBorders>
          </w:tcPr>
          <w:p>
            <w:pPr>
              <w:spacing w:after="0"/>
              <w:rPr>
                <w:sz w:val="24"/>
                <w:szCs w:val="24"/>
                <w:color w:val="auto"/>
              </w:rPr>
            </w:pPr>
          </w:p>
        </w:tc>
      </w:tr>
      <w:tr>
        <w:trPr>
          <w:trHeight w:val="291"/>
        </w:trPr>
        <w:tc>
          <w:tcPr>
            <w:tcW w:w="552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22"/>
                <w:szCs w:val="22"/>
                <w:color w:val="auto"/>
              </w:rPr>
              <w:t>Annual Gift Trust for Carles</w:t>
            </w:r>
          </w:p>
        </w:tc>
        <w:tc>
          <w:tcPr>
            <w:tcW w:w="1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87,700</w:t>
            </w:r>
          </w:p>
        </w:tc>
        <w:tc>
          <w:tcPr>
            <w:tcW w:w="1500" w:type="dxa"/>
            <w:vAlign w:val="bottom"/>
            <w:tcBorders>
              <w:bottom w:val="single" w:sz="8" w:color="auto"/>
              <w:right w:val="single" w:sz="8" w:color="auto"/>
            </w:tcBorders>
          </w:tcPr>
          <w:p>
            <w:pPr>
              <w:spacing w:after="0"/>
              <w:rPr>
                <w:sz w:val="24"/>
                <w:szCs w:val="24"/>
                <w:color w:val="auto"/>
              </w:rPr>
            </w:pPr>
          </w:p>
        </w:tc>
      </w:tr>
      <w:tr>
        <w:trPr>
          <w:trHeight w:val="290"/>
        </w:trPr>
        <w:tc>
          <w:tcPr>
            <w:tcW w:w="552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22"/>
                <w:szCs w:val="22"/>
                <w:color w:val="auto"/>
              </w:rPr>
              <w:t>Annual Gift Trust for Estelle</w:t>
            </w:r>
          </w:p>
        </w:tc>
        <w:tc>
          <w:tcPr>
            <w:tcW w:w="1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87,700</w:t>
            </w:r>
          </w:p>
        </w:tc>
        <w:tc>
          <w:tcPr>
            <w:tcW w:w="1500" w:type="dxa"/>
            <w:vAlign w:val="bottom"/>
            <w:tcBorders>
              <w:bottom w:val="single" w:sz="8" w:color="auto"/>
              <w:right w:val="single" w:sz="8" w:color="auto"/>
            </w:tcBorders>
          </w:tcPr>
          <w:p>
            <w:pPr>
              <w:spacing w:after="0"/>
              <w:rPr>
                <w:sz w:val="24"/>
                <w:szCs w:val="24"/>
                <w:color w:val="auto"/>
              </w:rPr>
            </w:pPr>
          </w:p>
        </w:tc>
      </w:tr>
      <w:tr>
        <w:trPr>
          <w:trHeight w:val="290"/>
        </w:trPr>
        <w:tc>
          <w:tcPr>
            <w:tcW w:w="552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22"/>
                <w:szCs w:val="22"/>
                <w:color w:val="auto"/>
              </w:rPr>
              <w:t>Annual Gift Trust for Landon</w:t>
            </w:r>
          </w:p>
        </w:tc>
        <w:tc>
          <w:tcPr>
            <w:tcW w:w="1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43,850</w:t>
            </w:r>
          </w:p>
        </w:tc>
        <w:tc>
          <w:tcPr>
            <w:tcW w:w="1500" w:type="dxa"/>
            <w:vAlign w:val="bottom"/>
            <w:tcBorders>
              <w:bottom w:val="single" w:sz="8" w:color="auto"/>
              <w:right w:val="single" w:sz="8" w:color="auto"/>
            </w:tcBorders>
          </w:tcPr>
          <w:p>
            <w:pPr>
              <w:spacing w:after="0"/>
              <w:rPr>
                <w:sz w:val="24"/>
                <w:szCs w:val="24"/>
                <w:color w:val="auto"/>
              </w:rPr>
            </w:pPr>
          </w:p>
        </w:tc>
      </w:tr>
      <w:tr>
        <w:trPr>
          <w:trHeight w:val="290"/>
        </w:trPr>
        <w:tc>
          <w:tcPr>
            <w:tcW w:w="552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22"/>
                <w:szCs w:val="22"/>
                <w:color w:val="auto"/>
              </w:rPr>
              <w:t>Annual Gift Trust for Melina</w:t>
            </w:r>
          </w:p>
        </w:tc>
        <w:tc>
          <w:tcPr>
            <w:tcW w:w="1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87,700</w:t>
            </w:r>
          </w:p>
        </w:tc>
        <w:tc>
          <w:tcPr>
            <w:tcW w:w="1500" w:type="dxa"/>
            <w:vAlign w:val="bottom"/>
            <w:tcBorders>
              <w:bottom w:val="single" w:sz="8" w:color="auto"/>
              <w:right w:val="single" w:sz="8" w:color="auto"/>
            </w:tcBorders>
          </w:tcPr>
          <w:p>
            <w:pPr>
              <w:spacing w:after="0"/>
              <w:rPr>
                <w:sz w:val="24"/>
                <w:szCs w:val="24"/>
                <w:color w:val="auto"/>
              </w:rPr>
            </w:pPr>
          </w:p>
        </w:tc>
      </w:tr>
      <w:tr>
        <w:trPr>
          <w:trHeight w:val="290"/>
        </w:trPr>
        <w:tc>
          <w:tcPr>
            <w:tcW w:w="552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22"/>
                <w:szCs w:val="22"/>
                <w:color w:val="auto"/>
              </w:rPr>
              <w:t>Irrevocable Gift Trust for Melina</w:t>
            </w:r>
          </w:p>
        </w:tc>
        <w:tc>
          <w:tcPr>
            <w:tcW w:w="1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400,000</w:t>
            </w:r>
          </w:p>
        </w:tc>
        <w:tc>
          <w:tcPr>
            <w:tcW w:w="1500" w:type="dxa"/>
            <w:vAlign w:val="bottom"/>
            <w:tcBorders>
              <w:bottom w:val="single" w:sz="8" w:color="auto"/>
              <w:right w:val="single" w:sz="8" w:color="auto"/>
            </w:tcBorders>
          </w:tcPr>
          <w:p>
            <w:pPr>
              <w:spacing w:after="0"/>
              <w:rPr>
                <w:sz w:val="24"/>
                <w:szCs w:val="24"/>
                <w:color w:val="auto"/>
              </w:rPr>
            </w:pPr>
          </w:p>
        </w:tc>
      </w:tr>
      <w:tr>
        <w:trPr>
          <w:trHeight w:val="290"/>
        </w:trPr>
        <w:tc>
          <w:tcPr>
            <w:tcW w:w="552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22"/>
                <w:szCs w:val="22"/>
                <w:color w:val="auto"/>
              </w:rPr>
              <w:t>Annual Gift Trust for Natalia</w:t>
            </w:r>
          </w:p>
        </w:tc>
        <w:tc>
          <w:tcPr>
            <w:tcW w:w="1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87,700</w:t>
            </w:r>
          </w:p>
        </w:tc>
        <w:tc>
          <w:tcPr>
            <w:tcW w:w="1500" w:type="dxa"/>
            <w:vAlign w:val="bottom"/>
            <w:tcBorders>
              <w:bottom w:val="single" w:sz="8" w:color="auto"/>
              <w:right w:val="single" w:sz="8" w:color="auto"/>
            </w:tcBorders>
          </w:tcPr>
          <w:p>
            <w:pPr>
              <w:spacing w:after="0"/>
              <w:rPr>
                <w:sz w:val="24"/>
                <w:szCs w:val="24"/>
                <w:color w:val="auto"/>
              </w:rPr>
            </w:pPr>
          </w:p>
        </w:tc>
      </w:tr>
      <w:tr>
        <w:trPr>
          <w:trHeight w:val="290"/>
        </w:trPr>
        <w:tc>
          <w:tcPr>
            <w:tcW w:w="552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22"/>
                <w:szCs w:val="22"/>
                <w:color w:val="auto"/>
              </w:rPr>
              <w:t>Annual Gift Trust for Sterling</w:t>
            </w:r>
          </w:p>
        </w:tc>
        <w:tc>
          <w:tcPr>
            <w:tcW w:w="1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87,700</w:t>
            </w:r>
          </w:p>
        </w:tc>
        <w:tc>
          <w:tcPr>
            <w:tcW w:w="1500" w:type="dxa"/>
            <w:vAlign w:val="bottom"/>
            <w:tcBorders>
              <w:bottom w:val="single" w:sz="8" w:color="auto"/>
              <w:right w:val="single" w:sz="8" w:color="auto"/>
            </w:tcBorders>
          </w:tcPr>
          <w:p>
            <w:pPr>
              <w:spacing w:after="0"/>
              <w:rPr>
                <w:sz w:val="24"/>
                <w:szCs w:val="24"/>
                <w:color w:val="auto"/>
              </w:rPr>
            </w:pPr>
          </w:p>
        </w:tc>
      </w:tr>
      <w:tr>
        <w:trPr>
          <w:trHeight w:val="290"/>
        </w:trPr>
        <w:tc>
          <w:tcPr>
            <w:tcW w:w="552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22"/>
                <w:szCs w:val="22"/>
                <w:color w:val="auto"/>
              </w:rPr>
              <w:t>David King</w:t>
            </w:r>
          </w:p>
        </w:tc>
        <w:tc>
          <w:tcPr>
            <w:tcW w:w="1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78,930</w:t>
            </w:r>
          </w:p>
        </w:tc>
        <w:tc>
          <w:tcPr>
            <w:tcW w:w="1500" w:type="dxa"/>
            <w:vAlign w:val="bottom"/>
            <w:tcBorders>
              <w:bottom w:val="single" w:sz="8" w:color="auto"/>
              <w:right w:val="single" w:sz="8" w:color="auto"/>
            </w:tcBorders>
          </w:tcPr>
          <w:p>
            <w:pPr>
              <w:spacing w:after="0"/>
              <w:rPr>
                <w:sz w:val="24"/>
                <w:szCs w:val="24"/>
                <w:color w:val="auto"/>
              </w:rPr>
            </w:pPr>
          </w:p>
        </w:tc>
      </w:tr>
      <w:tr>
        <w:trPr>
          <w:trHeight w:val="291"/>
        </w:trPr>
        <w:tc>
          <w:tcPr>
            <w:tcW w:w="552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22"/>
                <w:szCs w:val="22"/>
                <w:color w:val="auto"/>
              </w:rPr>
              <w:t>Maureen Vergara</w:t>
            </w:r>
          </w:p>
        </w:tc>
        <w:tc>
          <w:tcPr>
            <w:tcW w:w="1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43,850</w:t>
            </w:r>
          </w:p>
        </w:tc>
        <w:tc>
          <w:tcPr>
            <w:tcW w:w="1500" w:type="dxa"/>
            <w:vAlign w:val="bottom"/>
            <w:tcBorders>
              <w:bottom w:val="single" w:sz="8" w:color="auto"/>
              <w:right w:val="single" w:sz="8" w:color="auto"/>
            </w:tcBorders>
          </w:tcPr>
          <w:p>
            <w:pPr>
              <w:spacing w:after="0"/>
              <w:rPr>
                <w:sz w:val="24"/>
                <w:szCs w:val="24"/>
                <w:color w:val="auto"/>
              </w:rPr>
            </w:pPr>
          </w:p>
        </w:tc>
      </w:tr>
      <w:tr>
        <w:trPr>
          <w:trHeight w:val="293"/>
        </w:trPr>
        <w:tc>
          <w:tcPr>
            <w:tcW w:w="552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22"/>
                <w:szCs w:val="22"/>
                <w:b w:val="1"/>
                <w:bCs w:val="1"/>
                <w:i w:val="1"/>
                <w:iCs w:val="1"/>
                <w:color w:val="auto"/>
              </w:rPr>
              <w:t>Total</w:t>
            </w:r>
          </w:p>
        </w:tc>
        <w:tc>
          <w:tcPr>
            <w:tcW w:w="1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b w:val="1"/>
                <w:bCs w:val="1"/>
                <w:i w:val="1"/>
                <w:iCs w:val="1"/>
                <w:color w:val="auto"/>
              </w:rPr>
              <w:t>39,005,446</w:t>
            </w:r>
          </w:p>
        </w:tc>
        <w:tc>
          <w:tcPr>
            <w:tcW w:w="150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S-B</w:t>
      </w:r>
    </w:p>
    <w:p>
      <w:pPr>
        <w:sectPr>
          <w:pgSz w:w="11900" w:h="16838" w:orient="portrait"/>
          <w:cols w:equalWidth="0" w:num="1">
            <w:col w:w="9019"/>
          </w:cols>
          <w:pgMar w:left="1440" w:top="124" w:right="1440" w:bottom="1440" w:gutter="0" w:footer="0" w:header="0"/>
        </w:sectPr>
      </w:pPr>
    </w:p>
    <w:bookmarkStart w:id="421" w:name="page422"/>
    <w:bookmarkEnd w:id="421"/>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WARRANT AND THE SHARES ISSUABLE HEREUNDER HAVE NOT BEEN REGISTERED UNDER THE SECURITIES ACT OF 1933, AS AMENDED (THE “</w:t>
      </w:r>
      <w:r>
        <w:rPr>
          <w:rFonts w:ascii="Times New Roman" w:cs="Times New Roman" w:eastAsia="Times New Roman" w:hAnsi="Times New Roman"/>
          <w:sz w:val="18"/>
          <w:szCs w:val="18"/>
          <w:b w:val="1"/>
          <w:bCs w:val="1"/>
          <w:u w:val="single" w:color="auto"/>
          <w:color w:val="auto"/>
        </w:rPr>
        <w:t>ACT</w:t>
      </w:r>
      <w:r>
        <w:rPr>
          <w:rFonts w:ascii="Times New Roman" w:cs="Times New Roman" w:eastAsia="Times New Roman" w:hAnsi="Times New Roman"/>
          <w:sz w:val="18"/>
          <w:szCs w:val="18"/>
          <w:color w:val="auto"/>
        </w:rPr>
        <w:t>”), OR THE SECURITIES LAWS OF ANY STATE AND, EXCEPT AS SET FORTH IN SECTIONS 5.3 AND 5.4 BELOW, MAY NOT BE OFFERED, SOLD, PLEDGED OR OTHERWISE TRANSFERRED UNLESS AND UNTIL REGISTERED UNDER SAID ACT AND LAWS OR IN FORM AND SUBSTANCE SATISFACTORY TO THE COMPANY, SUCH OFFER, SALE, PLEDGE OR OTHER TRANSFER IS EXEMPT FROM SUCH REGISTRATION.</w:t>
      </w:r>
    </w:p>
    <w:p>
      <w:pPr>
        <w:spacing w:after="0" w:line="13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WARRANT TO PURCHASE COMMON STOCK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1DEBIT, INC., a Delaware corporation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of Shares of Common Stock: See below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Price: $</w:t>
      </w:r>
      <w:r>
        <w:rPr>
          <w:rFonts w:ascii="Times New Roman" w:cs="Times New Roman" w:eastAsia="Times New Roman" w:hAnsi="Times New Roman"/>
          <w:sz w:val="18"/>
          <w:szCs w:val="18"/>
          <w:color w:val="auto"/>
        </w:rPr>
        <w:t>[_____]</w:t>
      </w:r>
      <w:r>
        <w:rPr>
          <w:rFonts w:ascii="Times New Roman" w:cs="Times New Roman" w:eastAsia="Times New Roman" w:hAnsi="Times New Roman"/>
          <w:sz w:val="18"/>
          <w:szCs w:val="18"/>
          <w:b w:val="1"/>
          <w:bCs w:val="1"/>
          <w:color w:val="auto"/>
        </w:rPr>
        <w:t xml:space="preserve"> per share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Issue Date: </w:t>
      </w:r>
      <w:r>
        <w:rPr>
          <w:rFonts w:ascii="Times New Roman" w:cs="Times New Roman" w:eastAsia="Times New Roman" w:hAnsi="Times New Roman"/>
          <w:sz w:val="18"/>
          <w:szCs w:val="18"/>
          <w:color w:val="auto"/>
        </w:rPr>
        <w:t>[______]</w:t>
      </w:r>
    </w:p>
    <w:p>
      <w:pPr>
        <w:spacing w:after="0"/>
        <w:rPr>
          <w:sz w:val="20"/>
          <w:szCs w:val="20"/>
          <w:color w:val="auto"/>
        </w:rPr>
      </w:pPr>
      <w:r>
        <w:rPr>
          <w:rFonts w:ascii="Times New Roman" w:cs="Times New Roman" w:eastAsia="Times New Roman" w:hAnsi="Times New Roman"/>
          <w:sz w:val="18"/>
          <w:szCs w:val="18"/>
          <w:b w:val="1"/>
          <w:bCs w:val="1"/>
          <w:color w:val="auto"/>
        </w:rPr>
        <w:t xml:space="preserve">Expiration Date: </w:t>
      </w:r>
      <w:r>
        <w:rPr>
          <w:rFonts w:ascii="Times New Roman" w:cs="Times New Roman" w:eastAsia="Times New Roman" w:hAnsi="Times New Roman"/>
          <w:sz w:val="18"/>
          <w:szCs w:val="18"/>
          <w:color w:val="auto"/>
        </w:rPr>
        <w:t>[______]</w:t>
      </w:r>
      <w:r>
        <w:rPr>
          <w:rFonts w:ascii="Times New Roman" w:cs="Times New Roman" w:eastAsia="Times New Roman" w:hAnsi="Times New Roman"/>
          <w:sz w:val="18"/>
          <w:szCs w:val="18"/>
          <w:b w:val="1"/>
          <w:bCs w:val="1"/>
          <w:color w:val="auto"/>
        </w:rPr>
        <w:t xml:space="preserve"> See also Section 5.1(b).</w:t>
      </w:r>
    </w:p>
    <w:p>
      <w:pPr>
        <w:spacing w:after="0" w:line="147" w:lineRule="exact"/>
        <w:rPr>
          <w:sz w:val="20"/>
          <w:szCs w:val="20"/>
          <w:color w:val="auto"/>
        </w:rPr>
      </w:pPr>
    </w:p>
    <w:p>
      <w:pPr>
        <w:jc w:val="both"/>
        <w:ind w:left="1400" w:right="20" w:hanging="1619"/>
        <w:spacing w:after="0" w:line="271" w:lineRule="auto"/>
        <w:tabs>
          <w:tab w:leader="none" w:pos="1380" w:val="left"/>
        </w:tabs>
        <w:rPr>
          <w:sz w:val="20"/>
          <w:szCs w:val="20"/>
          <w:color w:val="auto"/>
        </w:rPr>
      </w:pPr>
      <w:r>
        <w:rPr>
          <w:rFonts w:ascii="Times New Roman" w:cs="Times New Roman" w:eastAsia="Times New Roman" w:hAnsi="Times New Roman"/>
          <w:sz w:val="18"/>
          <w:szCs w:val="18"/>
          <w:b w:val="1"/>
          <w:bCs w:val="1"/>
          <w:color w:val="auto"/>
        </w:rPr>
        <w:t>Credit Facility:</w:t>
      </w:r>
      <w:r>
        <w:rPr>
          <w:sz w:val="20"/>
          <w:szCs w:val="20"/>
          <w:color w:val="auto"/>
        </w:rPr>
        <w:tab/>
      </w:r>
      <w:r>
        <w:rPr>
          <w:rFonts w:ascii="Times New Roman" w:cs="Times New Roman" w:eastAsia="Times New Roman" w:hAnsi="Times New Roman"/>
          <w:sz w:val="18"/>
          <w:szCs w:val="18"/>
          <w:color w:val="auto"/>
        </w:rPr>
        <w:t>This Warrant to Purchase Common Stock (“</w:t>
      </w:r>
      <w:r>
        <w:rPr>
          <w:rFonts w:ascii="Times New Roman" w:cs="Times New Roman" w:eastAsia="Times New Roman" w:hAnsi="Times New Roman"/>
          <w:sz w:val="18"/>
          <w:szCs w:val="18"/>
          <w:b w:val="1"/>
          <w:bCs w:val="1"/>
          <w:u w:val="single" w:color="auto"/>
          <w:color w:val="auto"/>
        </w:rPr>
        <w:t>Warrant</w:t>
      </w:r>
      <w:r>
        <w:rPr>
          <w:rFonts w:ascii="Times New Roman" w:cs="Times New Roman" w:eastAsia="Times New Roman" w:hAnsi="Times New Roman"/>
          <w:sz w:val="18"/>
          <w:szCs w:val="18"/>
          <w:color w:val="auto"/>
        </w:rPr>
        <w:t>”) is issued in connection with that certain Loan and Security Agreement dated as of [_____] between Silicon Valley Bank and the Company (the “</w:t>
      </w:r>
      <w:r>
        <w:rPr>
          <w:rFonts w:ascii="Times New Roman" w:cs="Times New Roman" w:eastAsia="Times New Roman" w:hAnsi="Times New Roman"/>
          <w:sz w:val="18"/>
          <w:szCs w:val="18"/>
          <w:b w:val="1"/>
          <w:bCs w:val="1"/>
          <w:u w:val="single" w:color="auto"/>
          <w:color w:val="auto"/>
        </w:rPr>
        <w:t>Loan Agreement</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WARRANT PROVIDES THAT, for good and valuable consideration, SILICON VALLEY BANK (together with any successor or permitted assignee or transferee of this Warrant or of any shares issued upon exercise hereof, “</w:t>
      </w:r>
      <w:r>
        <w:rPr>
          <w:rFonts w:ascii="Times New Roman" w:cs="Times New Roman" w:eastAsia="Times New Roman" w:hAnsi="Times New Roman"/>
          <w:sz w:val="18"/>
          <w:szCs w:val="18"/>
          <w:b w:val="1"/>
          <w:bCs w:val="1"/>
          <w:u w:val="single" w:color="auto"/>
          <w:color w:val="auto"/>
        </w:rPr>
        <w:t>Holder</w:t>
      </w:r>
      <w:r>
        <w:rPr>
          <w:rFonts w:ascii="Times New Roman" w:cs="Times New Roman" w:eastAsia="Times New Roman" w:hAnsi="Times New Roman"/>
          <w:sz w:val="18"/>
          <w:szCs w:val="18"/>
          <w:color w:val="auto"/>
        </w:rPr>
        <w:t>”) is entitled to purchase the number of fully paid and non-assessable shares of the above-stated common stock (the “</w:t>
      </w:r>
      <w:r>
        <w:rPr>
          <w:rFonts w:ascii="Times New Roman" w:cs="Times New Roman" w:eastAsia="Times New Roman" w:hAnsi="Times New Roman"/>
          <w:sz w:val="18"/>
          <w:szCs w:val="18"/>
          <w:b w:val="1"/>
          <w:bCs w:val="1"/>
          <w:u w:val="single" w:color="auto"/>
          <w:color w:val="auto"/>
        </w:rPr>
        <w:t>Common Stock</w:t>
      </w:r>
      <w:r>
        <w:rPr>
          <w:rFonts w:ascii="Times New Roman" w:cs="Times New Roman" w:eastAsia="Times New Roman" w:hAnsi="Times New Roman"/>
          <w:sz w:val="18"/>
          <w:szCs w:val="18"/>
          <w:color w:val="auto"/>
        </w:rPr>
        <w:t>”) of the above-named company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at the above-stated Warrant Price, all as set forth above and as adjusted pursuant to Section 2 of this Warrant, subject to the provisions and upon the terms and conditions set forth in this Warrant. Reference is made to Section 5.4 of this Warrant whereby Silicon Valley Bank shall transfer this Warrant to its parent company, SVB Financial Group.</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number of Shares shall equal [_____] (the “</w:t>
      </w:r>
      <w:r>
        <w:rPr>
          <w:rFonts w:ascii="Times New Roman" w:cs="Times New Roman" w:eastAsia="Times New Roman" w:hAnsi="Times New Roman"/>
          <w:sz w:val="18"/>
          <w:szCs w:val="18"/>
          <w:b w:val="1"/>
          <w:bCs w:val="1"/>
          <w:u w:val="single" w:color="auto"/>
          <w:color w:val="auto"/>
        </w:rPr>
        <w:t>Shares</w:t>
      </w:r>
      <w:r>
        <w:rPr>
          <w:rFonts w:ascii="Times New Roman" w:cs="Times New Roman" w:eastAsia="Times New Roman" w:hAnsi="Times New Roman"/>
          <w:sz w:val="18"/>
          <w:szCs w:val="18"/>
          <w:color w:val="auto"/>
        </w:rPr>
        <w:t>”), which Company hereby represents and warrants is equal to [_____] of Company’s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capital stock on a Fully Diluted Basis (as defined below), all as set forth above and as adjusted pursuant to Section 2 of this Warrant.</w:t>
      </w:r>
    </w:p>
    <w:p>
      <w:pPr>
        <w:spacing w:after="0" w:line="16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used in this Warrant, “Fully Diluted Basis” shall mean the Company’s outstanding capital stock, measured as of the Issue Date, including (i) all common stock, (ii) all preferred stock on an as-converted to common stock basis, and (iii) all shares reserved for grant or issuance under the Company’s employee equity incentive option pool, and assuming the exercise of all warrants and options to purchase stock and the conversion of all rights to purchase stock and any other securities convertible into or exchangeable for common stock of the Company.</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Method of Exercise</w:t>
      </w:r>
      <w:r>
        <w:rPr>
          <w:rFonts w:ascii="Times New Roman" w:cs="Times New Roman" w:eastAsia="Times New Roman" w:hAnsi="Times New Roman"/>
          <w:sz w:val="18"/>
          <w:szCs w:val="18"/>
          <w:color w:val="auto"/>
        </w:rPr>
        <w:t>. Holder may at any time and from time to time exercise this Warrant, in whole or in part, by delivering to the Company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 In no event shall an original ink-signed paper copy of this Warrant be required for any exercise of a Holder’s rights hereunder, nor shall this Warrant or any physical copy thereof be required to be physically surrendered at the time of any exercise hereof.</w:t>
      </w:r>
    </w:p>
    <w:p>
      <w:pPr>
        <w:spacing w:after="0" w:line="14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 the Company shall issue to the Holder such number of fully paid and non-assessable Shares as are computed using the following formula:</w:t>
      </w:r>
    </w:p>
    <w:p>
      <w:pPr>
        <w:spacing w:after="0" w:line="15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X = Y(A-B)/A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2" w:lineRule="exact"/>
        <w:rPr>
          <w:sz w:val="20"/>
          <w:szCs w:val="20"/>
          <w:color w:val="auto"/>
        </w:rPr>
      </w:pPr>
    </w:p>
    <w:p>
      <w:pPr>
        <w:ind w:left="1960"/>
        <w:spacing w:after="0"/>
        <w:tabs>
          <w:tab w:leader="none" w:pos="2380" w:val="left"/>
        </w:tabs>
        <w:rPr>
          <w:sz w:val="20"/>
          <w:szCs w:val="20"/>
          <w:color w:val="auto"/>
        </w:rPr>
      </w:pPr>
      <w:r>
        <w:rPr>
          <w:rFonts w:ascii="Times New Roman" w:cs="Times New Roman" w:eastAsia="Times New Roman" w:hAnsi="Times New Roman"/>
          <w:sz w:val="18"/>
          <w:szCs w:val="18"/>
          <w:color w:val="auto"/>
        </w:rPr>
        <w:t>X =</w:t>
      </w:r>
      <w:r>
        <w:rPr>
          <w:sz w:val="20"/>
          <w:szCs w:val="20"/>
          <w:color w:val="auto"/>
        </w:rPr>
        <w:tab/>
      </w:r>
      <w:r>
        <w:rPr>
          <w:rFonts w:ascii="Times New Roman" w:cs="Times New Roman" w:eastAsia="Times New Roman" w:hAnsi="Times New Roman"/>
          <w:sz w:val="17"/>
          <w:szCs w:val="17"/>
          <w:color w:val="auto"/>
        </w:rPr>
        <w:t>the number of Shares to be issued to the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7" w:right="339" w:bottom="1440" w:gutter="0" w:footer="0" w:header="0"/>
        </w:sectPr>
      </w:pPr>
    </w:p>
    <w:bookmarkStart w:id="422" w:name="page423"/>
    <w:bookmarkEnd w:id="422"/>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400" w:right="360" w:hanging="647"/>
        <w:spacing w:after="0" w:line="282" w:lineRule="auto"/>
        <w:tabs>
          <w:tab w:leader="none" w:pos="2380" w:val="left"/>
        </w:tabs>
        <w:rPr>
          <w:sz w:val="20"/>
          <w:szCs w:val="20"/>
          <w:color w:val="auto"/>
        </w:rPr>
      </w:pPr>
      <w:r>
        <w:rPr>
          <w:rFonts w:ascii="Times New Roman" w:cs="Times New Roman" w:eastAsia="Times New Roman" w:hAnsi="Times New Roman"/>
          <w:sz w:val="18"/>
          <w:szCs w:val="18"/>
          <w:color w:val="auto"/>
        </w:rPr>
        <w:t>Y =</w:t>
        <w:tab/>
        <w:t>the number of Shares with respect to which this Warrant is being exercised (inclusive of the Shares surrendered to the Company in payment of the aggregate Warrant Price);</w:t>
      </w:r>
    </w:p>
    <w:p>
      <w:pPr>
        <w:spacing w:after="0" w:line="121" w:lineRule="exact"/>
        <w:rPr>
          <w:sz w:val="20"/>
          <w:szCs w:val="20"/>
          <w:color w:val="auto"/>
        </w:rPr>
      </w:pPr>
    </w:p>
    <w:p>
      <w:pPr>
        <w:ind w:left="1960"/>
        <w:spacing w:after="0"/>
        <w:tabs>
          <w:tab w:leader="none" w:pos="2380" w:val="left"/>
        </w:tabs>
        <w:rPr>
          <w:sz w:val="20"/>
          <w:szCs w:val="20"/>
          <w:color w:val="auto"/>
        </w:rPr>
      </w:pPr>
      <w:r>
        <w:rPr>
          <w:rFonts w:ascii="Times New Roman" w:cs="Times New Roman" w:eastAsia="Times New Roman" w:hAnsi="Times New Roman"/>
          <w:sz w:val="18"/>
          <w:szCs w:val="18"/>
          <w:color w:val="auto"/>
        </w:rPr>
        <w:t>A =</w:t>
      </w:r>
      <w:r>
        <w:rPr>
          <w:sz w:val="20"/>
          <w:szCs w:val="20"/>
          <w:color w:val="auto"/>
        </w:rPr>
        <w:tab/>
      </w:r>
      <w:r>
        <w:rPr>
          <w:rFonts w:ascii="Times New Roman" w:cs="Times New Roman" w:eastAsia="Times New Roman" w:hAnsi="Times New Roman"/>
          <w:sz w:val="17"/>
          <w:szCs w:val="17"/>
          <w:color w:val="auto"/>
        </w:rPr>
        <w:t>the Fair Market Value (as determined pursuant to Section 1.3 below) of one Share; and</w:t>
      </w:r>
    </w:p>
    <w:p>
      <w:pPr>
        <w:spacing w:after="0" w:line="198" w:lineRule="exact"/>
        <w:rPr>
          <w:sz w:val="20"/>
          <w:szCs w:val="20"/>
          <w:color w:val="auto"/>
        </w:rPr>
      </w:pPr>
    </w:p>
    <w:p>
      <w:pPr>
        <w:ind w:left="1960"/>
        <w:spacing w:after="0"/>
        <w:tabs>
          <w:tab w:leader="none" w:pos="2360" w:val="left"/>
        </w:tabs>
        <w:rPr>
          <w:sz w:val="20"/>
          <w:szCs w:val="20"/>
          <w:color w:val="auto"/>
        </w:rPr>
      </w:pPr>
      <w:r>
        <w:rPr>
          <w:rFonts w:ascii="Times New Roman" w:cs="Times New Roman" w:eastAsia="Times New Roman" w:hAnsi="Times New Roman"/>
          <w:sz w:val="18"/>
          <w:szCs w:val="18"/>
          <w:color w:val="auto"/>
        </w:rPr>
        <w:t>B =</w:t>
      </w:r>
      <w:r>
        <w:rPr>
          <w:sz w:val="20"/>
          <w:szCs w:val="20"/>
          <w:color w:val="auto"/>
        </w:rPr>
        <w:tab/>
      </w:r>
      <w:r>
        <w:rPr>
          <w:rFonts w:ascii="Times New Roman" w:cs="Times New Roman" w:eastAsia="Times New Roman" w:hAnsi="Times New Roman"/>
          <w:sz w:val="17"/>
          <w:szCs w:val="17"/>
          <w:color w:val="auto"/>
        </w:rPr>
        <w:t>the Warrant Price.</w:t>
      </w:r>
    </w:p>
    <w:p>
      <w:pPr>
        <w:spacing w:after="0" w:line="18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If the Company’s Common Stock is then traded or quoted on a nationally recognized securities exchange, inter-dealer quotation system or over-the-counter market (a “</w:t>
      </w:r>
      <w:r>
        <w:rPr>
          <w:rFonts w:ascii="Times New Roman" w:cs="Times New Roman" w:eastAsia="Times New Roman" w:hAnsi="Times New Roman"/>
          <w:sz w:val="18"/>
          <w:szCs w:val="18"/>
          <w:b w:val="1"/>
          <w:bCs w:val="1"/>
          <w:u w:val="single" w:color="auto"/>
          <w:color w:val="auto"/>
        </w:rPr>
        <w:t>Trading Market</w:t>
      </w:r>
      <w:r>
        <w:rPr>
          <w:rFonts w:ascii="Times New Roman" w:cs="Times New Roman" w:eastAsia="Times New Roman" w:hAnsi="Times New Roman"/>
          <w:sz w:val="18"/>
          <w:szCs w:val="18"/>
          <w:color w:val="auto"/>
        </w:rPr>
        <w:t>”), the fair market value of a Share shall be the closing price or last sale price of a share of Common Stock reported for the Business Day immediately before the date on which Holder delivers this Warrant together with its Notice of Exercise to the Company. If the Company’s Common Stock is not traded in a Trading Market, the Board of Directors of the Company shall determine the fair market value of a Share in its reasonable good faith judgment.</w:t>
      </w:r>
    </w:p>
    <w:p>
      <w:pPr>
        <w:spacing w:after="0" w:line="14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Delivery of Certificate and New Warrant</w:t>
      </w:r>
      <w:r>
        <w:rPr>
          <w:rFonts w:ascii="Times New Roman" w:cs="Times New Roman" w:eastAsia="Times New Roman" w:hAnsi="Times New Roman"/>
          <w:sz w:val="18"/>
          <w:szCs w:val="18"/>
          <w:color w:val="auto"/>
        </w:rPr>
        <w:t>. Within a reasonable time after Holder exercises this Warrant in the manner set forth in Section 1.1 or 1.2 above, the Company shall deliver to Holder a certificate representing the Shares issued to Holder upon such exercise and, if this Warrant has not been fully exercised and has not expired, a new warrant of like tenor representing the Shares not so acquired.</w:t>
      </w:r>
    </w:p>
    <w:p>
      <w:pPr>
        <w:spacing w:after="0" w:line="149" w:lineRule="exact"/>
        <w:rPr>
          <w:sz w:val="20"/>
          <w:szCs w:val="20"/>
          <w:color w:val="auto"/>
        </w:rPr>
      </w:pPr>
    </w:p>
    <w:p>
      <w:pPr>
        <w:ind w:left="1300"/>
        <w:spacing w:after="0"/>
        <w:tabs>
          <w:tab w:leader="none" w:pos="168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7"/>
          <w:szCs w:val="17"/>
          <w:u w:val="single" w:color="auto"/>
          <w:color w:val="auto"/>
        </w:rPr>
        <w:t>Replacement of Warrant</w:t>
      </w:r>
      <w:r>
        <w:rPr>
          <w:rFonts w:ascii="Times New Roman" w:cs="Times New Roman" w:eastAsia="Times New Roman" w:hAnsi="Times New Roman"/>
          <w:sz w:val="17"/>
          <w:szCs w:val="17"/>
          <w:color w:val="auto"/>
        </w:rPr>
        <w:t>.</w:t>
      </w:r>
    </w:p>
    <w:p>
      <w:pPr>
        <w:spacing w:after="0" w:line="185" w:lineRule="exact"/>
        <w:rPr>
          <w:sz w:val="20"/>
          <w:szCs w:val="20"/>
          <w:color w:val="auto"/>
        </w:rPr>
      </w:pPr>
    </w:p>
    <w:p>
      <w:pPr>
        <w:jc w:val="both"/>
        <w:ind w:firstLine="1304"/>
        <w:spacing w:after="0" w:line="261" w:lineRule="auto"/>
        <w:tabs>
          <w:tab w:leader="none" w:pos="1702"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Paper Original Warrant</w:t>
      </w:r>
      <w:r>
        <w:rPr>
          <w:rFonts w:ascii="Times New Roman" w:cs="Times New Roman" w:eastAsia="Times New Roman" w:hAnsi="Times New Roman"/>
          <w:sz w:val="18"/>
          <w:szCs w:val="18"/>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13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26"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Original Warrant</w:t>
      </w:r>
      <w:r>
        <w:rPr>
          <w:rFonts w:ascii="Times New Roman" w:cs="Times New Roman" w:eastAsia="Times New Roman" w:hAnsi="Times New Roman"/>
          <w:sz w:val="18"/>
          <w:szCs w:val="18"/>
          <w:color w:val="auto"/>
        </w:rPr>
        <w:t>. If at any time this Warrant is rejected by any person (including but not limited to, paying or escrow agents) or any such person fails to comply with the terms of this Warrant based on this Warrant being presented to such person as an electronic record, a printout thereof, or any signature hereto being in electronic form, the Company, shall, promptly upon Holder’s request without indemnity, execute and deliver to Holder, in lieu of electronic original versions of this warrant, a new warrant of like tenor and amount in paper form with original ink signatures.</w:t>
      </w:r>
    </w:p>
    <w:p>
      <w:pPr>
        <w:spacing w:after="0" w:line="153" w:lineRule="exact"/>
        <w:rPr>
          <w:sz w:val="20"/>
          <w:szCs w:val="20"/>
          <w:color w:val="auto"/>
        </w:rPr>
      </w:pPr>
    </w:p>
    <w:p>
      <w:pPr>
        <w:ind w:left="1300"/>
        <w:spacing w:after="0"/>
        <w:tabs>
          <w:tab w:leader="none" w:pos="168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7"/>
          <w:szCs w:val="17"/>
          <w:u w:val="single" w:color="auto"/>
          <w:color w:val="auto"/>
        </w:rPr>
        <w:t>Treatment of Warrant Upon Acquisition of Company</w:t>
      </w:r>
      <w:r>
        <w:rPr>
          <w:rFonts w:ascii="Times New Roman" w:cs="Times New Roman" w:eastAsia="Times New Roman" w:hAnsi="Times New Roman"/>
          <w:sz w:val="17"/>
          <w:szCs w:val="17"/>
          <w:color w:val="auto"/>
        </w:rPr>
        <w:t>.</w:t>
      </w:r>
    </w:p>
    <w:p>
      <w:pPr>
        <w:spacing w:after="0" w:line="181" w:lineRule="exact"/>
        <w:rPr>
          <w:sz w:val="20"/>
          <w:szCs w:val="20"/>
          <w:color w:val="auto"/>
        </w:rPr>
      </w:pPr>
    </w:p>
    <w:p>
      <w:pPr>
        <w:jc w:val="both"/>
        <w:ind w:firstLine="1304"/>
        <w:spacing w:after="0" w:line="256" w:lineRule="auto"/>
        <w:tabs>
          <w:tab w:leader="none" w:pos="1669"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For the purpose of this Warrant, “</w:t>
      </w:r>
      <w:r>
        <w:rPr>
          <w:rFonts w:ascii="Times New Roman" w:cs="Times New Roman" w:eastAsia="Times New Roman" w:hAnsi="Times New Roman"/>
          <w:sz w:val="18"/>
          <w:szCs w:val="18"/>
          <w:b w:val="1"/>
          <w:bCs w:val="1"/>
          <w:u w:val="single" w:color="auto"/>
          <w:color w:val="auto"/>
        </w:rPr>
        <w:t>Acquisition</w:t>
      </w:r>
      <w:r>
        <w:rPr>
          <w:rFonts w:ascii="Times New Roman" w:cs="Times New Roman" w:eastAsia="Times New Roman" w:hAnsi="Times New Roman"/>
          <w:sz w:val="18"/>
          <w:szCs w:val="18"/>
          <w:color w:val="auto"/>
        </w:rPr>
        <w:t>” means any transaction or series of related transactions involving: (i) the sale, lease, exclusive license, or 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 reorganization; or (iii) any sale or other transfer by the stockholders of the Company of shares representing at least a majority of the Company’s then-total outstanding combined voting power.</w:t>
      </w:r>
    </w:p>
    <w:p>
      <w:pPr>
        <w:spacing w:after="0" w:line="146" w:lineRule="exact"/>
        <w:rPr>
          <w:rFonts w:ascii="Times New Roman" w:cs="Times New Roman" w:eastAsia="Times New Roman" w:hAnsi="Times New Roman"/>
          <w:sz w:val="18"/>
          <w:szCs w:val="18"/>
          <w:color w:val="auto"/>
        </w:rPr>
      </w:pPr>
    </w:p>
    <w:p>
      <w:pPr>
        <w:jc w:val="both"/>
        <w:ind w:firstLine="1304"/>
        <w:spacing w:after="0" w:line="256" w:lineRule="auto"/>
        <w:tabs>
          <w:tab w:leader="none" w:pos="172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Warrant at Acquisition</w:t>
      </w:r>
      <w:r>
        <w:rPr>
          <w:rFonts w:ascii="Times New Roman" w:cs="Times New Roman" w:eastAsia="Times New Roman" w:hAnsi="Times New Roman"/>
          <w:sz w:val="18"/>
          <w:szCs w:val="18"/>
          <w:color w:val="auto"/>
        </w:rPr>
        <w:t>. In the event of an Acquisition in which the consideration to be received by the Company’s stockholders consists solely of cash, solely of Marketable Securities or a combination of cash and Marketable Securities (a “</w:t>
      </w:r>
      <w:r>
        <w:rPr>
          <w:rFonts w:ascii="Times New Roman" w:cs="Times New Roman" w:eastAsia="Times New Roman" w:hAnsi="Times New Roman"/>
          <w:sz w:val="18"/>
          <w:szCs w:val="18"/>
          <w:b w:val="1"/>
          <w:bCs w:val="1"/>
          <w:u w:val="single" w:color="auto"/>
          <w:color w:val="auto"/>
        </w:rPr>
        <w:t>Cash/Public Acquisition</w:t>
      </w:r>
      <w:r>
        <w:rPr>
          <w:rFonts w:ascii="Times New Roman" w:cs="Times New Roman" w:eastAsia="Times New Roman" w:hAnsi="Times New Roman"/>
          <w:sz w:val="18"/>
          <w:szCs w:val="18"/>
          <w:color w:val="auto"/>
        </w:rPr>
        <w:t>”), and the fair market value of one Share as determined in accordance with Section 1.3 above would be greater than the Warrant Price in effect on such date immediately prior to such Cash/Public Acquisition, and Holder has not exercised this Warrant pursuant to Section 1.1 above as to all Shares, then this Warrant shall automatically be deemed to be Cashless Exercised pursuant to Section 1.2 above as to all Shares effective immediately prior to and contingent upon the consummation of a Cash/Public Acquisition. In connection with such Cashless Exercise, Holder shall be deemed to have restated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24" w:right="339" w:bottom="1440" w:gutter="0" w:footer="0" w:header="0"/>
        </w:sectPr>
      </w:pPr>
    </w:p>
    <w:bookmarkStart w:id="423" w:name="page424"/>
    <w:bookmarkEnd w:id="423"/>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of the representations and warranties in Section 4 of the Warrant as the date thereof and the Company shall promptly notify the Holder of the number of Shares (or such other securities) issued upon exercise. In the event of a Cash/Public Acquisition where the fair market value of one Share as determined in accordance with Section 1.3 above would be less than the Warrant Price in effect immediately prior to such Cash/Public Acquisition, then this Warrant will expire immediately prior to the consummation of such Cash/Public Acquisition.</w:t>
      </w:r>
    </w:p>
    <w:p>
      <w:pPr>
        <w:spacing w:after="0" w:line="139" w:lineRule="exact"/>
        <w:rPr>
          <w:sz w:val="20"/>
          <w:szCs w:val="20"/>
          <w:color w:val="auto"/>
        </w:rPr>
      </w:pPr>
    </w:p>
    <w:p>
      <w:pPr>
        <w:jc w:val="both"/>
        <w:ind w:firstLine="1304"/>
        <w:spacing w:after="0" w:line="261" w:lineRule="auto"/>
        <w:tabs>
          <w:tab w:leader="none" w:pos="1669"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closing of any Acquisition other than a Cash/Public Acquisition defined above,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148" w:lineRule="exact"/>
        <w:rPr>
          <w:rFonts w:ascii="Times New Roman" w:cs="Times New Roman" w:eastAsia="Times New Roman" w:hAnsi="Times New Roman"/>
          <w:sz w:val="18"/>
          <w:szCs w:val="18"/>
          <w:color w:val="auto"/>
        </w:rPr>
      </w:pPr>
    </w:p>
    <w:p>
      <w:pPr>
        <w:jc w:val="both"/>
        <w:ind w:firstLine="1304"/>
        <w:spacing w:after="0" w:line="255" w:lineRule="auto"/>
        <w:tabs>
          <w:tab w:leader="none" w:pos="1693"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Warrant, “</w:t>
      </w:r>
      <w:r>
        <w:rPr>
          <w:rFonts w:ascii="Times New Roman" w:cs="Times New Roman" w:eastAsia="Times New Roman" w:hAnsi="Times New Roman"/>
          <w:sz w:val="18"/>
          <w:szCs w:val="18"/>
          <w:b w:val="1"/>
          <w:bCs w:val="1"/>
          <w:u w:val="single" w:color="auto"/>
          <w:color w:val="auto"/>
        </w:rPr>
        <w:t>Marketable Securities</w:t>
      </w:r>
      <w:r>
        <w:rPr>
          <w:rFonts w:ascii="Times New Roman" w:cs="Times New Roman" w:eastAsia="Times New Roman" w:hAnsi="Times New Roman"/>
          <w:sz w:val="18"/>
          <w:szCs w:val="18"/>
          <w:color w:val="auto"/>
        </w:rPr>
        <w:t>” means securities meeting all of the following requirements: (i) the issuer thereof is then subject to the reporting requirements of Section 13 or Section 15(d) of the Securities Exchange Act of 1934, as amended (the “</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Trading Market, and (iii) following the closing of such Acquisition, Holder would not be restricted from publicly re-selling all of the issuer’s shares and/or other securities that would be received by Holder in such Acquisition were Holder to exercise or convert this Warrant in full on or prior to the closing of such Acquisition, except to the extent that any such restriction (x) arises solely under federal or state securities laws, rules or regulations, and (y) does not extend beyond six (6) months from the closing of such Acquisition.</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ADJUSTMENTS TO THE SHARES AND WARRANT PRICE</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Stock Dividends, Splits, Etc</w:t>
      </w:r>
      <w:r>
        <w:rPr>
          <w:rFonts w:ascii="Times New Roman" w:cs="Times New Roman" w:eastAsia="Times New Roman" w:hAnsi="Times New Roman"/>
          <w:sz w:val="18"/>
          <w:szCs w:val="18"/>
          <w:color w:val="auto"/>
        </w:rPr>
        <w:t>. If the Company declares or pays a dividend or distribution on the outstanding shares of the Common Stock payable in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Common Stock by reclassification or otherwise into a greater number of shares, the number of Shares purchasable hereunder shall be proportionately increased and the Warrant Price shall be proportionately decreased. If the outstanding shares of the Common Stock are combined or consolidated, by reclassification or otherwise, into a lesser number of shares, the Warrant Price shall be proportionately increased and the number of Shares shall be proportionately decreased.</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Reclassification, Exchange, Combinations or Substitution</w:t>
      </w:r>
      <w:r>
        <w:rPr>
          <w:rFonts w:ascii="Times New Roman" w:cs="Times New Roman" w:eastAsia="Times New Roman" w:hAnsi="Times New Roman"/>
          <w:sz w:val="18"/>
          <w:szCs w:val="18"/>
          <w:color w:val="auto"/>
        </w:rPr>
        <w:t>. Upon any event whereby all of the outstanding shares of the Common Stock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147" w:lineRule="exact"/>
        <w:rPr>
          <w:sz w:val="20"/>
          <w:szCs w:val="20"/>
          <w:color w:val="auto"/>
        </w:rPr>
      </w:pPr>
    </w:p>
    <w:p>
      <w:pPr>
        <w:ind w:left="1300"/>
        <w:spacing w:after="0"/>
        <w:tabs>
          <w:tab w:leader="none" w:pos="168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u w:val="single" w:color="auto"/>
          <w:color w:val="auto"/>
        </w:rPr>
        <w:t>Intentionally Omitted.</w:t>
      </w:r>
    </w:p>
    <w:p>
      <w:pPr>
        <w:spacing w:after="0" w:line="185" w:lineRule="exact"/>
        <w:rPr>
          <w:sz w:val="20"/>
          <w:szCs w:val="20"/>
          <w:color w:val="auto"/>
        </w:rPr>
      </w:pPr>
    </w:p>
    <w:p>
      <w:pPr>
        <w:ind w:left="1300"/>
        <w:spacing w:after="0"/>
        <w:tabs>
          <w:tab w:leader="none" w:pos="168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u w:val="single" w:color="auto"/>
          <w:color w:val="auto"/>
        </w:rPr>
        <w:t>Intentionally Omitted.</w:t>
      </w:r>
    </w:p>
    <w:p>
      <w:pPr>
        <w:spacing w:after="0" w:line="19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No Fractional Share</w:t>
      </w:r>
      <w:r>
        <w:rPr>
          <w:rFonts w:ascii="Times New Roman" w:cs="Times New Roman" w:eastAsia="Times New Roman" w:hAnsi="Times New Roman"/>
          <w:sz w:val="18"/>
          <w:szCs w:val="18"/>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24" w:right="339" w:bottom="1440" w:gutter="0" w:footer="0" w:header="0"/>
        </w:sectPr>
      </w:pPr>
    </w:p>
    <w:bookmarkStart w:id="424" w:name="page425"/>
    <w:bookmarkEnd w:id="424"/>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Notice/Certificate as to Adjustments</w:t>
      </w:r>
      <w:r>
        <w:rPr>
          <w:rFonts w:ascii="Times New Roman" w:cs="Times New Roman" w:eastAsia="Times New Roman" w:hAnsi="Times New Roman"/>
          <w:sz w:val="18"/>
          <w:szCs w:val="18"/>
          <w:color w:val="auto"/>
        </w:rPr>
        <w:t>. Upon each adjustment of the Warrant Price, Common Stock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REPRESENTATIONS AND COVENANTS OF THE COMPANY</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jc w:val="center"/>
        <w:ind w:right="-19"/>
        <w:spacing w:after="0"/>
        <w:tabs>
          <w:tab w:leader="none" w:pos="16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Company represents and warrants to, and agrees with, the Holder as follows:</w:t>
      </w:r>
    </w:p>
    <w:p>
      <w:pPr>
        <w:spacing w:after="0" w:line="185" w:lineRule="exact"/>
        <w:rPr>
          <w:sz w:val="20"/>
          <w:szCs w:val="20"/>
          <w:color w:val="auto"/>
        </w:rPr>
      </w:pPr>
    </w:p>
    <w:p>
      <w:pPr>
        <w:ind w:firstLine="1304"/>
        <w:spacing w:after="0" w:line="282" w:lineRule="auto"/>
        <w:tabs>
          <w:tab w:leader="none" w:pos="175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Warrant Price referenced on the first page of this Warrant is not greater than the price per share at which shares of Company Common Stock or options to purchase shares of Company Common Stock were issued immediately prior to the Issue Date hereof.</w:t>
      </w:r>
    </w:p>
    <w:p>
      <w:pPr>
        <w:spacing w:after="0" w:line="12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33"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which may be issued upon the exercise of this Warrant,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securities as will be sufficient to permit the exercise in full of this Warrant.</w:t>
      </w:r>
    </w:p>
    <w:p>
      <w:pPr>
        <w:spacing w:after="0" w:line="152"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capitalization table attached hereto as Schedule 1 is true and complete, in all material respects, as of the Issue Date.</w:t>
      </w:r>
    </w:p>
    <w:p>
      <w:pPr>
        <w:spacing w:after="0" w:line="184"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Notice of Certain Events</w:t>
      </w:r>
      <w:r>
        <w:rPr>
          <w:rFonts w:ascii="Times New Roman" w:cs="Times New Roman" w:eastAsia="Times New Roman" w:hAnsi="Times New Roman"/>
          <w:sz w:val="18"/>
          <w:szCs w:val="18"/>
          <w:color w:val="auto"/>
        </w:rPr>
        <w:t>. If the Company proposes at any time to:</w:t>
      </w:r>
    </w:p>
    <w:p>
      <w:pPr>
        <w:spacing w:after="0" w:line="184" w:lineRule="exact"/>
        <w:rPr>
          <w:rFonts w:ascii="Times New Roman" w:cs="Times New Roman" w:eastAsia="Times New Roman" w:hAnsi="Times New Roman"/>
          <w:sz w:val="18"/>
          <w:szCs w:val="18"/>
          <w:color w:val="auto"/>
        </w:rPr>
      </w:pPr>
    </w:p>
    <w:p>
      <w:pPr>
        <w:ind w:right="160" w:firstLine="1952"/>
        <w:spacing w:after="0" w:line="282" w:lineRule="auto"/>
        <w:tabs>
          <w:tab w:leader="none" w:pos="2324"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any dividend or distribution upon the outstanding shares of the Company’s stock, whether in cash, property, stock, or other securities and whether or not a regular cash dividend;</w:t>
      </w:r>
    </w:p>
    <w:p>
      <w:pPr>
        <w:spacing w:after="0" w:line="134" w:lineRule="exact"/>
        <w:rPr>
          <w:rFonts w:ascii="Times New Roman" w:cs="Times New Roman" w:eastAsia="Times New Roman" w:hAnsi="Times New Roman"/>
          <w:sz w:val="18"/>
          <w:szCs w:val="18"/>
          <w:color w:val="auto"/>
        </w:rPr>
      </w:pPr>
    </w:p>
    <w:p>
      <w:pPr>
        <w:ind w:right="20" w:firstLine="1952"/>
        <w:spacing w:after="0" w:line="282" w:lineRule="auto"/>
        <w:tabs>
          <w:tab w:leader="none" w:pos="2334"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for subscription or sale pro rata to the holders of the outstanding shares any additional shares of any class or series of the Company’s stock (other than pursuant to contractual pre-emptive rights);</w:t>
      </w:r>
    </w:p>
    <w:p>
      <w:pPr>
        <w:spacing w:after="0" w:line="121" w:lineRule="exact"/>
        <w:rPr>
          <w:rFonts w:ascii="Times New Roman" w:cs="Times New Roman" w:eastAsia="Times New Roman" w:hAnsi="Times New Roman"/>
          <w:sz w:val="18"/>
          <w:szCs w:val="18"/>
          <w:color w:val="auto"/>
        </w:rPr>
      </w:pPr>
    </w:p>
    <w:p>
      <w:pPr>
        <w:ind w:left="2340" w:hanging="388"/>
        <w:spacing w:after="0"/>
        <w:tabs>
          <w:tab w:leader="none" w:pos="2340"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any reclassification,  exchange, combination,  substitution,  reorganization  or recapitalization of the outstanding</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the Common Stock;</w:t>
      </w:r>
    </w:p>
    <w:p>
      <w:pPr>
        <w:spacing w:after="0" w:line="166" w:lineRule="exact"/>
        <w:rPr>
          <w:rFonts w:ascii="Times New Roman" w:cs="Times New Roman" w:eastAsia="Times New Roman" w:hAnsi="Times New Roman"/>
          <w:sz w:val="18"/>
          <w:szCs w:val="18"/>
          <w:color w:val="auto"/>
        </w:rPr>
      </w:pPr>
    </w:p>
    <w:p>
      <w:pPr>
        <w:ind w:left="2340" w:hanging="388"/>
        <w:spacing w:after="0"/>
        <w:tabs>
          <w:tab w:leader="none" w:pos="2340"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an Acquisition or to liquidate, dissolve or wind up; or</w:t>
      </w:r>
    </w:p>
    <w:p>
      <w:pPr>
        <w:spacing w:after="0" w:line="198" w:lineRule="exact"/>
        <w:rPr>
          <w:rFonts w:ascii="Times New Roman" w:cs="Times New Roman" w:eastAsia="Times New Roman" w:hAnsi="Times New Roman"/>
          <w:sz w:val="18"/>
          <w:szCs w:val="18"/>
          <w:color w:val="auto"/>
        </w:rPr>
      </w:pPr>
    </w:p>
    <w:p>
      <w:pPr>
        <w:ind w:right="540" w:firstLine="1952"/>
        <w:spacing w:after="0" w:line="282" w:lineRule="auto"/>
        <w:tabs>
          <w:tab w:leader="none" w:pos="2324"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its initial, underwritten offering and sale of its securities to the public pursuant to an effective registration statement under the Act (the “</w:t>
      </w:r>
      <w:r>
        <w:rPr>
          <w:rFonts w:ascii="Times New Roman" w:cs="Times New Roman" w:eastAsia="Times New Roman" w:hAnsi="Times New Roman"/>
          <w:sz w:val="18"/>
          <w:szCs w:val="18"/>
          <w:b w:val="1"/>
          <w:bCs w:val="1"/>
          <w:u w:val="single" w:color="auto"/>
          <w:color w:val="auto"/>
        </w:rPr>
        <w:t>IPO</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then, in connection with each such event, the Company shall give Holder:</w:t>
      </w:r>
    </w:p>
    <w:p>
      <w:pPr>
        <w:spacing w:after="0" w:line="185" w:lineRule="exact"/>
        <w:rPr>
          <w:sz w:val="20"/>
          <w:szCs w:val="20"/>
          <w:color w:val="auto"/>
        </w:rPr>
      </w:pPr>
    </w:p>
    <w:p>
      <w:pPr>
        <w:jc w:val="both"/>
        <w:ind w:left="1300" w:firstLine="652"/>
        <w:spacing w:after="0" w:line="261" w:lineRule="auto"/>
        <w:tabs>
          <w:tab w:leader="none" w:pos="2331"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matters referred to in (a) and (b) above, at least seven (7) Business Days prior written notice of the earlier to occur of the effective date thereof or the date on which a record will be taken for such dividend, distribution, or subscription rights (and specifying the date on which the holders of outstanding shares of the Common Stock will be entitled thereto) or for determining rights to vote, if any,</w:t>
      </w:r>
    </w:p>
    <w:p>
      <w:pPr>
        <w:spacing w:after="0" w:line="152"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358"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matters referred to in (c) and (d) above at least seven (7) Business Days prior written notice of the date when the same will take place (and specifying the date on which the holders of outstanding shares of the Class will be entitled to exchange their shares for the securities or other property deliverable upon the occurrence of such event and such reasonable information as Holder may reasonably require regarding the treatment of this Warrant in connection with such event giving rise to the notice);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24" w:right="339" w:bottom="1440" w:gutter="0" w:footer="0" w:header="0"/>
        </w:sectPr>
      </w:pPr>
    </w:p>
    <w:bookmarkStart w:id="425" w:name="page426"/>
    <w:bookmarkEnd w:id="425"/>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300" w:right="580" w:firstLine="652"/>
        <w:spacing w:after="0" w:line="282" w:lineRule="auto"/>
        <w:tabs>
          <w:tab w:leader="none" w:pos="2331"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IPO, at least seven (7) Business Days prior written notice of the date on which the Company proposes to file its registration statement in connection therewith.</w:t>
      </w:r>
    </w:p>
    <w:p>
      <w:pPr>
        <w:spacing w:after="0" w:line="121"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Company will also provide information requested by Holder that is reasonably necessary to enable Holder to comply with Holder’s accounting or reporting requirements.</w:t>
      </w:r>
    </w:p>
    <w:p>
      <w:pPr>
        <w:spacing w:after="0" w:line="13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REPRESENTATIONS, WARRANTIES OF THE HOLDER</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Holder represents and warrants to the Company as follows:</w:t>
      </w:r>
    </w:p>
    <w:p>
      <w:pPr>
        <w:spacing w:after="0" w:line="18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Purchase for Own Account</w:t>
      </w:r>
      <w:r>
        <w:rPr>
          <w:rFonts w:ascii="Times New Roman" w:cs="Times New Roman" w:eastAsia="Times New Roman" w:hAnsi="Times New Roman"/>
          <w:sz w:val="18"/>
          <w:szCs w:val="18"/>
          <w:color w:val="auto"/>
        </w:rPr>
        <w:t>. This Warrant and the Shares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14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Disclosure of Information</w:t>
      </w:r>
      <w:r>
        <w:rPr>
          <w:rFonts w:ascii="Times New Roman" w:cs="Times New Roman" w:eastAsia="Times New Roman" w:hAnsi="Times New Roman"/>
          <w:sz w:val="18"/>
          <w:szCs w:val="18"/>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14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Investment Experience</w:t>
      </w:r>
      <w:r>
        <w:rPr>
          <w:rFonts w:ascii="Times New Roman" w:cs="Times New Roman" w:eastAsia="Times New Roman" w:hAnsi="Times New Roman"/>
          <w:sz w:val="18"/>
          <w:szCs w:val="18"/>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147" w:lineRule="exact"/>
        <w:rPr>
          <w:sz w:val="20"/>
          <w:szCs w:val="20"/>
          <w:color w:val="auto"/>
        </w:rPr>
      </w:pPr>
    </w:p>
    <w:p>
      <w:pPr>
        <w:ind w:left="1300"/>
        <w:spacing w:after="0"/>
        <w:tabs>
          <w:tab w:leader="none" w:pos="168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u w:val="single" w:color="auto"/>
          <w:color w:val="auto"/>
        </w:rPr>
        <w:t>Accredited Investor Status</w:t>
      </w:r>
      <w:r>
        <w:rPr>
          <w:rFonts w:ascii="Times New Roman" w:cs="Times New Roman" w:eastAsia="Times New Roman" w:hAnsi="Times New Roman"/>
          <w:sz w:val="18"/>
          <w:szCs w:val="18"/>
          <w:color w:val="auto"/>
        </w:rPr>
        <w:t>. Holder is an “accredited investor” within the meaning of Regulation D promulgated under the Act.</w:t>
      </w:r>
    </w:p>
    <w:p>
      <w:pPr>
        <w:spacing w:after="0" w:line="19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The Act</w:t>
      </w:r>
      <w:r>
        <w:rPr>
          <w:rFonts w:ascii="Times New Roman" w:cs="Times New Roman" w:eastAsia="Times New Roman" w:hAnsi="Times New Roman"/>
          <w:sz w:val="18"/>
          <w:szCs w:val="18"/>
          <w:color w:val="auto"/>
        </w:rPr>
        <w:t>.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14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Market Stand-off Agreement</w:t>
      </w:r>
      <w:r>
        <w:rPr>
          <w:rFonts w:ascii="Times New Roman" w:cs="Times New Roman" w:eastAsia="Times New Roman" w:hAnsi="Times New Roman"/>
          <w:sz w:val="18"/>
          <w:szCs w:val="18"/>
          <w:color w:val="auto"/>
        </w:rPr>
        <w:t>. The Holder agrees that the Shares shall be subject to the Market Standoff provisions in Section 1.13 of the Amended and Restated Investors’ Rights Agreement or similar agreement.</w:t>
      </w:r>
    </w:p>
    <w:p>
      <w:pPr>
        <w:spacing w:after="0" w:line="121" w:lineRule="exact"/>
        <w:rPr>
          <w:sz w:val="20"/>
          <w:szCs w:val="20"/>
          <w:color w:val="auto"/>
        </w:rPr>
      </w:pPr>
    </w:p>
    <w:p>
      <w:pPr>
        <w:ind w:left="1300"/>
        <w:spacing w:after="0"/>
        <w:tabs>
          <w:tab w:leader="none" w:pos="168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7"/>
          <w:szCs w:val="17"/>
          <w:u w:val="single" w:color="auto"/>
          <w:color w:val="auto"/>
        </w:rPr>
        <w:t>No Voting Rights</w:t>
      </w:r>
      <w:r>
        <w:rPr>
          <w:rFonts w:ascii="Times New Roman" w:cs="Times New Roman" w:eastAsia="Times New Roman" w:hAnsi="Times New Roman"/>
          <w:sz w:val="17"/>
          <w:szCs w:val="17"/>
          <w:color w:val="auto"/>
        </w:rPr>
        <w:t>. Holder, as a Holder of this Warrant, will not have any voting rights until the exercise of this Warrant.</w:t>
      </w:r>
    </w:p>
    <w:p>
      <w:pPr>
        <w:spacing w:after="0" w:line="19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1300"/>
        <w:spacing w:after="0"/>
        <w:tabs>
          <w:tab w:leader="none" w:pos="168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u w:val="single" w:color="auto"/>
          <w:color w:val="auto"/>
        </w:rPr>
        <w:t>Term and Automatic Conversion Upon Expiration</w:t>
      </w:r>
      <w:r>
        <w:rPr>
          <w:rFonts w:ascii="Times New Roman" w:cs="Times New Roman" w:eastAsia="Times New Roman" w:hAnsi="Times New Roman"/>
          <w:sz w:val="17"/>
          <w:szCs w:val="17"/>
          <w:color w:val="auto"/>
        </w:rPr>
        <w:t>.</w:t>
      </w:r>
    </w:p>
    <w:p>
      <w:pPr>
        <w:spacing w:after="0" w:line="185" w:lineRule="exact"/>
        <w:rPr>
          <w:sz w:val="20"/>
          <w:szCs w:val="20"/>
          <w:color w:val="auto"/>
        </w:rPr>
      </w:pPr>
    </w:p>
    <w:p>
      <w:pPr>
        <w:ind w:firstLine="1304"/>
        <w:spacing w:after="0" w:line="282" w:lineRule="auto"/>
        <w:tabs>
          <w:tab w:leader="none" w:pos="1716"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Subject to the provisions of Section 1.6 above, this Warrant is exercisable in whole or in part at any time and from time to time on or before 6:00 PM, Pacific time, on the Expiration Date and shall be void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24" w:right="339" w:bottom="1440" w:gutter="0" w:footer="0" w:header="0"/>
        </w:sectPr>
      </w:pPr>
    </w:p>
    <w:bookmarkStart w:id="426" w:name="page427"/>
    <w:bookmarkEnd w:id="426"/>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firstLine="1304"/>
        <w:spacing w:after="0" w:line="258" w:lineRule="auto"/>
        <w:tabs>
          <w:tab w:leader="none" w:pos="1726"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Automatic Cashless Exercise upon Expiration</w:t>
      </w:r>
      <w:r>
        <w:rPr>
          <w:rFonts w:ascii="Times New Roman" w:cs="Times New Roman" w:eastAsia="Times New Roman" w:hAnsi="Times New Roman"/>
          <w:sz w:val="18"/>
          <w:szCs w:val="18"/>
          <w:color w:val="auto"/>
        </w:rPr>
        <w:t>.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143"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The Shares (and the securities issuable, directly or indirectly, upon conversion of the Shares, if any) shall be imprinted with a legend in substantially the following form:</w:t>
      </w:r>
    </w:p>
    <w:p>
      <w:pPr>
        <w:spacing w:after="0" w:line="310" w:lineRule="exact"/>
        <w:rPr>
          <w:sz w:val="20"/>
          <w:szCs w:val="20"/>
          <w:color w:val="auto"/>
        </w:rPr>
      </w:pPr>
    </w:p>
    <w:p>
      <w:pPr>
        <w:jc w:val="both"/>
        <w:ind w:left="1300" w:right="660"/>
        <w:spacing w:after="0" w:line="255" w:lineRule="auto"/>
        <w:rPr>
          <w:sz w:val="20"/>
          <w:szCs w:val="20"/>
          <w:color w:val="auto"/>
        </w:rPr>
      </w:pPr>
      <w:r>
        <w:rPr>
          <w:rFonts w:ascii="Times New Roman" w:cs="Times New Roman" w:eastAsia="Times New Roman" w:hAnsi="Times New Roman"/>
          <w:sz w:val="18"/>
          <w:szCs w:val="18"/>
          <w:color w:val="auto"/>
        </w:rPr>
        <w:t>THE SHARES EVIDENCED BY THIS CERTIFICATE HAVE NOT BEEN REGISTERED UNDER THE SECURITIES ACT OF 1933, AS AMENDED (THE “</w:t>
      </w:r>
      <w:r>
        <w:rPr>
          <w:rFonts w:ascii="Times New Roman" w:cs="Times New Roman" w:eastAsia="Times New Roman" w:hAnsi="Times New Roman"/>
          <w:sz w:val="18"/>
          <w:szCs w:val="18"/>
          <w:b w:val="1"/>
          <w:bCs w:val="1"/>
          <w:u w:val="single" w:color="auto"/>
          <w:color w:val="auto"/>
        </w:rPr>
        <w:t>ACT</w:t>
      </w:r>
      <w:r>
        <w:rPr>
          <w:rFonts w:ascii="Times New Roman" w:cs="Times New Roman" w:eastAsia="Times New Roman" w:hAnsi="Times New Roman"/>
          <w:sz w:val="18"/>
          <w:szCs w:val="18"/>
          <w:color w:val="auto"/>
        </w:rPr>
        <w:t>”), OR THE SECURITIES LAWS OF ANY STATE AND, EXCEPT AS SET FORTH IN THAT CERTAIN WARRANT TO PURCHASE COMMON STOCK ISSUED BY THE ISSUER TO SILICON VALLEY BANK DATED [_____], MAY NOT BE OFFERED, SOLD, PLEDGED OR OTHERWISE TRANSFERRED UNLESS AND</w:t>
      </w:r>
    </w:p>
    <w:p>
      <w:pPr>
        <w:spacing w:after="0" w:line="3" w:lineRule="exact"/>
        <w:rPr>
          <w:sz w:val="20"/>
          <w:szCs w:val="20"/>
          <w:color w:val="auto"/>
        </w:rPr>
      </w:pPr>
    </w:p>
    <w:p>
      <w:pPr>
        <w:jc w:val="both"/>
        <w:ind w:left="1300" w:right="660"/>
        <w:spacing w:after="0" w:line="260" w:lineRule="auto"/>
        <w:rPr>
          <w:sz w:val="20"/>
          <w:szCs w:val="20"/>
          <w:color w:val="auto"/>
        </w:rPr>
      </w:pPr>
      <w:r>
        <w:rPr>
          <w:rFonts w:ascii="Times New Roman" w:cs="Times New Roman" w:eastAsia="Times New Roman" w:hAnsi="Times New Roman"/>
          <w:sz w:val="18"/>
          <w:szCs w:val="18"/>
          <w:color w:val="auto"/>
        </w:rPr>
        <w:t>UNTIL REGISTERED UNDER SAID ACT AND LAWS OR IN FORM AND SUBSTANCE SATISFACTORY TO THE ISSUER, SUCH OFFER, SALE, PLEDGE OR OTHER TRANSFER IS EXEMPT FROM SUCH REGISTRATION.</w:t>
      </w:r>
    </w:p>
    <w:p>
      <w:pPr>
        <w:spacing w:after="0" w:line="127" w:lineRule="exact"/>
        <w:rPr>
          <w:sz w:val="20"/>
          <w:szCs w:val="20"/>
          <w:color w:val="auto"/>
        </w:rPr>
      </w:pPr>
    </w:p>
    <w:p>
      <w:pPr>
        <w:jc w:val="both"/>
        <w:ind w:firstLine="1296"/>
        <w:spacing w:after="0"/>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Compliance with Securities Laws on Transfer</w:t>
      </w:r>
      <w:r>
        <w:rPr>
          <w:rFonts w:ascii="Times New Roman" w:cs="Times New Roman" w:eastAsia="Times New Roman" w:hAnsi="Times New Roman"/>
          <w:sz w:val="18"/>
          <w:szCs w:val="18"/>
          <w:color w:val="auto"/>
        </w:rPr>
        <w:t>. This Warrant and the Shares issuable upon exercise of this Warrant (and the securities issuable, directly or indirectly, upon conversion of the Shares, if any)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SVB Financial Group (Silicon Valley Bank’s parent company) or any other affiliate of Holder, provided that any such transferee is an “accredited investor” as defined in Regulation D promulgated under the Act. Additionally, the Company shall also not require an opinion of counsel if there is no material question as to the availability of Rule 144 promulgated under the Act.</w:t>
      </w:r>
    </w:p>
    <w:p>
      <w:pPr>
        <w:spacing w:after="0" w:line="212" w:lineRule="exact"/>
        <w:rPr>
          <w:sz w:val="20"/>
          <w:szCs w:val="20"/>
          <w:color w:val="auto"/>
        </w:rPr>
      </w:pPr>
    </w:p>
    <w:p>
      <w:pPr>
        <w:jc w:val="both"/>
        <w:ind w:firstLine="1296"/>
        <w:spacing w:after="0" w:line="281"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Transfer Procedure</w:t>
      </w:r>
      <w:r>
        <w:rPr>
          <w:rFonts w:ascii="Times New Roman" w:cs="Times New Roman" w:eastAsia="Times New Roman" w:hAnsi="Times New Roman"/>
          <w:sz w:val="18"/>
          <w:szCs w:val="18"/>
          <w:color w:val="auto"/>
        </w:rPr>
        <w:t>. After receipt by Silicon Valley Bank of the executed Warrant, Silicon Valley Bank will transfer all of this Warrant to its parent company, SVB Financial Group. By its acceptance of this Warrant, SVB Financial Group hereby makes to the Company each of the representations and warranties set forth in Section 4 hereof and agrees to be bound by all of the terms and conditions of this Warrant as if the original</w:t>
      </w:r>
    </w:p>
    <w:p>
      <w:pPr>
        <w:spacing w:after="0" w:line="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Holder hereof. Subject to the provisions of Section 5.3 and upon providing the Company with written notice, SVB Financial Group and any subsequent Holder may transfer all or part of this Warrant or the Shares issuable upon exercise of this Warrant (or the securities issuable directly or indirectly, upon</w:t>
      </w:r>
    </w:p>
    <w:p>
      <w:pPr>
        <w:spacing w:after="0" w:line="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conversion of the Shares, if any) to any transferee, provided, however, in connection with any such transfer, SVB Financial Group or any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 and provided further, that any subsequent transferee other than SVB Financial Group shall agree in writing with the Company to be bound by all of the terms and conditions of this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Notwithstanding any contrary provision herein, at all times prior to the IPO, Holder may not, without the Company’s prior written consent,</w:t>
      </w:r>
    </w:p>
    <w:p>
      <w:pPr>
        <w:spacing w:after="0" w:line="3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transfer this Warrant or any portion hereof, or any Shares issued upon any exercise hereof, or any shares or other securities issued upon any conversion of any Shares issued upon any exercise hereof, to any person or entity who directly competes with the Company, except in connection with an Acquisition of the Company by such a direct competitor.</w:t>
      </w:r>
    </w:p>
    <w:p>
      <w:pPr>
        <w:spacing w:after="0" w:line="21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hereunder from the Company to the Holder, or vice versa, shall be deemed delivered and effective (i) when given personally, (ii) on the third (3rd) Business Day after being mailed by first-class registered or certified mail, postage prepaid, (iii) upon actual receipt if given by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24" w:right="339" w:bottom="1440" w:gutter="0" w:footer="0" w:header="0"/>
        </w:sectPr>
      </w:pPr>
    </w:p>
    <w:bookmarkStart w:id="427" w:name="page428"/>
    <w:bookmarkEnd w:id="427"/>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from time to time in accordance with the provisions of this Section 5.5. All notices to Holder shall be addressed as follows until the Company receives notice of a change of address in connection with a transfer or otherwise:</w:t>
      </w:r>
    </w:p>
    <w:p>
      <w:pPr>
        <w:spacing w:after="0" w:line="1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SVB Financial Group</w:t>
      </w:r>
    </w:p>
    <w:p>
      <w:pPr>
        <w:spacing w:after="0" w:line="1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Treasury Department</w:t>
      </w:r>
    </w:p>
    <w:p>
      <w:pPr>
        <w:ind w:left="1300"/>
        <w:spacing w:after="0" w:line="234" w:lineRule="auto"/>
        <w:rPr>
          <w:sz w:val="20"/>
          <w:szCs w:val="20"/>
          <w:color w:val="auto"/>
        </w:rPr>
      </w:pPr>
      <w:r>
        <w:rPr>
          <w:rFonts w:ascii="Times New Roman" w:cs="Times New Roman" w:eastAsia="Times New Roman" w:hAnsi="Times New Roman"/>
          <w:sz w:val="18"/>
          <w:szCs w:val="18"/>
          <w:color w:val="auto"/>
        </w:rPr>
        <w:t>3003 Tasman Drive, HC 215</w:t>
      </w:r>
    </w:p>
    <w:p>
      <w:pPr>
        <w:ind w:left="1300"/>
        <w:spacing w:after="0" w:line="219" w:lineRule="auto"/>
        <w:rPr>
          <w:sz w:val="20"/>
          <w:szCs w:val="20"/>
          <w:color w:val="auto"/>
        </w:rPr>
      </w:pPr>
      <w:r>
        <w:rPr>
          <w:rFonts w:ascii="Times New Roman" w:cs="Times New Roman" w:eastAsia="Times New Roman" w:hAnsi="Times New Roman"/>
          <w:sz w:val="18"/>
          <w:szCs w:val="18"/>
          <w:color w:val="auto"/>
        </w:rPr>
        <w:t>Santa Clara, CA 95054</w:t>
      </w:r>
    </w:p>
    <w:p>
      <w:pPr>
        <w:ind w:left="1300"/>
        <w:spacing w:after="0" w:line="235" w:lineRule="auto"/>
        <w:rPr>
          <w:sz w:val="20"/>
          <w:szCs w:val="20"/>
          <w:color w:val="auto"/>
        </w:rPr>
      </w:pPr>
      <w:r>
        <w:rPr>
          <w:rFonts w:ascii="Times New Roman" w:cs="Times New Roman" w:eastAsia="Times New Roman" w:hAnsi="Times New Roman"/>
          <w:sz w:val="18"/>
          <w:szCs w:val="18"/>
          <w:color w:val="auto"/>
        </w:rPr>
        <w:t>Telephone: [***]</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address: [***]</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to the Company shall be addressed as follows until Holder receives notice of a change in address:</w:t>
      </w:r>
    </w:p>
    <w:p>
      <w:pPr>
        <w:spacing w:after="0" w:line="6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1debit, Inc.</w:t>
      </w:r>
    </w:p>
    <w:p>
      <w:pPr>
        <w:ind w:left="1300"/>
        <w:spacing w:after="0" w:line="190" w:lineRule="auto"/>
        <w:rPr>
          <w:sz w:val="20"/>
          <w:szCs w:val="20"/>
          <w:color w:val="auto"/>
        </w:rPr>
      </w:pPr>
      <w:r>
        <w:rPr>
          <w:rFonts w:ascii="Times New Roman" w:cs="Times New Roman" w:eastAsia="Times New Roman" w:hAnsi="Times New Roman"/>
          <w:sz w:val="18"/>
          <w:szCs w:val="18"/>
          <w:color w:val="auto"/>
        </w:rPr>
        <w:t>Attn: Chris Britt</w:t>
      </w:r>
    </w:p>
    <w:p>
      <w:pPr>
        <w:ind w:left="1300"/>
        <w:spacing w:after="0" w:line="194" w:lineRule="auto"/>
        <w:rPr>
          <w:sz w:val="20"/>
          <w:szCs w:val="20"/>
          <w:color w:val="auto"/>
        </w:rPr>
      </w:pPr>
      <w:r>
        <w:rPr>
          <w:rFonts w:ascii="Times New Roman" w:cs="Times New Roman" w:eastAsia="Times New Roman" w:hAnsi="Times New Roman"/>
          <w:sz w:val="18"/>
          <w:szCs w:val="18"/>
          <w:color w:val="auto"/>
        </w:rPr>
        <w:t>250 Sutter Street, 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 xml:space="preserve"> Floor</w:t>
      </w:r>
    </w:p>
    <w:p>
      <w:pPr>
        <w:ind w:left="1300"/>
        <w:spacing w:after="0" w:line="219" w:lineRule="auto"/>
        <w:rPr>
          <w:sz w:val="20"/>
          <w:szCs w:val="20"/>
          <w:color w:val="auto"/>
        </w:rPr>
      </w:pPr>
      <w:r>
        <w:rPr>
          <w:rFonts w:ascii="Times New Roman" w:cs="Times New Roman" w:eastAsia="Times New Roman" w:hAnsi="Times New Roman"/>
          <w:sz w:val="18"/>
          <w:szCs w:val="18"/>
          <w:color w:val="auto"/>
        </w:rPr>
        <w:t>San Francisco, CA 94108</w:t>
      </w:r>
    </w:p>
    <w:p>
      <w:pPr>
        <w:ind w:left="1300"/>
        <w:spacing w:after="0" w:line="235" w:lineRule="auto"/>
        <w:rPr>
          <w:sz w:val="20"/>
          <w:szCs w:val="20"/>
          <w:color w:val="auto"/>
        </w:rPr>
      </w:pPr>
      <w:r>
        <w:rPr>
          <w:rFonts w:ascii="Times New Roman" w:cs="Times New Roman" w:eastAsia="Times New Roman" w:hAnsi="Times New Roman"/>
          <w:sz w:val="18"/>
          <w:szCs w:val="18"/>
          <w:color w:val="auto"/>
        </w:rPr>
        <w:t>Telephone: [***]</w:t>
      </w:r>
    </w:p>
    <w:p>
      <w:pPr>
        <w:ind w:left="1300"/>
        <w:spacing w:after="0"/>
        <w:rPr>
          <w:sz w:val="20"/>
          <w:szCs w:val="20"/>
          <w:color w:val="auto"/>
        </w:rPr>
      </w:pPr>
      <w:r>
        <w:rPr>
          <w:rFonts w:ascii="Times New Roman" w:cs="Times New Roman" w:eastAsia="Times New Roman" w:hAnsi="Times New Roman"/>
          <w:sz w:val="18"/>
          <w:szCs w:val="18"/>
          <w:color w:val="auto"/>
        </w:rPr>
        <w:t>Email: [***]</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Goodwin Procter LLP</w:t>
      </w:r>
    </w:p>
    <w:p>
      <w:pPr>
        <w:ind w:left="1300"/>
        <w:spacing w:after="0" w:line="234" w:lineRule="auto"/>
        <w:rPr>
          <w:sz w:val="20"/>
          <w:szCs w:val="20"/>
          <w:color w:val="auto"/>
        </w:rPr>
      </w:pPr>
      <w:r>
        <w:rPr>
          <w:rFonts w:ascii="Times New Roman" w:cs="Times New Roman" w:eastAsia="Times New Roman" w:hAnsi="Times New Roman"/>
          <w:sz w:val="18"/>
          <w:szCs w:val="18"/>
          <w:color w:val="auto"/>
        </w:rPr>
        <w:t>Attn: Anthony McCusker</w:t>
      </w:r>
    </w:p>
    <w:p>
      <w:pPr>
        <w:ind w:left="1300"/>
        <w:spacing w:after="0" w:line="235" w:lineRule="auto"/>
        <w:rPr>
          <w:sz w:val="20"/>
          <w:szCs w:val="20"/>
          <w:color w:val="auto"/>
        </w:rPr>
      </w:pPr>
      <w:r>
        <w:rPr>
          <w:rFonts w:ascii="Times New Roman" w:cs="Times New Roman" w:eastAsia="Times New Roman" w:hAnsi="Times New Roman"/>
          <w:sz w:val="18"/>
          <w:szCs w:val="18"/>
          <w:color w:val="auto"/>
        </w:rPr>
        <w:t>135 Commonwealth Drive</w:t>
      </w:r>
    </w:p>
    <w:p>
      <w:pPr>
        <w:ind w:left="1300"/>
        <w:spacing w:after="0" w:line="235" w:lineRule="auto"/>
        <w:rPr>
          <w:sz w:val="20"/>
          <w:szCs w:val="20"/>
          <w:color w:val="auto"/>
        </w:rPr>
      </w:pPr>
      <w:r>
        <w:rPr>
          <w:rFonts w:ascii="Times New Roman" w:cs="Times New Roman" w:eastAsia="Times New Roman" w:hAnsi="Times New Roman"/>
          <w:sz w:val="18"/>
          <w:szCs w:val="18"/>
          <w:color w:val="auto"/>
        </w:rPr>
        <w:t>Menlo Park, CA 94025</w:t>
      </w:r>
    </w:p>
    <w:p>
      <w:pPr>
        <w:ind w:left="1300"/>
        <w:spacing w:after="0"/>
        <w:rPr>
          <w:sz w:val="20"/>
          <w:szCs w:val="20"/>
          <w:color w:val="auto"/>
        </w:rPr>
      </w:pPr>
      <w:r>
        <w:rPr>
          <w:rFonts w:ascii="Times New Roman" w:cs="Times New Roman" w:eastAsia="Times New Roman" w:hAnsi="Times New Roman"/>
          <w:sz w:val="18"/>
          <w:szCs w:val="18"/>
          <w:color w:val="auto"/>
        </w:rPr>
        <w:t>Telephone: [***]</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w:t>
      </w:r>
    </w:p>
    <w:p>
      <w:pPr>
        <w:spacing w:after="0" w:line="22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13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Attorney’s Fees</w:t>
      </w:r>
      <w:r>
        <w:rPr>
          <w:rFonts w:ascii="Times New Roman" w:cs="Times New Roman" w:eastAsia="Times New Roman" w:hAnsi="Times New Roman"/>
          <w:sz w:val="18"/>
          <w:szCs w:val="18"/>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13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Counterparts; Electronic Signatures; Status as Certificated Security</w:t>
      </w:r>
      <w:r>
        <w:rPr>
          <w:rFonts w:ascii="Times New Roman" w:cs="Times New Roman" w:eastAsia="Times New Roman" w:hAnsi="Times New Roman"/>
          <w:sz w:val="18"/>
          <w:szCs w:val="18"/>
          <w:color w:val="auto"/>
        </w:rPr>
        <w:t>. This Warrant may be executed in counterparts, all of which together shall constitute one and the same agreement. Company, Holder and any other party hereto may execute this Warrant by electronic means and each party hereto recognizes and accepts the use of electronic signatures and records by any other party hereto in connection with the execution and storage hereof. To the extent that this Warrant or any agreement subject to the terms hereof or any amendment hereto is executed, recorded or delivered electronically, it shall be binding to the same extent as though it had been executed on paper with an original ink signature. The fact that this Warrant is executed, signed, stored or delivered electronically shall not prevent the transfer by any Holder of this Warrant pursuant to Section 5.4 or the enforcement of the terms hereof. This Warrant, and any copies hereof, shall NOT be deemed to be a “certificated security” within the meaning of section 8102(a)(4) of the California Commercial Code. Physical possession of the original of this Warrant or any paper copy thereof shall confer no special status to the bearer thereof.</w:t>
      </w:r>
    </w:p>
    <w:p>
      <w:pPr>
        <w:spacing w:after="0" w:line="148"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Warrant shall be governed by and construed in accordance with the laws of the State of California, without giving effect to its principles regarding conflicts of law.</w:t>
      </w:r>
    </w:p>
    <w:p>
      <w:pPr>
        <w:spacing w:after="0" w:line="121"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in this Warrant are for purposes of reference only and shall not limit or otherwise affect the meaning of any provision of this Warrant.</w:t>
      </w:r>
    </w:p>
    <w:p>
      <w:pPr>
        <w:spacing w:after="0" w:line="131" w:lineRule="exact"/>
        <w:rPr>
          <w:sz w:val="20"/>
          <w:szCs w:val="20"/>
          <w:color w:val="auto"/>
        </w:rPr>
      </w:pPr>
    </w:p>
    <w:p>
      <w:pPr>
        <w:ind w:left="1300"/>
        <w:spacing w:after="0"/>
        <w:tabs>
          <w:tab w:leader="none" w:pos="1760" w:val="left"/>
        </w:tabs>
        <w:rPr>
          <w:sz w:val="20"/>
          <w:szCs w:val="20"/>
          <w:color w:val="auto"/>
        </w:rPr>
      </w:pPr>
      <w:r>
        <w:rPr>
          <w:rFonts w:ascii="Times New Roman" w:cs="Times New Roman" w:eastAsia="Times New Roman" w:hAnsi="Times New Roman"/>
          <w:sz w:val="18"/>
          <w:szCs w:val="18"/>
          <w:color w:val="auto"/>
        </w:rPr>
        <w:t>5.11</w:t>
      </w:r>
      <w:r>
        <w:rPr>
          <w:sz w:val="20"/>
          <w:szCs w:val="20"/>
          <w:color w:val="auto"/>
        </w:rPr>
        <w:tab/>
      </w:r>
      <w:r>
        <w:rPr>
          <w:rFonts w:ascii="Times New Roman" w:cs="Times New Roman" w:eastAsia="Times New Roman" w:hAnsi="Times New Roman"/>
          <w:sz w:val="17"/>
          <w:szCs w:val="17"/>
          <w:u w:val="single" w:color="auto"/>
          <w:color w:val="auto"/>
        </w:rPr>
        <w:t>Business Days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u w:val="single" w:color="auto"/>
          <w:color w:val="auto"/>
        </w:rPr>
        <w:t>Business Day</w:t>
      </w:r>
      <w:r>
        <w:rPr>
          <w:rFonts w:ascii="Times New Roman" w:cs="Times New Roman" w:eastAsia="Times New Roman" w:hAnsi="Times New Roman"/>
          <w:sz w:val="17"/>
          <w:szCs w:val="17"/>
          <w:color w:val="auto"/>
        </w:rPr>
        <w:t>” is any day that is not a Saturday, Sunday or a day on which Silicon Valley Bank is 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24" w:right="339" w:bottom="1440" w:gutter="0" w:footer="0" w:header="0"/>
        </w:sectPr>
      </w:pPr>
    </w:p>
    <w:bookmarkStart w:id="428" w:name="page429"/>
    <w:bookmarkEnd w:id="428"/>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left blank intentionally]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9019"/>
          </w:cols>
          <w:pgMar w:left="1440" w:top="124" w:right="1440" w:bottom="1440" w:gutter="0" w:footer="0" w:header="0"/>
        </w:sectPr>
      </w:pPr>
    </w:p>
    <w:bookmarkStart w:id="429" w:name="page430"/>
    <w:bookmarkEnd w:id="429"/>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IN WITNESS WHEREOF, the parties have caused this Warrant to Purchase Common Stock to be executed by their duly authorized representatives effective as of the Issue Date written above.</w:t>
      </w:r>
    </w:p>
    <w:p>
      <w:pPr>
        <w:spacing w:after="0" w:line="1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“COMPANY”</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lDEBIT, INC.</w:t>
      </w: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34290</wp:posOffset>
            </wp:positionV>
            <wp:extent cx="324866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34290</wp:posOffset>
            </wp:positionV>
            <wp:extent cx="305181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5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(Print)</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“HOLDER”</w:t>
      </w: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SILICON VALLEY BANK</w:t>
      </w: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34290</wp:posOffset>
            </wp:positionV>
            <wp:extent cx="324866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34290</wp:posOffset>
            </wp:positionV>
            <wp:extent cx="305181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5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(Print)</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2F2F2F"/>
        </w:rPr>
        <w:t>[Signature page to Warrant to Purchase Stock]</w:t>
      </w:r>
    </w:p>
    <w:p>
      <w:pPr>
        <w:sectPr>
          <w:pgSz w:w="11900" w:h="16838" w:orient="portrait"/>
          <w:cols w:equalWidth="0" w:num="1">
            <w:col w:w="11100"/>
          </w:cols>
          <w:pgMar w:left="320" w:top="124" w:right="479" w:bottom="1440" w:gutter="0" w:footer="0" w:header="0"/>
        </w:sectPr>
      </w:pPr>
    </w:p>
    <w:bookmarkStart w:id="430" w:name="page431"/>
    <w:bookmarkEnd w:id="430"/>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APPENDIX 1</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NOTICE OF EXERCISE</w:t>
      </w:r>
    </w:p>
    <w:p>
      <w:pPr>
        <w:spacing w:after="0" w:line="200" w:lineRule="exact"/>
        <w:rPr>
          <w:sz w:val="20"/>
          <w:szCs w:val="20"/>
          <w:color w:val="auto"/>
        </w:rPr>
      </w:pPr>
    </w:p>
    <w:p>
      <w:pPr>
        <w:spacing w:after="0" w:line="345" w:lineRule="exact"/>
        <w:rPr>
          <w:sz w:val="20"/>
          <w:szCs w:val="20"/>
          <w:color w:val="auto"/>
        </w:rPr>
      </w:pPr>
    </w:p>
    <w:p>
      <w:pPr>
        <w:ind w:firstLine="656"/>
        <w:spacing w:after="0" w:line="286" w:lineRule="auto"/>
        <w:tabs>
          <w:tab w:leader="none" w:pos="98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Holder hereby exercises its right purchase ____________ shares of the Common Stock of 1DEBIT, INC.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in accordance with the attached Warrant To Purchase Common Stock, and tenders payment of the aggregate Warrant Price for such shares as follows:</w:t>
      </w:r>
    </w:p>
    <w:p>
      <w:pPr>
        <w:spacing w:after="0" w:line="118"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check in the amount of $_________ payable to order of the Company enclosed herewith</w:t>
            </w:r>
          </w:p>
        </w:tc>
      </w:tr>
      <w:tr>
        <w:trPr>
          <w:trHeight w:val="405"/>
        </w:trPr>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Wire transfer of immediately available funds to the Company’s account</w:t>
            </w:r>
          </w:p>
        </w:tc>
      </w:tr>
      <w:tr>
        <w:trPr>
          <w:trHeight w:val="392"/>
        </w:trPr>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Cashless Exercise pursuant to Section 1.2 of the Warrant</w:t>
            </w:r>
          </w:p>
        </w:tc>
      </w:tr>
      <w:tr>
        <w:trPr>
          <w:trHeight w:val="392"/>
        </w:trPr>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[Describe] ____________________________________________</w:t>
            </w:r>
          </w:p>
        </w:tc>
      </w:tr>
    </w:tbl>
    <w:p>
      <w:pPr>
        <w:spacing w:after="0" w:line="171" w:lineRule="exact"/>
        <w:rPr>
          <w:sz w:val="20"/>
          <w:szCs w:val="20"/>
          <w:color w:val="auto"/>
        </w:rPr>
      </w:pPr>
    </w:p>
    <w:p>
      <w:pPr>
        <w:ind w:left="3260" w:right="3720" w:hanging="2604"/>
        <w:spacing w:after="0" w:line="939" w:lineRule="auto"/>
        <w:tabs>
          <w:tab w:leader="none" w:pos="978"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a certificate or certificates representing the Shares in the name specified below: 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217805</wp:posOffset>
            </wp:positionV>
            <wp:extent cx="335153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351530" cy="8255"/>
                    </a:xfrm>
                    <a:prstGeom prst="rect">
                      <a:avLst/>
                    </a:prstGeom>
                    <a:noFill/>
                  </pic:spPr>
                </pic:pic>
              </a:graphicData>
            </a:graphic>
          </wp:anchor>
        </w:drawing>
        <w:drawing>
          <wp:anchor simplePos="0" relativeHeight="251657728" behindDoc="1" locked="0" layoutInCell="0" allowOverlap="1">
            <wp:simplePos x="0" y="0"/>
            <wp:positionH relativeFrom="column">
              <wp:posOffset>1642110</wp:posOffset>
            </wp:positionH>
            <wp:positionV relativeFrom="paragraph">
              <wp:posOffset>-55880</wp:posOffset>
            </wp:positionV>
            <wp:extent cx="335153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351530" cy="8255"/>
                    </a:xfrm>
                    <a:prstGeom prst="rect">
                      <a:avLst/>
                    </a:prstGeom>
                    <a:noFill/>
                  </pic:spPr>
                </pic:pic>
              </a:graphicData>
            </a:graphic>
          </wp:anchor>
        </w:drawing>
        <w:drawing>
          <wp:anchor simplePos="0" relativeHeight="251657728" behindDoc="1" locked="0" layoutInCell="0" allowOverlap="1">
            <wp:simplePos x="0" y="0"/>
            <wp:positionH relativeFrom="column">
              <wp:posOffset>1642110</wp:posOffset>
            </wp:positionH>
            <wp:positionV relativeFrom="paragraph">
              <wp:posOffset>-544830</wp:posOffset>
            </wp:positionV>
            <wp:extent cx="335153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4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(Address)</w:t>
      </w:r>
    </w:p>
    <w:p>
      <w:pPr>
        <w:spacing w:after="0" w:line="306" w:lineRule="exact"/>
        <w:rPr>
          <w:sz w:val="20"/>
          <w:szCs w:val="20"/>
          <w:color w:val="auto"/>
        </w:rPr>
      </w:pPr>
    </w:p>
    <w:p>
      <w:pPr>
        <w:ind w:right="120" w:firstLine="656"/>
        <w:spacing w:after="0" w:line="282" w:lineRule="auto"/>
        <w:tabs>
          <w:tab w:leader="none" w:pos="963"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its execution below and for the benefit of the Company, Holder hereby restates each of the representations and warranties in Section 4 of the Warrant to Purchase Common Stock as of the date hereof.</w:t>
      </w:r>
    </w:p>
    <w:p>
      <w:pPr>
        <w:spacing w:after="0" w:line="17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240030</wp:posOffset>
            </wp:positionV>
            <wp:extent cx="18084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34290</wp:posOffset>
            </wp:positionV>
            <wp:extent cx="218567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185670" cy="8890"/>
                    </a:xfrm>
                    <a:prstGeom prst="rect">
                      <a:avLst/>
                    </a:prstGeom>
                    <a:noFill/>
                  </pic:spPr>
                </pic:pic>
              </a:graphicData>
            </a:graphic>
          </wp:anchor>
        </w:drawing>
      </w:r>
    </w:p>
    <w:p>
      <w:pPr>
        <w:spacing w:after="0" w:line="20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34290</wp:posOffset>
            </wp:positionV>
            <wp:extent cx="197167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spacing w:after="0" w:line="20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34290</wp:posOffset>
            </wp:positionV>
            <wp:extent cx="206565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205"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34290</wp:posOffset>
            </wp:positionV>
            <wp:extent cx="191135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31" w:name="page432"/>
    <w:bookmarkEnd w:id="431"/>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Company Capitalization Table</w:t>
      </w:r>
    </w:p>
    <w:p>
      <w:pPr>
        <w:sectPr>
          <w:pgSz w:w="11900" w:h="16838" w:orient="portrait"/>
          <w:cols w:equalWidth="0" w:num="1">
            <w:col w:w="9019"/>
          </w:cols>
          <w:pgMar w:left="1440" w:top="124" w:right="1440" w:bottom="1440" w:gutter="0" w:footer="0" w:header="0"/>
        </w:sectPr>
      </w:pPr>
    </w:p>
    <w:bookmarkStart w:id="432" w:name="page433"/>
    <w:bookmarkEnd w:id="432"/>
    <w:p>
      <w:pPr>
        <w:jc w:val="right"/>
        <w:spacing w:after="0"/>
        <w:rPr>
          <w:sz w:val="20"/>
          <w:szCs w:val="20"/>
          <w:color w:val="auto"/>
        </w:rPr>
      </w:pPr>
      <w:r>
        <w:rPr>
          <w:rFonts w:ascii="Times New Roman" w:cs="Times New Roman" w:eastAsia="Times New Roman" w:hAnsi="Times New Roman"/>
          <w:sz w:val="18"/>
          <w:szCs w:val="18"/>
          <w:b w:val="1"/>
          <w:bCs w:val="1"/>
          <w:color w:val="auto"/>
        </w:rPr>
        <w:t>Exhibit 10.12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15"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16"/>
          <w:szCs w:val="16"/>
          <w:b w:val="1"/>
          <w:bCs w:val="1"/>
          <w:color w:val="auto"/>
        </w:rPr>
        <w:t>CERTAIN INFORMATION IN THIS EXHIBIT HAS BEEN REDACTED BECAUSE IT IS BOTH (I) NOT MATERIAL AND (II) INFORMATION THAT THE REGISTRANT TREATS AS PRIVATE OR CONFIDENTIAL. [***] INDICATES THAT INFORMATION HAS BEEN REDACTED.</w:t>
      </w:r>
    </w:p>
    <w:p>
      <w:pPr>
        <w:spacing w:after="0" w:line="1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MASTER SERVICES AGREEMENT</w:t>
      </w:r>
    </w:p>
    <w:p>
      <w:pPr>
        <w:spacing w:after="0" w:line="193"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2"/>
          <w:szCs w:val="22"/>
          <w:color w:val="auto"/>
        </w:rPr>
        <w:t>This MASTER SERVICES AGREEMENT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dated June 9, 2023, and effective as of July 1, 2023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xml:space="preserve">”) is by and between </w:t>
      </w:r>
      <w:r>
        <w:rPr>
          <w:rFonts w:ascii="Times New Roman" w:cs="Times New Roman" w:eastAsia="Times New Roman" w:hAnsi="Times New Roman"/>
          <w:sz w:val="22"/>
          <w:szCs w:val="22"/>
          <w:b w:val="1"/>
          <w:bCs w:val="1"/>
          <w:color w:val="auto"/>
        </w:rPr>
        <w:t>Chime Financial, Inc.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Client</w:t>
      </w:r>
      <w:r>
        <w:rPr>
          <w:rFonts w:ascii="Times New Roman" w:cs="Times New Roman" w:eastAsia="Times New Roman" w:hAnsi="Times New Roman"/>
          <w:sz w:val="22"/>
          <w:szCs w:val="22"/>
          <w:color w:val="auto"/>
        </w:rPr>
        <w:t xml:space="preserve">”), whose principal office is located at 101 California, #500, San Francisco CA 94111 and </w:t>
      </w:r>
      <w:r>
        <w:rPr>
          <w:rFonts w:ascii="Times New Roman" w:cs="Times New Roman" w:eastAsia="Times New Roman" w:hAnsi="Times New Roman"/>
          <w:sz w:val="22"/>
          <w:szCs w:val="22"/>
          <w:b w:val="1"/>
          <w:bCs w:val="1"/>
          <w:color w:val="auto"/>
        </w:rPr>
        <w:t>The Bancorp Bank, N.A.</w:t>
      </w:r>
      <w:r>
        <w:rPr>
          <w:rFonts w:ascii="Times New Roman" w:cs="Times New Roman" w:eastAsia="Times New Roman" w:hAnsi="Times New Roman"/>
          <w:sz w:val="22"/>
          <w:szCs w:val="22"/>
          <w:color w:val="auto"/>
        </w:rPr>
        <w:t xml:space="preserve"> (the “Bank”) a nationally chartered bank with its principal offices at 6100 S. Old Village Place, Sioux Falls, South Dakota 57108. Client and Bank are collectively referred to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 and are individually referred to as a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24" w:lineRule="exact"/>
        <w:rPr>
          <w:sz w:val="20"/>
          <w:szCs w:val="20"/>
          <w:color w:val="auto"/>
        </w:rPr>
      </w:pPr>
    </w:p>
    <w:p>
      <w:pPr>
        <w:jc w:val="both"/>
        <w:ind w:left="660" w:hanging="652"/>
        <w:spacing w:after="0" w:line="263" w:lineRule="auto"/>
        <w:tabs>
          <w:tab w:leader="none" w:pos="617"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 is a nationally-chartered bank which intends to offer Programs and perform other activities as set forth in this Agreement. Bank and any of its successors, subsidiaries, and assigns are collectively referred to as “</w:t>
      </w:r>
      <w:r>
        <w:rPr>
          <w:rFonts w:ascii="Times New Roman" w:cs="Times New Roman" w:eastAsia="Times New Roman" w:hAnsi="Times New Roman"/>
          <w:sz w:val="22"/>
          <w:szCs w:val="22"/>
          <w:b w:val="1"/>
          <w:bCs w:val="1"/>
          <w:color w:val="auto"/>
        </w:rPr>
        <w:t>Bank</w:t>
      </w:r>
      <w:r>
        <w:rPr>
          <w:rFonts w:ascii="Times New Roman" w:cs="Times New Roman" w:eastAsia="Times New Roman" w:hAnsi="Times New Roman"/>
          <w:sz w:val="22"/>
          <w:szCs w:val="22"/>
          <w:color w:val="auto"/>
        </w:rPr>
        <w:t>” throughout this Agreement.</w:t>
      </w:r>
    </w:p>
    <w:p>
      <w:pPr>
        <w:spacing w:after="0" w:line="167" w:lineRule="exact"/>
        <w:rPr>
          <w:rFonts w:ascii="Times New Roman" w:cs="Times New Roman" w:eastAsia="Times New Roman" w:hAnsi="Times New Roman"/>
          <w:sz w:val="22"/>
          <w:szCs w:val="22"/>
          <w:color w:val="auto"/>
        </w:rPr>
      </w:pPr>
    </w:p>
    <w:p>
      <w:pPr>
        <w:ind w:left="660" w:right="20" w:hanging="652"/>
        <w:spacing w:after="0" w:line="271" w:lineRule="auto"/>
        <w:tabs>
          <w:tab w:leader="none" w:pos="522"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Client is in the business of developing, marketing, and servicing consumer relationships, including relationships involving consumer banking and payment services.</w:t>
      </w:r>
    </w:p>
    <w:p>
      <w:pPr>
        <w:spacing w:after="0" w:line="157" w:lineRule="exact"/>
        <w:rPr>
          <w:rFonts w:ascii="Times New Roman" w:cs="Times New Roman" w:eastAsia="Times New Roman" w:hAnsi="Times New Roman"/>
          <w:sz w:val="22"/>
          <w:szCs w:val="22"/>
          <w:color w:val="auto"/>
        </w:rPr>
      </w:pPr>
    </w:p>
    <w:p>
      <w:pPr>
        <w:ind w:left="660" w:hanging="652"/>
        <w:spacing w:after="0" w:line="284" w:lineRule="auto"/>
        <w:tabs>
          <w:tab w:leader="none" w:pos="478"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 desires to (i) retain Client to continue to provide certain marketing and program management services, (ii) have Client market Programs, issued by Bank in accordance with this Agreement.</w:t>
      </w:r>
    </w:p>
    <w:p>
      <w:pPr>
        <w:spacing w:after="0" w:line="143" w:lineRule="exact"/>
        <w:rPr>
          <w:rFonts w:ascii="Times New Roman" w:cs="Times New Roman" w:eastAsia="Times New Roman" w:hAnsi="Times New Roman"/>
          <w:sz w:val="22"/>
          <w:szCs w:val="22"/>
          <w:color w:val="auto"/>
        </w:rPr>
      </w:pPr>
    </w:p>
    <w:p>
      <w:pPr>
        <w:ind w:left="660" w:hanging="652"/>
        <w:spacing w:after="0" w:line="271" w:lineRule="auto"/>
        <w:tabs>
          <w:tab w:leader="none" w:pos="523"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Client desires to continue to provide its marketing services to Bank and to serve as the Bank’s limited agent solely for the purposes of marketing and servicing the Bank’s Programs to Client’s Customers and in accordance herewith.</w:t>
      </w:r>
    </w:p>
    <w:p>
      <w:pPr>
        <w:spacing w:after="0" w:line="157" w:lineRule="exact"/>
        <w:rPr>
          <w:rFonts w:ascii="Times New Roman" w:cs="Times New Roman" w:eastAsia="Times New Roman" w:hAnsi="Times New Roman"/>
          <w:sz w:val="22"/>
          <w:szCs w:val="22"/>
          <w:color w:val="auto"/>
        </w:rPr>
      </w:pPr>
    </w:p>
    <w:p>
      <w:pPr>
        <w:ind w:left="660" w:hanging="652"/>
        <w:spacing w:after="0" w:line="257" w:lineRule="auto"/>
        <w:tabs>
          <w:tab w:leader="none" w:pos="505"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 and Client are parties to the Amended and Restated Private Label Account Program Services Agreement dated on or about February 16, 2020, as amended (“</w:t>
      </w:r>
      <w:r>
        <w:rPr>
          <w:rFonts w:ascii="Times New Roman" w:cs="Times New Roman" w:eastAsia="Times New Roman" w:hAnsi="Times New Roman"/>
          <w:sz w:val="22"/>
          <w:szCs w:val="22"/>
          <w:b w:val="1"/>
          <w:bCs w:val="1"/>
          <w:color w:val="auto"/>
        </w:rPr>
        <w:t>Prior Agreement</w:t>
      </w:r>
      <w:r>
        <w:rPr>
          <w:rFonts w:ascii="Times New Roman" w:cs="Times New Roman" w:eastAsia="Times New Roman" w:hAnsi="Times New Roman"/>
          <w:sz w:val="22"/>
          <w:szCs w:val="22"/>
          <w:color w:val="auto"/>
        </w:rPr>
        <w:t>”). Bank and Parties desire to amend and restate the Prior Agreement in its entirety, together with all amendments thereto.</w:t>
      </w:r>
    </w:p>
    <w:p>
      <w:pPr>
        <w:spacing w:after="0" w:line="186" w:lineRule="exact"/>
        <w:rPr>
          <w:rFonts w:ascii="Times New Roman" w:cs="Times New Roman" w:eastAsia="Times New Roman" w:hAnsi="Times New Roman"/>
          <w:sz w:val="22"/>
          <w:szCs w:val="22"/>
          <w:color w:val="auto"/>
        </w:rPr>
      </w:pPr>
    </w:p>
    <w:p>
      <w:pPr>
        <w:ind w:left="660" w:hanging="652"/>
        <w:spacing w:after="0" w:line="271" w:lineRule="auto"/>
        <w:tabs>
          <w:tab w:leader="none" w:pos="547"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 and Client are entering into this Agreement to document the terms and conditions applicable to the development, marketing, and servicing of new and existing Financial Products and Services.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TERMS OF AGREEMENT</w:t>
      </w:r>
    </w:p>
    <w:p>
      <w:pPr>
        <w:spacing w:after="0" w:line="220"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covenants and conditions hereinafter set forth, the Parties hereto,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intending to be legally bound, agree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Master Services Agreement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AND PROPRIETARY</w:t>
      </w:r>
    </w:p>
    <w:p>
      <w:pPr>
        <w:sectPr>
          <w:pgSz w:w="11900" w:h="16838" w:orient="portrait"/>
          <w:cols w:equalWidth="0" w:num="1">
            <w:col w:w="11240"/>
          </w:cols>
          <w:pgMar w:left="320" w:top="117" w:right="339" w:bottom="1440" w:gutter="0" w:footer="0" w:header="0"/>
        </w:sectPr>
      </w:pPr>
    </w:p>
    <w:bookmarkStart w:id="433" w:name="page434"/>
    <w:bookmarkEnd w:id="433"/>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 w:hanging="372"/>
        <w:spacing w:after="0"/>
        <w:tabs>
          <w:tab w:leader="none" w:pos="380" w:val="left"/>
        </w:tabs>
        <w:numPr>
          <w:ilvl w:val="0"/>
          <w:numId w:val="2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CERTAIN DEFINITIONS.</w:t>
      </w:r>
    </w:p>
    <w:p>
      <w:pPr>
        <w:spacing w:after="0" w:line="21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Except as otherwise specifically indicated, the following terms shall have the following meanings in this Agreement (such meanings to be equally applicable to both the singular and plural forms of the terms defined):</w:t>
      </w:r>
    </w:p>
    <w:p>
      <w:pPr>
        <w:spacing w:after="0" w:line="140" w:lineRule="exact"/>
        <w:rPr>
          <w:sz w:val="20"/>
          <w:szCs w:val="20"/>
          <w:color w:val="auto"/>
        </w:rPr>
      </w:pPr>
    </w:p>
    <w:p>
      <w:pPr>
        <w:ind w:left="1120" w:hanging="464"/>
        <w:spacing w:after="0"/>
        <w:tabs>
          <w:tab w:leader="none" w:pos="1120"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ACH</w:t>
      </w:r>
      <w:r>
        <w:rPr>
          <w:rFonts w:ascii="Times New Roman" w:cs="Times New Roman" w:eastAsia="Times New Roman" w:hAnsi="Times New Roman"/>
          <w:sz w:val="22"/>
          <w:szCs w:val="22"/>
          <w:color w:val="auto"/>
        </w:rPr>
        <w:t>” means the Automated Clearing House network.</w:t>
      </w:r>
    </w:p>
    <w:p>
      <w:pPr>
        <w:spacing w:after="0" w:line="219" w:lineRule="exact"/>
        <w:rPr>
          <w:rFonts w:ascii="Times New Roman" w:cs="Times New Roman" w:eastAsia="Times New Roman" w:hAnsi="Times New Roman"/>
          <w:sz w:val="22"/>
          <w:szCs w:val="22"/>
          <w:color w:val="auto"/>
        </w:rPr>
      </w:pPr>
    </w:p>
    <w:p>
      <w:pPr>
        <w:ind w:firstLine="656"/>
        <w:spacing w:after="0" w:line="262" w:lineRule="auto"/>
        <w:tabs>
          <w:tab w:leader="none" w:pos="1143"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Account</w:t>
      </w:r>
      <w:r>
        <w:rPr>
          <w:rFonts w:ascii="Times New Roman" w:cs="Times New Roman" w:eastAsia="Times New Roman" w:hAnsi="Times New Roman"/>
          <w:sz w:val="22"/>
          <w:szCs w:val="22"/>
          <w:color w:val="auto"/>
        </w:rPr>
        <w:t>” means a demand deposit account, savings account, credit card account and/or a loan account originated by Bank on behalf of a Customer.</w:t>
      </w:r>
    </w:p>
    <w:p>
      <w:pPr>
        <w:spacing w:after="0" w:line="149" w:lineRule="exact"/>
        <w:rPr>
          <w:rFonts w:ascii="Times New Roman" w:cs="Times New Roman" w:eastAsia="Times New Roman" w:hAnsi="Times New Roman"/>
          <w:sz w:val="22"/>
          <w:szCs w:val="22"/>
          <w:color w:val="auto"/>
        </w:rPr>
      </w:pPr>
    </w:p>
    <w:p>
      <w:pPr>
        <w:jc w:val="both"/>
        <w:ind w:firstLine="656"/>
        <w:spacing w:after="0" w:line="252" w:lineRule="auto"/>
        <w:tabs>
          <w:tab w:leader="none" w:pos="1266"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Account Agreement</w:t>
      </w:r>
      <w:r>
        <w:rPr>
          <w:rFonts w:ascii="Times New Roman" w:cs="Times New Roman" w:eastAsia="Times New Roman" w:hAnsi="Times New Roman"/>
          <w:sz w:val="22"/>
          <w:szCs w:val="22"/>
          <w:color w:val="auto"/>
        </w:rPr>
        <w:t>” means the contract setting forth the terms and conditions applicable to the consumer Accounts as between the Bank and a Customer, including all disclosures required by law as well as the terms and conditions applicable to the Card issued in connection therewith.</w:t>
      </w:r>
    </w:p>
    <w:p>
      <w:pPr>
        <w:spacing w:after="0" w:line="175" w:lineRule="exact"/>
        <w:rPr>
          <w:rFonts w:ascii="Times New Roman" w:cs="Times New Roman" w:eastAsia="Times New Roman" w:hAnsi="Times New Roman"/>
          <w:sz w:val="22"/>
          <w:szCs w:val="22"/>
          <w:color w:val="auto"/>
        </w:rPr>
      </w:pPr>
    </w:p>
    <w:p>
      <w:pPr>
        <w:ind w:right="20" w:firstLine="656"/>
        <w:spacing w:after="0" w:line="262" w:lineRule="auto"/>
        <w:tabs>
          <w:tab w:leader="none" w:pos="1170"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Account Income</w:t>
      </w:r>
      <w:r>
        <w:rPr>
          <w:rFonts w:ascii="Times New Roman" w:cs="Times New Roman" w:eastAsia="Times New Roman" w:hAnsi="Times New Roman"/>
          <w:sz w:val="22"/>
          <w:szCs w:val="22"/>
          <w:color w:val="auto"/>
        </w:rPr>
        <w:t>” means all fee revenue received from a Customer including but not limited to transaction fees, balance inquiry fees, Card fees, or other fees as specified in the Account Agreement.</w:t>
      </w:r>
    </w:p>
    <w:p>
      <w:pPr>
        <w:spacing w:after="0" w:line="149" w:lineRule="exact"/>
        <w:rPr>
          <w:rFonts w:ascii="Times New Roman" w:cs="Times New Roman" w:eastAsia="Times New Roman" w:hAnsi="Times New Roman"/>
          <w:sz w:val="22"/>
          <w:szCs w:val="22"/>
          <w:color w:val="auto"/>
        </w:rPr>
      </w:pPr>
    </w:p>
    <w:p>
      <w:pPr>
        <w:ind w:firstLine="656"/>
        <w:spacing w:after="0" w:line="299" w:lineRule="auto"/>
        <w:tabs>
          <w:tab w:leader="none" w:pos="1131" w:val="left"/>
        </w:tabs>
        <w:numPr>
          <w:ilvl w:val="0"/>
          <w:numId w:val="2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Addendum</w:t>
      </w:r>
      <w:r>
        <w:rPr>
          <w:rFonts w:ascii="Times New Roman" w:cs="Times New Roman" w:eastAsia="Times New Roman" w:hAnsi="Times New Roman"/>
          <w:sz w:val="21"/>
          <w:szCs w:val="21"/>
          <w:color w:val="auto"/>
        </w:rPr>
        <w:t>” means added terms to this Agreement governing specific terms of various Programs or product types subject to this Agreement. For avoidance of doubt, any reference to “Agreement” shall include any applicable Addendums.</w:t>
      </w:r>
    </w:p>
    <w:p>
      <w:pPr>
        <w:spacing w:after="0" w:line="113" w:lineRule="exact"/>
        <w:rPr>
          <w:rFonts w:ascii="Times New Roman" w:cs="Times New Roman" w:eastAsia="Times New Roman" w:hAnsi="Times New Roman"/>
          <w:sz w:val="21"/>
          <w:szCs w:val="21"/>
          <w:color w:val="auto"/>
        </w:rPr>
      </w:pPr>
    </w:p>
    <w:p>
      <w:pPr>
        <w:jc w:val="both"/>
        <w:ind w:firstLine="656"/>
        <w:spacing w:after="0" w:line="244" w:lineRule="auto"/>
        <w:tabs>
          <w:tab w:leader="none" w:pos="1107"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means, with respect to any Person, each Person who directly or indirectly controls, is controlled by or is under common control with a Party. For the purpose of this definition, the term “control” (including with correlative meanings, the terms controlling, controlled by and under common control with) means the power to direct the management or policies of such Person or Party, directly or indirectly, through the ownership of twenty-five percent (25%) or more of a class of voting securities, by contract or otherwise.</w:t>
      </w:r>
    </w:p>
    <w:p>
      <w:pPr>
        <w:spacing w:after="0" w:line="172" w:lineRule="exact"/>
        <w:rPr>
          <w:rFonts w:ascii="Times New Roman" w:cs="Times New Roman" w:eastAsia="Times New Roman" w:hAnsi="Times New Roman"/>
          <w:sz w:val="22"/>
          <w:szCs w:val="22"/>
          <w:color w:val="auto"/>
        </w:rPr>
      </w:pPr>
    </w:p>
    <w:p>
      <w:pPr>
        <w:jc w:val="both"/>
        <w:ind w:firstLine="656"/>
        <w:spacing w:after="0" w:line="239" w:lineRule="auto"/>
        <w:tabs>
          <w:tab w:leader="none" w:pos="1143"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Applicable Law</w:t>
      </w:r>
      <w:r>
        <w:rPr>
          <w:rFonts w:ascii="Times New Roman" w:cs="Times New Roman" w:eastAsia="Times New Roman" w:hAnsi="Times New Roman"/>
          <w:sz w:val="22"/>
          <w:szCs w:val="22"/>
          <w:color w:val="auto"/>
        </w:rPr>
        <w:t>” means, to the extent applicable to a Party, a particular Program, or made applicable by virtue of this Agreement, (i) Consumer Protection Laws, (ii) Data Security and Privacy Laws, (iii) the Rules, (iv) any order issued by a court having jurisdiction over a Party (v) any applicable international, federal, state, or local law, including without limitation, the Bank Secrecy Act and its implementing regulations including, 31 CFR 1022.210, 31 CFR 1022.320, 31CFR 1022.420, any and all sanctions or regulations enforced by OFAC, and statutes or regulations of any state relating to card issuance, money transmission or unclaimed property, that are applicable to the marketing, issuance, sale, authorization or usage of the Cards (including, but not limited to, Title IV of the Credit Card Accountability Responsibility and Disclosure Act of 2009, Section 920 of the Electronic Fund Transfer Act, as amended, and the Prepaid Access Rule), and (vi) any other regulation, rule, supervisory guidance, directive, or interpretation promulgated or published by a Regulatory Authority.</w:t>
      </w:r>
    </w:p>
    <w:p>
      <w:pPr>
        <w:spacing w:after="0" w:line="189" w:lineRule="exact"/>
        <w:rPr>
          <w:rFonts w:ascii="Times New Roman" w:cs="Times New Roman" w:eastAsia="Times New Roman" w:hAnsi="Times New Roman"/>
          <w:sz w:val="22"/>
          <w:szCs w:val="22"/>
          <w:color w:val="auto"/>
        </w:rPr>
      </w:pPr>
    </w:p>
    <w:p>
      <w:pPr>
        <w:ind w:firstLine="656"/>
        <w:spacing w:after="0" w:line="262" w:lineRule="auto"/>
        <w:tabs>
          <w:tab w:leader="none" w:pos="1197"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Asset Based Program</w:t>
      </w:r>
      <w:r>
        <w:rPr>
          <w:rFonts w:ascii="Times New Roman" w:cs="Times New Roman" w:eastAsia="Times New Roman" w:hAnsi="Times New Roman"/>
          <w:sz w:val="22"/>
          <w:szCs w:val="22"/>
          <w:color w:val="auto"/>
        </w:rPr>
        <w:t>” means any Program offered pursuant to a Program Addendum and applicable Program Authorization Letter which involves the Bank extending credit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Master Services Agreement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AND PROPRIETARY</w:t>
      </w:r>
    </w:p>
    <w:p>
      <w:pPr>
        <w:sectPr>
          <w:pgSz w:w="11900" w:h="16838" w:orient="portrait"/>
          <w:cols w:equalWidth="0" w:num="1">
            <w:col w:w="11240"/>
          </w:cols>
          <w:pgMar w:left="320" w:top="124" w:right="339" w:bottom="1440" w:gutter="0" w:footer="0" w:header="0"/>
        </w:sectPr>
      </w:pPr>
    </w:p>
    <w:bookmarkStart w:id="434" w:name="page435"/>
    <w:bookmarkEnd w:id="434"/>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or other liquidity and holding such credit or other liquidity on its balance sheet, which may include credit card accounts, loan accounts, and overdraft or similar programs.</w:t>
      </w:r>
    </w:p>
    <w:p>
      <w:pPr>
        <w:spacing w:after="0" w:line="154" w:lineRule="exact"/>
        <w:rPr>
          <w:sz w:val="20"/>
          <w:szCs w:val="20"/>
          <w:color w:val="auto"/>
        </w:rPr>
      </w:pPr>
    </w:p>
    <w:p>
      <w:pPr>
        <w:ind w:left="1080" w:hanging="424"/>
        <w:spacing w:after="0"/>
        <w:tabs>
          <w:tab w:leader="none" w:pos="1080"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Bank Fees and Assessments</w:t>
      </w:r>
      <w:r>
        <w:rPr>
          <w:rFonts w:ascii="Times New Roman" w:cs="Times New Roman" w:eastAsia="Times New Roman" w:hAnsi="Times New Roman"/>
          <w:sz w:val="22"/>
          <w:szCs w:val="22"/>
          <w:color w:val="auto"/>
        </w:rPr>
        <w:t>” has the meaning set forth in in an Exhibit to the applicable Addendum.</w:t>
      </w:r>
    </w:p>
    <w:p>
      <w:pPr>
        <w:spacing w:after="0" w:line="233"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Bank Transaction Fees</w:t>
      </w:r>
      <w:r>
        <w:rPr>
          <w:rFonts w:ascii="Times New Roman" w:cs="Times New Roman" w:eastAsia="Times New Roman" w:hAnsi="Times New Roman"/>
          <w:sz w:val="22"/>
          <w:szCs w:val="22"/>
          <w:color w:val="auto"/>
        </w:rPr>
        <w:t>” has the meaning set forth in an Exhibit to the applicable Addendum.</w:t>
      </w:r>
    </w:p>
    <w:p>
      <w:pPr>
        <w:spacing w:after="0" w:line="219"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 means Monday through Friday, excluding federal holidays.</w:t>
      </w:r>
    </w:p>
    <w:p>
      <w:pPr>
        <w:spacing w:after="0" w:line="219" w:lineRule="exact"/>
        <w:rPr>
          <w:rFonts w:ascii="Times New Roman" w:cs="Times New Roman" w:eastAsia="Times New Roman" w:hAnsi="Times New Roman"/>
          <w:sz w:val="22"/>
          <w:szCs w:val="22"/>
          <w:color w:val="auto"/>
        </w:rPr>
      </w:pPr>
    </w:p>
    <w:p>
      <w:pPr>
        <w:ind w:right="20" w:firstLine="656"/>
        <w:spacing w:after="0" w:line="299" w:lineRule="auto"/>
        <w:tabs>
          <w:tab w:leader="none" w:pos="1095" w:val="left"/>
        </w:tabs>
        <w:numPr>
          <w:ilvl w:val="0"/>
          <w:numId w:val="2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Card</w:t>
      </w:r>
      <w:r>
        <w:rPr>
          <w:rFonts w:ascii="Times New Roman" w:cs="Times New Roman" w:eastAsia="Times New Roman" w:hAnsi="Times New Roman"/>
          <w:sz w:val="21"/>
          <w:szCs w:val="21"/>
          <w:color w:val="auto"/>
        </w:rPr>
        <w:t>” means any access device issued and/or sold by Bank to a Customer pursuant to the Prior Agreement or this Agreement, used for the purchase of goods and services by accessing the available balance in an Account through a Network.</w:t>
      </w:r>
    </w:p>
    <w:p>
      <w:pPr>
        <w:spacing w:after="0" w:line="127" w:lineRule="exact"/>
        <w:rPr>
          <w:rFonts w:ascii="Times New Roman" w:cs="Times New Roman" w:eastAsia="Times New Roman" w:hAnsi="Times New Roman"/>
          <w:sz w:val="21"/>
          <w:szCs w:val="21"/>
          <w:color w:val="auto"/>
        </w:rPr>
      </w:pPr>
    </w:p>
    <w:p>
      <w:pPr>
        <w:jc w:val="both"/>
        <w:ind w:firstLine="656"/>
        <w:spacing w:after="0" w:line="265" w:lineRule="auto"/>
        <w:tabs>
          <w:tab w:leader="none" w:pos="1203"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Client Funded Asset Account</w:t>
      </w:r>
      <w:r>
        <w:rPr>
          <w:rFonts w:ascii="Times New Roman" w:cs="Times New Roman" w:eastAsia="Times New Roman" w:hAnsi="Times New Roman"/>
          <w:sz w:val="22"/>
          <w:szCs w:val="22"/>
          <w:color w:val="auto"/>
        </w:rPr>
        <w:t>” means the balance of any funds held in a Negative Balance Funding Account (as defined in an applicable Addendum) or an account which is used as collateral against Accounts originated pursuant to an Asset Based Program, or as further set forth in Exhibit A of this Agreement.</w:t>
      </w:r>
    </w:p>
    <w:p>
      <w:pPr>
        <w:spacing w:after="0" w:line="161" w:lineRule="exact"/>
        <w:rPr>
          <w:rFonts w:ascii="Times New Roman" w:cs="Times New Roman" w:eastAsia="Times New Roman" w:hAnsi="Times New Roman"/>
          <w:sz w:val="22"/>
          <w:szCs w:val="22"/>
          <w:color w:val="auto"/>
        </w:rPr>
      </w:pPr>
    </w:p>
    <w:p>
      <w:pPr>
        <w:ind w:firstLine="656"/>
        <w:spacing w:after="0" w:line="275" w:lineRule="auto"/>
        <w:tabs>
          <w:tab w:leader="none" w:pos="1210"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Consumer Protection Laws</w:t>
      </w:r>
      <w:r>
        <w:rPr>
          <w:rFonts w:ascii="Times New Roman" w:cs="Times New Roman" w:eastAsia="Times New Roman" w:hAnsi="Times New Roman"/>
          <w:sz w:val="22"/>
          <w:szCs w:val="22"/>
          <w:color w:val="auto"/>
        </w:rPr>
        <w:t>” means the laws applicable to a Consumer for each Financial Product or Service established primarily for personal, family, or household purposes.</w:t>
      </w:r>
    </w:p>
    <w:p>
      <w:pPr>
        <w:spacing w:after="0" w:line="149" w:lineRule="exact"/>
        <w:rPr>
          <w:rFonts w:ascii="Times New Roman" w:cs="Times New Roman" w:eastAsia="Times New Roman" w:hAnsi="Times New Roman"/>
          <w:sz w:val="22"/>
          <w:szCs w:val="22"/>
          <w:color w:val="auto"/>
        </w:rPr>
      </w:pPr>
    </w:p>
    <w:p>
      <w:pPr>
        <w:ind w:firstLine="656"/>
        <w:spacing w:after="0" w:line="275" w:lineRule="auto"/>
        <w:tabs>
          <w:tab w:leader="none" w:pos="1278"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Customer</w:t>
      </w:r>
      <w:r>
        <w:rPr>
          <w:rFonts w:ascii="Times New Roman" w:cs="Times New Roman" w:eastAsia="Times New Roman" w:hAnsi="Times New Roman"/>
          <w:sz w:val="22"/>
          <w:szCs w:val="22"/>
          <w:color w:val="auto"/>
        </w:rPr>
        <w:t>” means any person obtaining an Account under the Agreement pursuant to the Account-opening standards set forth in the Rules.</w:t>
      </w:r>
    </w:p>
    <w:p>
      <w:pPr>
        <w:spacing w:after="0" w:line="162" w:lineRule="exact"/>
        <w:rPr>
          <w:rFonts w:ascii="Times New Roman" w:cs="Times New Roman" w:eastAsia="Times New Roman" w:hAnsi="Times New Roman"/>
          <w:sz w:val="22"/>
          <w:szCs w:val="22"/>
          <w:color w:val="auto"/>
        </w:rPr>
      </w:pPr>
    </w:p>
    <w:p>
      <w:pPr>
        <w:ind w:firstLine="656"/>
        <w:spacing w:after="0" w:line="275" w:lineRule="auto"/>
        <w:tabs>
          <w:tab w:leader="none" w:pos="1210"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Customer Agreement</w:t>
      </w:r>
      <w:r>
        <w:rPr>
          <w:rFonts w:ascii="Times New Roman" w:cs="Times New Roman" w:eastAsia="Times New Roman" w:hAnsi="Times New Roman"/>
          <w:sz w:val="22"/>
          <w:szCs w:val="22"/>
          <w:color w:val="auto"/>
        </w:rPr>
        <w:t>” means the agreement between Bank and a Customer governing the terms and use of a Financial Product or Service.</w:t>
      </w:r>
    </w:p>
    <w:p>
      <w:pPr>
        <w:spacing w:after="0" w:line="149" w:lineRule="exact"/>
        <w:rPr>
          <w:rFonts w:ascii="Times New Roman" w:cs="Times New Roman" w:eastAsia="Times New Roman" w:hAnsi="Times New Roman"/>
          <w:sz w:val="22"/>
          <w:szCs w:val="22"/>
          <w:color w:val="auto"/>
        </w:rPr>
      </w:pPr>
    </w:p>
    <w:p>
      <w:pPr>
        <w:ind w:firstLine="656"/>
        <w:spacing w:after="0" w:line="299" w:lineRule="auto"/>
        <w:tabs>
          <w:tab w:leader="none" w:pos="1129" w:val="left"/>
        </w:tabs>
        <w:numPr>
          <w:ilvl w:val="0"/>
          <w:numId w:val="2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Customer Disclosures</w:t>
      </w:r>
      <w:r>
        <w:rPr>
          <w:rFonts w:ascii="Times New Roman" w:cs="Times New Roman" w:eastAsia="Times New Roman" w:hAnsi="Times New Roman"/>
          <w:sz w:val="21"/>
          <w:szCs w:val="21"/>
          <w:color w:val="auto"/>
        </w:rPr>
        <w:t>” means the Customer Agreement, Cards (to the extent applicable), and any other terms and conditions or disclosures required by Applicable Law for participation in a Program or using a Financial Product or Service.</w:t>
      </w:r>
    </w:p>
    <w:p>
      <w:pPr>
        <w:spacing w:after="0" w:line="127" w:lineRule="exact"/>
        <w:rPr>
          <w:rFonts w:ascii="Times New Roman" w:cs="Times New Roman" w:eastAsia="Times New Roman" w:hAnsi="Times New Roman"/>
          <w:sz w:val="21"/>
          <w:szCs w:val="21"/>
          <w:color w:val="auto"/>
        </w:rPr>
      </w:pPr>
    </w:p>
    <w:p>
      <w:pPr>
        <w:ind w:left="1080" w:hanging="424"/>
        <w:spacing w:after="0"/>
        <w:tabs>
          <w:tab w:leader="none" w:pos="1080"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Customer Funds</w:t>
      </w:r>
      <w:r>
        <w:rPr>
          <w:rFonts w:ascii="Times New Roman" w:cs="Times New Roman" w:eastAsia="Times New Roman" w:hAnsi="Times New Roman"/>
          <w:sz w:val="22"/>
          <w:szCs w:val="22"/>
          <w:color w:val="auto"/>
        </w:rPr>
        <w:t>” means the balance of funds held by Bank on behalf of a Customer.</w:t>
      </w:r>
    </w:p>
    <w:p>
      <w:pPr>
        <w:spacing w:after="0" w:line="233" w:lineRule="exact"/>
        <w:rPr>
          <w:rFonts w:ascii="Times New Roman" w:cs="Times New Roman" w:eastAsia="Times New Roman" w:hAnsi="Times New Roman"/>
          <w:sz w:val="22"/>
          <w:szCs w:val="22"/>
          <w:color w:val="auto"/>
        </w:rPr>
      </w:pPr>
    </w:p>
    <w:p>
      <w:pPr>
        <w:jc w:val="both"/>
        <w:ind w:firstLine="656"/>
        <w:spacing w:after="0" w:line="253" w:lineRule="auto"/>
        <w:tabs>
          <w:tab w:leader="none" w:pos="1227"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Data Security and Privacy Laws</w:t>
      </w:r>
      <w:r>
        <w:rPr>
          <w:rFonts w:ascii="Times New Roman" w:cs="Times New Roman" w:eastAsia="Times New Roman" w:hAnsi="Times New Roman"/>
          <w:sz w:val="22"/>
          <w:szCs w:val="22"/>
          <w:color w:val="auto"/>
        </w:rPr>
        <w:t>” means the federal banking agencies’ Interagency Guidelines Establishing Standards for Safeguarding Consumer Information and the Interagency Guidelines Establishing Information Security Standards, 12 CFR 1016 (Regulation P), any other applicable federal or state law regarding protection of Nonpublic Personal Information, and to the extent applicable, the General Data Protection Regulation (GDPR).</w:t>
      </w:r>
    </w:p>
    <w:p>
      <w:pPr>
        <w:spacing w:after="0" w:line="175"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Deposit</w:t>
      </w:r>
      <w:r>
        <w:rPr>
          <w:rFonts w:ascii="Times New Roman" w:cs="Times New Roman" w:eastAsia="Times New Roman" w:hAnsi="Times New Roman"/>
          <w:sz w:val="22"/>
          <w:szCs w:val="22"/>
          <w:color w:val="auto"/>
        </w:rPr>
        <w:t>” has the meaning set forth in Section 3(1) of the Federal Deposit Insurance Act, 12 U.S.C. § 1813(1).</w:t>
      </w:r>
    </w:p>
    <w:p>
      <w:pPr>
        <w:spacing w:after="0" w:line="233"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Deposit Amount</w:t>
      </w:r>
      <w:r>
        <w:rPr>
          <w:rFonts w:ascii="Times New Roman" w:cs="Times New Roman" w:eastAsia="Times New Roman" w:hAnsi="Times New Roman"/>
          <w:sz w:val="22"/>
          <w:szCs w:val="22"/>
          <w:color w:val="auto"/>
        </w:rPr>
        <w:t>” means the amount of funds a Customer deposits into an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Master Services Agreement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AND PROPRIETARY</w:t>
      </w:r>
    </w:p>
    <w:p>
      <w:pPr>
        <w:sectPr>
          <w:pgSz w:w="11900" w:h="16838" w:orient="portrait"/>
          <w:cols w:equalWidth="0" w:num="1">
            <w:col w:w="11240"/>
          </w:cols>
          <w:pgMar w:left="320" w:top="124" w:right="339" w:bottom="1440" w:gutter="0" w:footer="0" w:header="0"/>
        </w:sectPr>
      </w:pPr>
    </w:p>
    <w:bookmarkStart w:id="435" w:name="page436"/>
    <w:bookmarkEnd w:id="435"/>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firstLine="656"/>
        <w:spacing w:after="0" w:line="262" w:lineRule="auto"/>
        <w:tabs>
          <w:tab w:leader="none" w:pos="1170"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Deposit Network</w:t>
      </w:r>
      <w:r>
        <w:rPr>
          <w:rFonts w:ascii="Times New Roman" w:cs="Times New Roman" w:eastAsia="Times New Roman" w:hAnsi="Times New Roman"/>
          <w:sz w:val="22"/>
          <w:szCs w:val="22"/>
          <w:color w:val="auto"/>
        </w:rPr>
        <w:t>” means any third-party network approved by Bank and over which cash Deposits are accepted through a Processor and subsequently settled with the Bank.</w:t>
      </w:r>
    </w:p>
    <w:p>
      <w:pPr>
        <w:spacing w:after="0" w:line="163" w:lineRule="exact"/>
        <w:rPr>
          <w:rFonts w:ascii="Times New Roman" w:cs="Times New Roman" w:eastAsia="Times New Roman" w:hAnsi="Times New Roman"/>
          <w:sz w:val="22"/>
          <w:szCs w:val="22"/>
          <w:color w:val="auto"/>
        </w:rPr>
      </w:pPr>
    </w:p>
    <w:p>
      <w:pPr>
        <w:ind w:firstLine="656"/>
        <w:spacing w:after="0" w:line="262" w:lineRule="auto"/>
        <w:tabs>
          <w:tab w:leader="none" w:pos="1164"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Due Diligence</w:t>
      </w:r>
      <w:r>
        <w:rPr>
          <w:rFonts w:ascii="Times New Roman" w:cs="Times New Roman" w:eastAsia="Times New Roman" w:hAnsi="Times New Roman"/>
          <w:sz w:val="22"/>
          <w:szCs w:val="22"/>
          <w:color w:val="auto"/>
        </w:rPr>
        <w:t>” means the process of evaluating or auditing a Subcontractor or other third party in order to identify any potential risks of doing business with such entity.</w:t>
      </w:r>
    </w:p>
    <w:p>
      <w:pPr>
        <w:spacing w:after="0" w:line="163" w:lineRule="exact"/>
        <w:rPr>
          <w:rFonts w:ascii="Times New Roman" w:cs="Times New Roman" w:eastAsia="Times New Roman" w:hAnsi="Times New Roman"/>
          <w:sz w:val="22"/>
          <w:szCs w:val="22"/>
          <w:color w:val="auto"/>
        </w:rPr>
      </w:pPr>
    </w:p>
    <w:p>
      <w:pPr>
        <w:ind w:firstLine="656"/>
        <w:spacing w:after="0" w:line="262" w:lineRule="auto"/>
        <w:tabs>
          <w:tab w:leader="none" w:pos="1116"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Financial Products and Services</w:t>
      </w:r>
      <w:r>
        <w:rPr>
          <w:rFonts w:ascii="Times New Roman" w:cs="Times New Roman" w:eastAsia="Times New Roman" w:hAnsi="Times New Roman"/>
          <w:sz w:val="22"/>
          <w:szCs w:val="22"/>
          <w:color w:val="auto"/>
        </w:rPr>
        <w:t>” means the products or services offered by Bank and serviced by Client pursuant to this Agreement, as set forth in the applicable Addendum.</w:t>
      </w:r>
    </w:p>
    <w:p>
      <w:pPr>
        <w:spacing w:after="0" w:line="149" w:lineRule="exact"/>
        <w:rPr>
          <w:rFonts w:ascii="Times New Roman" w:cs="Times New Roman" w:eastAsia="Times New Roman" w:hAnsi="Times New Roman"/>
          <w:sz w:val="22"/>
          <w:szCs w:val="22"/>
          <w:color w:val="auto"/>
        </w:rPr>
      </w:pPr>
    </w:p>
    <w:p>
      <w:pPr>
        <w:jc w:val="both"/>
        <w:ind w:firstLine="656"/>
        <w:spacing w:after="0" w:line="252" w:lineRule="auto"/>
        <w:tabs>
          <w:tab w:leader="none" w:pos="1156"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Funding Failure</w:t>
      </w:r>
      <w:r>
        <w:rPr>
          <w:rFonts w:ascii="Times New Roman" w:cs="Times New Roman" w:eastAsia="Times New Roman" w:hAnsi="Times New Roman"/>
          <w:sz w:val="22"/>
          <w:szCs w:val="22"/>
          <w:color w:val="auto"/>
        </w:rPr>
        <w:t>” means the failure of a Deposit Amount to be effectively credited to any Program Account, for any reason, including but not limited to a lack of sufficient funds on deposit to cover the sum of the Deposits, an ACH reject, the failure of any Deposit Network to fund a Deposit or any other cause.</w:t>
      </w:r>
    </w:p>
    <w:p>
      <w:pPr>
        <w:spacing w:after="0" w:line="175" w:lineRule="exact"/>
        <w:rPr>
          <w:rFonts w:ascii="Times New Roman" w:cs="Times New Roman" w:eastAsia="Times New Roman" w:hAnsi="Times New Roman"/>
          <w:sz w:val="22"/>
          <w:szCs w:val="22"/>
          <w:color w:val="auto"/>
        </w:rPr>
      </w:pPr>
    </w:p>
    <w:p>
      <w:pPr>
        <w:ind w:firstLine="656"/>
        <w:spacing w:after="0" w:line="262" w:lineRule="auto"/>
        <w:tabs>
          <w:tab w:leader="none" w:pos="1171"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Graphic Standards</w:t>
      </w:r>
      <w:r>
        <w:rPr>
          <w:rFonts w:ascii="Times New Roman" w:cs="Times New Roman" w:eastAsia="Times New Roman" w:hAnsi="Times New Roman"/>
          <w:sz w:val="22"/>
          <w:szCs w:val="22"/>
          <w:color w:val="auto"/>
        </w:rPr>
        <w:t>” means all standards, policies, and other requirements adopted by a Network or Bank from time to time with respect to use of its Marks.</w:t>
      </w:r>
    </w:p>
    <w:p>
      <w:pPr>
        <w:spacing w:after="0" w:line="150" w:lineRule="exact"/>
        <w:rPr>
          <w:sz w:val="20"/>
          <w:szCs w:val="20"/>
          <w:color w:val="auto"/>
        </w:rPr>
      </w:pPr>
    </w:p>
    <w:p>
      <w:pPr>
        <w:ind w:firstLine="656"/>
        <w:spacing w:after="0" w:line="275" w:lineRule="auto"/>
        <w:tabs>
          <w:tab w:leader="none" w:pos="1200"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Interchange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Interchange Fee</w:t>
      </w:r>
      <w:r>
        <w:rPr>
          <w:rFonts w:ascii="Times New Roman" w:cs="Times New Roman" w:eastAsia="Times New Roman" w:hAnsi="Times New Roman"/>
          <w:sz w:val="22"/>
          <w:szCs w:val="22"/>
          <w:color w:val="auto"/>
        </w:rPr>
        <w:t>” means the fee paid to the Bank as issuer of the Card by an acquiring financial institution for a Transaction, as established by a Network.</w:t>
      </w:r>
    </w:p>
    <w:p>
      <w:pPr>
        <w:spacing w:after="0" w:line="135" w:lineRule="exact"/>
        <w:rPr>
          <w:rFonts w:ascii="Times New Roman" w:cs="Times New Roman" w:eastAsia="Times New Roman" w:hAnsi="Times New Roman"/>
          <w:sz w:val="22"/>
          <w:szCs w:val="22"/>
          <w:color w:val="auto"/>
        </w:rPr>
      </w:pPr>
    </w:p>
    <w:p>
      <w:pPr>
        <w:jc w:val="both"/>
        <w:ind w:firstLine="656"/>
        <w:spacing w:after="0" w:line="260" w:lineRule="auto"/>
        <w:tabs>
          <w:tab w:leader="none" w:pos="1278" w:val="left"/>
        </w:tabs>
        <w:numPr>
          <w:ilvl w:val="0"/>
          <w:numId w:val="2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Intellectual Property Rights</w:t>
      </w:r>
      <w:r>
        <w:rPr>
          <w:rFonts w:ascii="Times New Roman" w:cs="Times New Roman" w:eastAsia="Times New Roman" w:hAnsi="Times New Roman"/>
          <w:sz w:val="21"/>
          <w:szCs w:val="21"/>
          <w:color w:val="auto"/>
        </w:rPr>
        <w:t>” means, with respect to each Party, all (i) intellectual property rights of any kind, worldwide, including utility patents, design patents, utility models, and all applications for the foregoing; (ii) published works of authorship, registered copyrights, and all registrations and applications for the foregoing; (iii) proprietary software, technology and documentation; (iv) documented trade secrets; and (v) other proprietary information or materials, in whatever form.</w:t>
      </w:r>
    </w:p>
    <w:p>
      <w:pPr>
        <w:spacing w:after="0" w:line="168" w:lineRule="exact"/>
        <w:rPr>
          <w:rFonts w:ascii="Times New Roman" w:cs="Times New Roman" w:eastAsia="Times New Roman" w:hAnsi="Times New Roman"/>
          <w:sz w:val="21"/>
          <w:szCs w:val="21"/>
          <w:color w:val="auto"/>
        </w:rPr>
      </w:pPr>
    </w:p>
    <w:p>
      <w:pPr>
        <w:ind w:firstLine="656"/>
        <w:spacing w:after="0" w:line="262" w:lineRule="auto"/>
        <w:tabs>
          <w:tab w:leader="none" w:pos="1227"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Mark</w:t>
      </w:r>
      <w:r>
        <w:rPr>
          <w:rFonts w:ascii="Times New Roman" w:cs="Times New Roman" w:eastAsia="Times New Roman" w:hAnsi="Times New Roman"/>
          <w:sz w:val="22"/>
          <w:szCs w:val="22"/>
          <w:color w:val="auto"/>
        </w:rPr>
        <w:t>” means the service marks and trademarks of a Network, Bank or Client, and includes but not is limited to, the names and other distinctive marks or logos, which identify a Network, Client or Bank.</w:t>
      </w:r>
    </w:p>
    <w:p>
      <w:pPr>
        <w:spacing w:after="0" w:line="149" w:lineRule="exact"/>
        <w:rPr>
          <w:rFonts w:ascii="Times New Roman" w:cs="Times New Roman" w:eastAsia="Times New Roman" w:hAnsi="Times New Roman"/>
          <w:sz w:val="22"/>
          <w:szCs w:val="22"/>
          <w:color w:val="auto"/>
        </w:rPr>
      </w:pPr>
    </w:p>
    <w:p>
      <w:pPr>
        <w:ind w:left="1240" w:hanging="584"/>
        <w:spacing w:after="0"/>
        <w:tabs>
          <w:tab w:leader="none" w:pos="1240"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Membership</w:t>
      </w:r>
      <w:r>
        <w:rPr>
          <w:rFonts w:ascii="Times New Roman" w:cs="Times New Roman" w:eastAsia="Times New Roman" w:hAnsi="Times New Roman"/>
          <w:sz w:val="22"/>
          <w:szCs w:val="22"/>
          <w:color w:val="auto"/>
        </w:rPr>
        <w:t>” means the membership in a Network and licensing rights thereto obtained by Bank.</w:t>
      </w:r>
    </w:p>
    <w:p>
      <w:pPr>
        <w:spacing w:after="0" w:line="219" w:lineRule="exact"/>
        <w:rPr>
          <w:rFonts w:ascii="Times New Roman" w:cs="Times New Roman" w:eastAsia="Times New Roman" w:hAnsi="Times New Roman"/>
          <w:sz w:val="22"/>
          <w:szCs w:val="22"/>
          <w:color w:val="auto"/>
        </w:rPr>
      </w:pPr>
    </w:p>
    <w:p>
      <w:pPr>
        <w:jc w:val="both"/>
        <w:ind w:firstLine="656"/>
        <w:spacing w:after="0" w:line="252" w:lineRule="auto"/>
        <w:tabs>
          <w:tab w:leader="none" w:pos="1267"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Network</w:t>
      </w:r>
      <w:r>
        <w:rPr>
          <w:rFonts w:ascii="Times New Roman" w:cs="Times New Roman" w:eastAsia="Times New Roman" w:hAnsi="Times New Roman"/>
          <w:sz w:val="22"/>
          <w:szCs w:val="22"/>
          <w:color w:val="auto"/>
        </w:rPr>
        <w:t>” means any third-party network over which funds are transferred or Transactions and Settlements are processed (including but not limited to MasterCard, VISA, Discover, Maestro, Interlink, Pulse, STAR, Cirrus, Plus, MoneyPass, Allpoint, Green Dot, Western Union, MoneyGram, Visa Readylink, MasterCard RePower, Ingo, Nacha).</w:t>
      </w:r>
    </w:p>
    <w:p>
      <w:pPr>
        <w:spacing w:after="0" w:line="161" w:lineRule="exact"/>
        <w:rPr>
          <w:rFonts w:ascii="Times New Roman" w:cs="Times New Roman" w:eastAsia="Times New Roman" w:hAnsi="Times New Roman"/>
          <w:sz w:val="22"/>
          <w:szCs w:val="22"/>
          <w:color w:val="auto"/>
        </w:rPr>
      </w:pPr>
    </w:p>
    <w:p>
      <w:pPr>
        <w:jc w:val="both"/>
        <w:ind w:firstLine="656"/>
        <w:spacing w:after="0" w:line="255" w:lineRule="auto"/>
        <w:tabs>
          <w:tab w:leader="none" w:pos="1242" w:val="left"/>
        </w:tabs>
        <w:numPr>
          <w:ilvl w:val="0"/>
          <w:numId w:val="2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Nonpublic Personal Information</w:t>
      </w:r>
      <w:r>
        <w:rPr>
          <w:rFonts w:ascii="Times New Roman" w:cs="Times New Roman" w:eastAsia="Times New Roman" w:hAnsi="Times New Roman"/>
          <w:sz w:val="21"/>
          <w:szCs w:val="21"/>
          <w:color w:val="auto"/>
        </w:rPr>
        <w:t>” means “non-public personal information” as defined in the Gramm-Leach-Bliley Act and implementing regulations, or any other protected Consumer-identifying information under Applicable Law; including, without limitation, a Consumer’s name, address, or telephone number in conjunction with the Consumer’s social security number, driver’s license number, account number, credit or debit card number, or a personal identification number or password that would permit access to the Consumer’s account, or any combination of components of Consumer information that would allow someone to log onto or access a Consumer’s account, such as a username and password, password and account</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Master Services Agreement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AND PROPRIETARY</w:t>
      </w:r>
    </w:p>
    <w:p>
      <w:pPr>
        <w:sectPr>
          <w:pgSz w:w="11900" w:h="16838" w:orient="portrait"/>
          <w:cols w:equalWidth="0" w:num="1">
            <w:col w:w="11240"/>
          </w:cols>
          <w:pgMar w:left="320" w:top="124" w:right="339" w:bottom="1440" w:gutter="0" w:footer="0" w:header="0"/>
        </w:sectPr>
      </w:pPr>
    </w:p>
    <w:bookmarkStart w:id="436" w:name="page437"/>
    <w:bookmarkEnd w:id="436"/>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number, transaction information regarding the Consumer account, or any other information provided to Bank or Client by a Consumer in connection with the Program.</w:t>
      </w:r>
    </w:p>
    <w:p>
      <w:pPr>
        <w:spacing w:after="0" w:line="168" w:lineRule="exact"/>
        <w:rPr>
          <w:sz w:val="20"/>
          <w:szCs w:val="20"/>
          <w:color w:val="auto"/>
        </w:rPr>
      </w:pPr>
    </w:p>
    <w:p>
      <w:pPr>
        <w:jc w:val="both"/>
        <w:ind w:firstLine="656"/>
        <w:spacing w:after="0" w:line="252" w:lineRule="auto"/>
        <w:tabs>
          <w:tab w:leader="none" w:pos="1305"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“Person” </w:t>
      </w:r>
      <w:r>
        <w:rPr>
          <w:rFonts w:ascii="Times New Roman" w:cs="Times New Roman" w:eastAsia="Times New Roman" w:hAnsi="Times New Roman"/>
          <w:sz w:val="22"/>
          <w:szCs w:val="22"/>
          <w:color w:val="auto"/>
        </w:rPr>
        <w:t>means any legal person, including any individual, corporation, limited liability company, partnership,</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joint venture, association, joint-stock company, trust, unincorporated organization, governmental entity or other entity of any nature.</w:t>
      </w:r>
    </w:p>
    <w:p>
      <w:pPr>
        <w:spacing w:after="0" w:line="161" w:lineRule="exact"/>
        <w:rPr>
          <w:rFonts w:ascii="Times New Roman" w:cs="Times New Roman" w:eastAsia="Times New Roman" w:hAnsi="Times New Roman"/>
          <w:sz w:val="22"/>
          <w:szCs w:val="22"/>
          <w:color w:val="auto"/>
        </w:rPr>
      </w:pPr>
    </w:p>
    <w:p>
      <w:pPr>
        <w:jc w:val="both"/>
        <w:ind w:firstLine="656"/>
        <w:spacing w:after="0" w:line="252" w:lineRule="auto"/>
        <w:tabs>
          <w:tab w:leader="none" w:pos="1332"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Processing Services</w:t>
      </w:r>
      <w:r>
        <w:rPr>
          <w:rFonts w:ascii="Times New Roman" w:cs="Times New Roman" w:eastAsia="Times New Roman" w:hAnsi="Times New Roman"/>
          <w:sz w:val="22"/>
          <w:szCs w:val="22"/>
          <w:color w:val="auto"/>
        </w:rPr>
        <w:t>” means those services that are described in an Exhibit to the applicable Addendum and which are necessary to issue and service the Accounts, including, but not limited to, the processing necessary for Card Transactions, in accordance with the Rules of any Network and Regulatory Authority.</w:t>
      </w:r>
    </w:p>
    <w:p>
      <w:pPr>
        <w:spacing w:after="0" w:line="161" w:lineRule="exact"/>
        <w:rPr>
          <w:rFonts w:ascii="Times New Roman" w:cs="Times New Roman" w:eastAsia="Times New Roman" w:hAnsi="Times New Roman"/>
          <w:sz w:val="22"/>
          <w:szCs w:val="22"/>
          <w:color w:val="auto"/>
        </w:rPr>
      </w:pPr>
    </w:p>
    <w:p>
      <w:pPr>
        <w:jc w:val="both"/>
        <w:ind w:firstLine="656"/>
        <w:spacing w:after="0" w:line="252" w:lineRule="auto"/>
        <w:tabs>
          <w:tab w:leader="none" w:pos="1128"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Processor</w:t>
      </w:r>
      <w:r>
        <w:rPr>
          <w:rFonts w:ascii="Times New Roman" w:cs="Times New Roman" w:eastAsia="Times New Roman" w:hAnsi="Times New Roman"/>
          <w:sz w:val="22"/>
          <w:szCs w:val="22"/>
          <w:color w:val="auto"/>
        </w:rPr>
        <w:t>” means a third-party provider of payment processing or recordkeeping services relied upon by Bank and Client in connection with any Programs contemplated by this Agreement. “Processor” shall also mean Client in the event that Client is approved by Bank to provide Processing Services pursuant to Section 3.6 of this Agreement.</w:t>
      </w:r>
    </w:p>
    <w:p>
      <w:pPr>
        <w:spacing w:after="0" w:line="161" w:lineRule="exact"/>
        <w:rPr>
          <w:rFonts w:ascii="Times New Roman" w:cs="Times New Roman" w:eastAsia="Times New Roman" w:hAnsi="Times New Roman"/>
          <w:sz w:val="22"/>
          <w:szCs w:val="22"/>
          <w:color w:val="auto"/>
        </w:rPr>
      </w:pPr>
    </w:p>
    <w:p>
      <w:pPr>
        <w:jc w:val="both"/>
        <w:ind w:firstLine="656"/>
        <w:spacing w:after="0" w:line="252" w:lineRule="auto"/>
        <w:tabs>
          <w:tab w:leader="none" w:pos="1128"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Program</w:t>
      </w:r>
      <w:r>
        <w:rPr>
          <w:rFonts w:ascii="Times New Roman" w:cs="Times New Roman" w:eastAsia="Times New Roman" w:hAnsi="Times New Roman"/>
          <w:sz w:val="22"/>
          <w:szCs w:val="22"/>
          <w:color w:val="auto"/>
        </w:rPr>
        <w:t>” means the marketing, evaluation, processing, administration, supervision, servicing, and maintenance of the Accounts established under this Agreement, and the phrase “Account Program” shall mean a unique Account marketing effort approved by Bank pursuant to a Program Authorization Letter.</w:t>
      </w:r>
    </w:p>
    <w:p>
      <w:pPr>
        <w:spacing w:after="0" w:line="161" w:lineRule="exact"/>
        <w:rPr>
          <w:rFonts w:ascii="Times New Roman" w:cs="Times New Roman" w:eastAsia="Times New Roman" w:hAnsi="Times New Roman"/>
          <w:sz w:val="22"/>
          <w:szCs w:val="22"/>
          <w:color w:val="auto"/>
        </w:rPr>
      </w:pPr>
    </w:p>
    <w:p>
      <w:pPr>
        <w:ind w:left="1240" w:hanging="584"/>
        <w:spacing w:after="0"/>
        <w:tabs>
          <w:tab w:leader="none" w:pos="1240"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Program Account</w:t>
      </w:r>
      <w:r>
        <w:rPr>
          <w:rFonts w:ascii="Times New Roman" w:cs="Times New Roman" w:eastAsia="Times New Roman" w:hAnsi="Times New Roman"/>
          <w:sz w:val="22"/>
          <w:szCs w:val="22"/>
          <w:color w:val="auto"/>
        </w:rPr>
        <w:t>” shall have the meaning described in Section 2.6 of this Agreement.</w:t>
      </w:r>
    </w:p>
    <w:p>
      <w:pPr>
        <w:spacing w:after="0" w:line="219" w:lineRule="exact"/>
        <w:rPr>
          <w:rFonts w:ascii="Times New Roman" w:cs="Times New Roman" w:eastAsia="Times New Roman" w:hAnsi="Times New Roman"/>
          <w:sz w:val="22"/>
          <w:szCs w:val="22"/>
          <w:color w:val="auto"/>
        </w:rPr>
      </w:pPr>
    </w:p>
    <w:p>
      <w:pPr>
        <w:jc w:val="both"/>
        <w:ind w:firstLine="656"/>
        <w:spacing w:after="0" w:line="245" w:lineRule="auto"/>
        <w:tabs>
          <w:tab w:leader="none" w:pos="1141"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Program Authorization Letter</w:t>
      </w:r>
      <w:r>
        <w:rPr>
          <w:rFonts w:ascii="Times New Roman" w:cs="Times New Roman" w:eastAsia="Times New Roman" w:hAnsi="Times New Roman"/>
          <w:sz w:val="22"/>
          <w:szCs w:val="22"/>
          <w:color w:val="auto"/>
        </w:rPr>
        <w:t>” means a letter from Bank authorizing the development and launch of an Account Program. Any Program Authorization Letter shall set forth the general parameters, features, and any special terms under which the Account Program is authorized under. For clarity, all Program Authorization Letters approved under the Prior Agreement continue to be approved under this Agreement.</w:t>
      </w:r>
    </w:p>
    <w:p>
      <w:pPr>
        <w:spacing w:after="0" w:line="168" w:lineRule="exact"/>
        <w:rPr>
          <w:rFonts w:ascii="Times New Roman" w:cs="Times New Roman" w:eastAsia="Times New Roman" w:hAnsi="Times New Roman"/>
          <w:sz w:val="22"/>
          <w:szCs w:val="22"/>
          <w:color w:val="auto"/>
        </w:rPr>
      </w:pPr>
    </w:p>
    <w:p>
      <w:pPr>
        <w:ind w:left="1360" w:hanging="704"/>
        <w:spacing w:after="0"/>
        <w:tabs>
          <w:tab w:leader="none" w:pos="1360"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Program Collateral</w:t>
      </w:r>
      <w:r>
        <w:rPr>
          <w:rFonts w:ascii="Times New Roman" w:cs="Times New Roman" w:eastAsia="Times New Roman" w:hAnsi="Times New Roman"/>
          <w:sz w:val="22"/>
          <w:szCs w:val="22"/>
          <w:color w:val="auto"/>
        </w:rPr>
        <w:t>” means all Customer Disclosures and Solicitation Materials relating to a Program.</w:t>
      </w:r>
    </w:p>
    <w:p>
      <w:pPr>
        <w:spacing w:after="0" w:line="219" w:lineRule="exact"/>
        <w:rPr>
          <w:rFonts w:ascii="Times New Roman" w:cs="Times New Roman" w:eastAsia="Times New Roman" w:hAnsi="Times New Roman"/>
          <w:sz w:val="22"/>
          <w:szCs w:val="22"/>
          <w:color w:val="auto"/>
        </w:rPr>
      </w:pPr>
    </w:p>
    <w:p>
      <w:pPr>
        <w:ind w:firstLine="656"/>
        <w:spacing w:after="0" w:line="262" w:lineRule="auto"/>
        <w:tabs>
          <w:tab w:leader="none" w:pos="1264"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Program Management Fee</w:t>
      </w:r>
      <w:r>
        <w:rPr>
          <w:rFonts w:ascii="Times New Roman" w:cs="Times New Roman" w:eastAsia="Times New Roman" w:hAnsi="Times New Roman"/>
          <w:sz w:val="22"/>
          <w:szCs w:val="22"/>
          <w:color w:val="auto"/>
        </w:rPr>
        <w:t>” means the fee paid by Bank to Client for the marketing and program management services as determined in an Exhibit to the applicable Addendum.</w:t>
      </w:r>
    </w:p>
    <w:p>
      <w:pPr>
        <w:spacing w:after="0" w:line="163" w:lineRule="exact"/>
        <w:rPr>
          <w:rFonts w:ascii="Times New Roman" w:cs="Times New Roman" w:eastAsia="Times New Roman" w:hAnsi="Times New Roman"/>
          <w:sz w:val="22"/>
          <w:szCs w:val="22"/>
          <w:color w:val="auto"/>
        </w:rPr>
      </w:pPr>
    </w:p>
    <w:p>
      <w:pPr>
        <w:ind w:firstLine="656"/>
        <w:spacing w:after="0" w:line="262" w:lineRule="auto"/>
        <w:tabs>
          <w:tab w:leader="none" w:pos="1291"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Program Revenues</w:t>
      </w:r>
      <w:r>
        <w:rPr>
          <w:rFonts w:ascii="Times New Roman" w:cs="Times New Roman" w:eastAsia="Times New Roman" w:hAnsi="Times New Roman"/>
          <w:sz w:val="22"/>
          <w:szCs w:val="22"/>
          <w:color w:val="auto"/>
        </w:rPr>
        <w:t>” means all Account Income and Interchange Fee revenues generated by or accruing to the Bank under a Program.</w:t>
      </w:r>
    </w:p>
    <w:p>
      <w:pPr>
        <w:spacing w:after="0" w:line="149" w:lineRule="exact"/>
        <w:rPr>
          <w:rFonts w:ascii="Times New Roman" w:cs="Times New Roman" w:eastAsia="Times New Roman" w:hAnsi="Times New Roman"/>
          <w:sz w:val="22"/>
          <w:szCs w:val="22"/>
          <w:color w:val="auto"/>
        </w:rPr>
      </w:pPr>
    </w:p>
    <w:p>
      <w:pPr>
        <w:ind w:right="20" w:firstLine="656"/>
        <w:spacing w:after="0" w:line="275" w:lineRule="auto"/>
        <w:tabs>
          <w:tab w:leader="none" w:pos="1318"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Program Website</w:t>
      </w:r>
      <w:r>
        <w:rPr>
          <w:rFonts w:ascii="Times New Roman" w:cs="Times New Roman" w:eastAsia="Times New Roman" w:hAnsi="Times New Roman"/>
          <w:sz w:val="22"/>
          <w:szCs w:val="22"/>
          <w:color w:val="auto"/>
        </w:rPr>
        <w:t>” means the website (s) or mobile application(s) through which the Program is marketed to Customers and the website or websites utilized by Customers to provide information about, and access to, their Accounts.</w:t>
      </w:r>
    </w:p>
    <w:p>
      <w:pPr>
        <w:spacing w:after="0" w:line="135" w:lineRule="exact"/>
        <w:rPr>
          <w:rFonts w:ascii="Times New Roman" w:cs="Times New Roman" w:eastAsia="Times New Roman" w:hAnsi="Times New Roman"/>
          <w:sz w:val="22"/>
          <w:szCs w:val="22"/>
          <w:color w:val="auto"/>
        </w:rPr>
      </w:pPr>
    </w:p>
    <w:p>
      <w:pPr>
        <w:ind w:firstLine="656"/>
        <w:spacing w:after="0" w:line="275" w:lineRule="auto"/>
        <w:tabs>
          <w:tab w:leader="none" w:pos="1332"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Regulatory Authority</w:t>
      </w:r>
      <w:r>
        <w:rPr>
          <w:rFonts w:ascii="Times New Roman" w:cs="Times New Roman" w:eastAsia="Times New Roman" w:hAnsi="Times New Roman"/>
          <w:sz w:val="22"/>
          <w:szCs w:val="22"/>
          <w:color w:val="auto"/>
        </w:rPr>
        <w:t>” means, as the context requires, any Network; the Federal Reserve Board (FRB); the Office of the Comptroller of the Currency (OCC), the Consumer</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Master Services Agreement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AND PROPRIETARY</w:t>
      </w:r>
    </w:p>
    <w:p>
      <w:pPr>
        <w:sectPr>
          <w:pgSz w:w="11900" w:h="16838" w:orient="portrait"/>
          <w:cols w:equalWidth="0" w:num="1">
            <w:col w:w="11240"/>
          </w:cols>
          <w:pgMar w:left="320" w:top="124" w:right="339" w:bottom="1440" w:gutter="0" w:footer="0" w:header="0"/>
        </w:sectPr>
      </w:pPr>
    </w:p>
    <w:bookmarkStart w:id="437" w:name="page438"/>
    <w:bookmarkEnd w:id="437"/>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1"/>
          <w:szCs w:val="21"/>
          <w:color w:val="auto"/>
        </w:rPr>
        <w:t>Financial Protection Bureau (CFPB); Federal Trade Commission (FTC); the Federal Financial Institutions Examination Council (FFIEC); and any other Federal or state regulator or agency having jurisdiction over Bank, Client, or Financial Products and Services. It may also include, as the circumstances dictate, any non-U.S. authority having or exercising jurisdiction related to the issuance, sale, authorization or usage of Financial Products and Services provided under this Agreement.</w:t>
      </w:r>
    </w:p>
    <w:p>
      <w:pPr>
        <w:spacing w:after="0" w:line="157" w:lineRule="exact"/>
        <w:rPr>
          <w:sz w:val="20"/>
          <w:szCs w:val="20"/>
          <w:color w:val="auto"/>
        </w:rPr>
      </w:pPr>
    </w:p>
    <w:p>
      <w:pPr>
        <w:ind w:firstLine="656"/>
        <w:spacing w:after="0" w:line="275" w:lineRule="auto"/>
        <w:tabs>
          <w:tab w:leader="none" w:pos="1152" w:val="left"/>
        </w:tabs>
        <w:numPr>
          <w:ilvl w:val="1"/>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Required Reports</w:t>
      </w:r>
      <w:r>
        <w:rPr>
          <w:rFonts w:ascii="Times New Roman" w:cs="Times New Roman" w:eastAsia="Times New Roman" w:hAnsi="Times New Roman"/>
          <w:sz w:val="22"/>
          <w:szCs w:val="22"/>
          <w:color w:val="auto"/>
        </w:rPr>
        <w:t>” means the reports required by Bank to properly implement and monitor a Program, as set forth in an Exhibit to the applicable Addendum.</w:t>
      </w:r>
    </w:p>
    <w:p>
      <w:pPr>
        <w:spacing w:after="0" w:line="149" w:lineRule="exact"/>
        <w:rPr>
          <w:rFonts w:ascii="Times New Roman" w:cs="Times New Roman" w:eastAsia="Times New Roman" w:hAnsi="Times New Roman"/>
          <w:sz w:val="22"/>
          <w:szCs w:val="22"/>
          <w:color w:val="auto"/>
        </w:rPr>
      </w:pPr>
    </w:p>
    <w:p>
      <w:pPr>
        <w:jc w:val="both"/>
        <w:ind w:firstLine="656"/>
        <w:spacing w:after="0" w:line="265" w:lineRule="auto"/>
        <w:tabs>
          <w:tab w:leader="none" w:pos="1284" w:val="left"/>
        </w:tabs>
        <w:numPr>
          <w:ilvl w:val="1"/>
          <w:numId w:val="2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Rules</w:t>
      </w:r>
      <w:r>
        <w:rPr>
          <w:rFonts w:ascii="Times New Roman" w:cs="Times New Roman" w:eastAsia="Times New Roman" w:hAnsi="Times New Roman"/>
          <w:sz w:val="21"/>
          <w:szCs w:val="21"/>
          <w:color w:val="auto"/>
        </w:rPr>
        <w:t xml:space="preserve">” means (i) the by-laws and operating rules of any Network, including all standards, policies, and other requirements adopted by a Network or Bank from time to time with respect to use of its Marks, (ii) any applicable rule or requirement of any Network related to the issuance, sale, authorization or usage of products or services to be provided under this Agreement, (iii) </w:t>
      </w:r>
      <w:r>
        <w:rPr>
          <w:rFonts w:ascii="Times New Roman" w:cs="Times New Roman" w:eastAsia="Times New Roman" w:hAnsi="Times New Roman"/>
          <w:sz w:val="21"/>
          <w:szCs w:val="21"/>
          <w:color w:val="1D1D1D"/>
        </w:rPr>
        <w:t>the published standards of the World Wide Web Consortium’s (W3C) related to digital content accessibility, and</w:t>
      </w:r>
    </w:p>
    <w:p>
      <w:pPr>
        <w:ind w:right="20" w:firstLine="8"/>
        <w:spacing w:after="0" w:line="248" w:lineRule="auto"/>
        <w:tabs>
          <w:tab w:leader="none" w:pos="382" w:val="left"/>
        </w:tabs>
        <w:numPr>
          <w:ilvl w:val="0"/>
          <w:numId w:val="250"/>
        </w:numPr>
        <w:rPr>
          <w:rFonts w:ascii="Times New Roman" w:cs="Times New Roman" w:eastAsia="Times New Roman" w:hAnsi="Times New Roman"/>
          <w:sz w:val="22"/>
          <w:szCs w:val="22"/>
          <w:color w:val="1D1D1D"/>
        </w:rPr>
      </w:pPr>
      <w:r>
        <w:rPr>
          <w:rFonts w:ascii="Times New Roman" w:cs="Times New Roman" w:eastAsia="Times New Roman" w:hAnsi="Times New Roman"/>
          <w:sz w:val="22"/>
          <w:szCs w:val="22"/>
          <w:color w:val="auto"/>
        </w:rPr>
        <w:t>the published regulations of any Regulatory Authority and the policies and procedures of Bank, as promulgated by Bank’s Board of Directors or Bank senior management in good faith to ensure the continued safety and soundness of Bank.</w:t>
      </w:r>
    </w:p>
    <w:p>
      <w:pPr>
        <w:spacing w:after="0" w:line="178" w:lineRule="exact"/>
        <w:rPr>
          <w:rFonts w:ascii="Times New Roman" w:cs="Times New Roman" w:eastAsia="Times New Roman" w:hAnsi="Times New Roman"/>
          <w:sz w:val="22"/>
          <w:szCs w:val="22"/>
          <w:color w:val="1D1D1D"/>
        </w:rPr>
      </w:pPr>
    </w:p>
    <w:p>
      <w:pPr>
        <w:ind w:left="1140" w:hanging="484"/>
        <w:spacing w:after="0"/>
        <w:tabs>
          <w:tab w:leader="none" w:pos="1140" w:val="left"/>
        </w:tabs>
        <w:numPr>
          <w:ilvl w:val="1"/>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Settlement</w:t>
      </w:r>
      <w:r>
        <w:rPr>
          <w:rFonts w:ascii="Times New Roman" w:cs="Times New Roman" w:eastAsia="Times New Roman" w:hAnsi="Times New Roman"/>
          <w:sz w:val="22"/>
          <w:szCs w:val="22"/>
          <w:color w:val="auto"/>
        </w:rPr>
        <w:t>” means the movement of funds between Bank and Network members in accordance with the Rules.</w:t>
      </w:r>
    </w:p>
    <w:p>
      <w:pPr>
        <w:spacing w:after="0" w:line="219" w:lineRule="exact"/>
        <w:rPr>
          <w:rFonts w:ascii="Times New Roman" w:cs="Times New Roman" w:eastAsia="Times New Roman" w:hAnsi="Times New Roman"/>
          <w:sz w:val="22"/>
          <w:szCs w:val="22"/>
          <w:color w:val="auto"/>
        </w:rPr>
      </w:pPr>
    </w:p>
    <w:p>
      <w:pPr>
        <w:jc w:val="both"/>
        <w:ind w:firstLine="656"/>
        <w:spacing w:after="0" w:line="252" w:lineRule="auto"/>
        <w:tabs>
          <w:tab w:leader="none" w:pos="1345" w:val="left"/>
        </w:tabs>
        <w:numPr>
          <w:ilvl w:val="1"/>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Solicitation Material</w:t>
      </w:r>
      <w:r>
        <w:rPr>
          <w:rFonts w:ascii="Times New Roman" w:cs="Times New Roman" w:eastAsia="Times New Roman" w:hAnsi="Times New Roman"/>
          <w:sz w:val="22"/>
          <w:szCs w:val="22"/>
          <w:color w:val="auto"/>
        </w:rPr>
        <w:t>” means the advertisements, brochures, applications, marketing materials, telemarketing scripts and any other written materials relating to a Program, including point of purchase displays, television advertisements, radio advertisements, electronic web pages, electronic web links, Program Websites, and any other type of advertisement, marketing material, or interactive media related to the Program or any other materials sent to, or viewed by, a Customer or prospective Customer from time to time. For clarity, all Solicitation Materials approved under the Prior Agreement continue to be approved under this Agreement.</w:t>
      </w:r>
    </w:p>
    <w:p>
      <w:pPr>
        <w:spacing w:after="0" w:line="188" w:lineRule="exact"/>
        <w:rPr>
          <w:rFonts w:ascii="Times New Roman" w:cs="Times New Roman" w:eastAsia="Times New Roman" w:hAnsi="Times New Roman"/>
          <w:sz w:val="22"/>
          <w:szCs w:val="22"/>
          <w:color w:val="auto"/>
        </w:rPr>
      </w:pPr>
    </w:p>
    <w:p>
      <w:pPr>
        <w:ind w:firstLine="656"/>
        <w:spacing w:after="0" w:line="275" w:lineRule="auto"/>
        <w:tabs>
          <w:tab w:leader="none" w:pos="1224" w:val="left"/>
        </w:tabs>
        <w:numPr>
          <w:ilvl w:val="1"/>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Subcontractor</w:t>
      </w:r>
      <w:r>
        <w:rPr>
          <w:rFonts w:ascii="Times New Roman" w:cs="Times New Roman" w:eastAsia="Times New Roman" w:hAnsi="Times New Roman"/>
          <w:sz w:val="22"/>
          <w:szCs w:val="22"/>
          <w:color w:val="auto"/>
        </w:rPr>
        <w:t>” means any Bank-approved Processor, servicer, reseller, or other third party contracted with Client to perform Client’s obligations under this Agreement on behalf of Client.</w:t>
      </w:r>
    </w:p>
    <w:p>
      <w:pPr>
        <w:spacing w:after="0" w:line="149" w:lineRule="exact"/>
        <w:rPr>
          <w:rFonts w:ascii="Times New Roman" w:cs="Times New Roman" w:eastAsia="Times New Roman" w:hAnsi="Times New Roman"/>
          <w:sz w:val="22"/>
          <w:szCs w:val="22"/>
          <w:color w:val="auto"/>
        </w:rPr>
      </w:pPr>
    </w:p>
    <w:p>
      <w:pPr>
        <w:ind w:firstLine="656"/>
        <w:spacing w:after="0" w:line="275" w:lineRule="auto"/>
        <w:tabs>
          <w:tab w:leader="none" w:pos="1387" w:val="left"/>
        </w:tabs>
        <w:numPr>
          <w:ilvl w:val="1"/>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Transaction</w:t>
      </w:r>
      <w:r>
        <w:rPr>
          <w:rFonts w:ascii="Times New Roman" w:cs="Times New Roman" w:eastAsia="Times New Roman" w:hAnsi="Times New Roman"/>
          <w:sz w:val="22"/>
          <w:szCs w:val="22"/>
          <w:color w:val="auto"/>
        </w:rPr>
        <w:t>” means a transaction that is processed through a Network and its members or through Processor, Bank or Client, including, without limitation, deposits, purchases, cash withdrawals, ACH transfers, disputes and refunds.</w:t>
      </w:r>
    </w:p>
    <w:p>
      <w:pPr>
        <w:spacing w:after="0" w:line="149" w:lineRule="exact"/>
        <w:rPr>
          <w:rFonts w:ascii="Times New Roman" w:cs="Times New Roman" w:eastAsia="Times New Roman" w:hAnsi="Times New Roman"/>
          <w:sz w:val="22"/>
          <w:szCs w:val="22"/>
          <w:color w:val="auto"/>
        </w:rPr>
      </w:pPr>
    </w:p>
    <w:p>
      <w:pPr>
        <w:ind w:firstLine="656"/>
        <w:spacing w:after="0" w:line="287" w:lineRule="auto"/>
        <w:tabs>
          <w:tab w:leader="none" w:pos="1264" w:val="left"/>
        </w:tabs>
        <w:numPr>
          <w:ilvl w:val="1"/>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Wind Down Period</w:t>
      </w:r>
      <w:r>
        <w:rPr>
          <w:rFonts w:ascii="Times New Roman" w:cs="Times New Roman" w:eastAsia="Times New Roman" w:hAnsi="Times New Roman"/>
          <w:sz w:val="22"/>
          <w:szCs w:val="22"/>
          <w:color w:val="auto"/>
        </w:rPr>
        <w:t>” means the period from the date of termination or expiration of the Agreement through the date that the Parties have completed the Wind-Down Plan for the Programs entirely pursuant to Section 10.</w:t>
      </w:r>
    </w:p>
    <w:p>
      <w:pPr>
        <w:spacing w:after="0" w:line="137" w:lineRule="exact"/>
        <w:rPr>
          <w:rFonts w:ascii="Times New Roman" w:cs="Times New Roman" w:eastAsia="Times New Roman" w:hAnsi="Times New Roman"/>
          <w:sz w:val="22"/>
          <w:szCs w:val="22"/>
          <w:color w:val="auto"/>
        </w:rPr>
      </w:pPr>
    </w:p>
    <w:p>
      <w:pPr>
        <w:ind w:left="1240" w:hanging="584"/>
        <w:spacing w:after="0"/>
        <w:tabs>
          <w:tab w:leader="none" w:pos="1240" w:val="left"/>
        </w:tabs>
        <w:numPr>
          <w:ilvl w:val="1"/>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Wind-Down Plan</w:t>
      </w:r>
      <w:r>
        <w:rPr>
          <w:rFonts w:ascii="Times New Roman" w:cs="Times New Roman" w:eastAsia="Times New Roman" w:hAnsi="Times New Roman"/>
          <w:sz w:val="22"/>
          <w:szCs w:val="22"/>
          <w:color w:val="auto"/>
        </w:rPr>
        <w:t>” has the meaning set forth in Section 10.2.</w:t>
      </w:r>
    </w:p>
    <w:p>
      <w:pPr>
        <w:spacing w:after="0" w:line="219" w:lineRule="exact"/>
        <w:rPr>
          <w:rFonts w:ascii="Times New Roman" w:cs="Times New Roman" w:eastAsia="Times New Roman" w:hAnsi="Times New Roman"/>
          <w:sz w:val="22"/>
          <w:szCs w:val="22"/>
          <w:color w:val="auto"/>
        </w:rPr>
      </w:pPr>
    </w:p>
    <w:p>
      <w:pPr>
        <w:ind w:left="1200" w:hanging="544"/>
        <w:spacing w:after="0"/>
        <w:tabs>
          <w:tab w:leader="none" w:pos="1200" w:val="left"/>
        </w:tabs>
        <w:numPr>
          <w:ilvl w:val="1"/>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Successor Bank</w:t>
      </w:r>
      <w:r>
        <w:rPr>
          <w:rFonts w:ascii="Times New Roman" w:cs="Times New Roman" w:eastAsia="Times New Roman" w:hAnsi="Times New Roman"/>
          <w:sz w:val="22"/>
          <w:szCs w:val="22"/>
          <w:color w:val="auto"/>
        </w:rPr>
        <w:t>” has the meaning set forth in Section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Master Services Agreement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AND PROPRIETARY</w:t>
      </w:r>
    </w:p>
    <w:p>
      <w:pPr>
        <w:sectPr>
          <w:pgSz w:w="11900" w:h="16838" w:orient="portrait"/>
          <w:cols w:equalWidth="0" w:num="1">
            <w:col w:w="11240"/>
          </w:cols>
          <w:pgMar w:left="320" w:top="124" w:right="339" w:bottom="1440" w:gutter="0" w:footer="0" w:header="0"/>
        </w:sectPr>
      </w:pPr>
    </w:p>
    <w:bookmarkStart w:id="438" w:name="page439"/>
    <w:bookmarkEnd w:id="438"/>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 w:hanging="372"/>
        <w:spacing w:after="0"/>
        <w:tabs>
          <w:tab w:leader="none" w:pos="380" w:val="left"/>
        </w:tabs>
        <w:numPr>
          <w:ilvl w:val="0"/>
          <w:numId w:val="2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PROGRAMS GENERALLY</w:t>
      </w:r>
    </w:p>
    <w:p>
      <w:pPr>
        <w:spacing w:after="0" w:line="21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 xml:space="preserve">2.0 </w:t>
      </w:r>
      <w:r>
        <w:rPr>
          <w:rFonts w:ascii="Times New Roman" w:cs="Times New Roman" w:eastAsia="Times New Roman" w:hAnsi="Times New Roman"/>
          <w:sz w:val="22"/>
          <w:szCs w:val="22"/>
          <w:u w:val="single" w:color="auto"/>
          <w:color w:val="auto"/>
        </w:rPr>
        <w:t>Purpose</w:t>
      </w:r>
      <w:r>
        <w:rPr>
          <w:rFonts w:ascii="Times New Roman" w:cs="Times New Roman" w:eastAsia="Times New Roman" w:hAnsi="Times New Roman"/>
          <w:sz w:val="22"/>
          <w:szCs w:val="22"/>
          <w:color w:val="auto"/>
        </w:rPr>
        <w:t>. The purpose of this Agreement is to offer Programs, marketed by Client and issued by Bank. It is designed to offer Customers convenient and secure Financial Products and Services.</w:t>
      </w:r>
    </w:p>
    <w:p>
      <w:pPr>
        <w:spacing w:after="0" w:line="14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u w:val="single" w:color="auto"/>
          <w:color w:val="auto"/>
        </w:rPr>
        <w:t>Amendment and Restatement</w:t>
      </w:r>
      <w:r>
        <w:rPr>
          <w:rFonts w:ascii="Times New Roman" w:cs="Times New Roman" w:eastAsia="Times New Roman" w:hAnsi="Times New Roman"/>
          <w:sz w:val="22"/>
          <w:szCs w:val="22"/>
          <w:color w:val="auto"/>
        </w:rPr>
        <w:t>. The Prior Agreement is hereby amended in its entirety and restated herein in this Agreement. Such amendment and restatement is effective upon the Effective Date. The Prior Agreement shall be of no further force and effect upon the Effective Date, except nothing in this Section 2.1 shall affect any obligations incurred by a Party under the Prior Agreement prior to the Effective Date. For clarity, nothing in this Agreement is intended to constitute an express or implied waiver (unless otherwise set forth in this Agreement) of any rights or remedies arising prior to the Effective Date that either Client or Bank may possess in connection with the Prior Agreement, all of which are hereby expressly reserved.</w:t>
      </w:r>
    </w:p>
    <w:p>
      <w:pPr>
        <w:spacing w:after="0" w:line="19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u w:val="single" w:color="auto"/>
          <w:color w:val="auto"/>
        </w:rPr>
        <w:t>Bank Oversight and Control</w:t>
      </w:r>
      <w:r>
        <w:rPr>
          <w:rFonts w:ascii="Times New Roman" w:cs="Times New Roman" w:eastAsia="Times New Roman" w:hAnsi="Times New Roman"/>
          <w:sz w:val="22"/>
          <w:szCs w:val="22"/>
          <w:color w:val="auto"/>
        </w:rPr>
        <w:t>. Bank and Client hereby each acknowledge and agree the products and services offered under the Program pursuant to this Agreement are products of Bank. Client recognizes and acknowledges that Bank shall have control and oversight over the Program pursuant to Applicable Law. Bank shall have the final determination as to any material changes that may be required or advisable under Applicable Law. Bank recognizes and acknowledges that Client (i) offers products and services independent of the Program including through third parties, which may now or in the future include lending products and services, and (ii) shall create and maintain an integrated relationship with Customers and potential Customers in connection with such non-Program products and services. As between Bank and Client, Client shall have control and oversight over such non-Program products and services, and the final determination of any material changes that may be required or advisable under Applicable Law, provided that such non-Program products and services do not use any Bank Marks. Bank shall provide commercially reasonable cooperation and assistance with Client’s efforts to integrate non-Program and Program products, services and features, including those connected to lending products and services, to offer Customers and potential Customers an enhanced and seamless user experience.</w:t>
      </w:r>
    </w:p>
    <w:p>
      <w:pPr>
        <w:spacing w:after="0" w:line="18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2"/>
          <w:szCs w:val="22"/>
          <w:color w:val="auto"/>
        </w:rPr>
        <w:t xml:space="preserve">2.3 </w:t>
      </w:r>
      <w:r>
        <w:rPr>
          <w:rFonts w:ascii="Times New Roman" w:cs="Times New Roman" w:eastAsia="Times New Roman" w:hAnsi="Times New Roman"/>
          <w:sz w:val="22"/>
          <w:szCs w:val="22"/>
          <w:u w:val="single" w:color="auto"/>
          <w:color w:val="auto"/>
        </w:rPr>
        <w:t>Appointment of Client</w:t>
      </w:r>
      <w:r>
        <w:rPr>
          <w:rFonts w:ascii="Times New Roman" w:cs="Times New Roman" w:eastAsia="Times New Roman" w:hAnsi="Times New Roman"/>
          <w:sz w:val="22"/>
          <w:szCs w:val="22"/>
          <w:color w:val="auto"/>
        </w:rPr>
        <w:t>. Bank hereby appoints Client as its authorized delegate and representative to (A) assist Bank in the development and marketing of the Program(s), (B) market the Accounts on behalf of Bank, and (C) perform services and contract with sub-contractors to support for the Program, all in accordance with the terms of this Agreement. Bank further appoints Client as its agent for the purpose of performing certain duties in maintaining compliance with OFAC sanctions and regulations and the Bank Secrecy Act.</w:t>
      </w:r>
    </w:p>
    <w:p>
      <w:pPr>
        <w:spacing w:after="0" w:line="17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 xml:space="preserve">2.4 </w:t>
      </w:r>
      <w:r>
        <w:rPr>
          <w:rFonts w:ascii="Times New Roman" w:cs="Times New Roman" w:eastAsia="Times New Roman" w:hAnsi="Times New Roman"/>
          <w:sz w:val="22"/>
          <w:szCs w:val="22"/>
          <w:u w:val="single" w:color="auto"/>
          <w:color w:val="auto"/>
        </w:rPr>
        <w:t>Customer Approval</w:t>
      </w:r>
      <w:r>
        <w:rPr>
          <w:rFonts w:ascii="Times New Roman" w:cs="Times New Roman" w:eastAsia="Times New Roman" w:hAnsi="Times New Roman"/>
          <w:sz w:val="22"/>
          <w:szCs w:val="22"/>
          <w:color w:val="auto"/>
        </w:rPr>
        <w:t>. All Customers shall be approved and qualified in accordance with the Rules for purposes of receiving an Account, which will include, but not be limited to, Customer information collection, due diligence and identity verification. Bank reserves the right to deny Customer approval in accordance with Applicable Law or Rule, and in its sole discretion so long as such denial is not prohibited by Applicable Law, and Client agrees to cooperate with Bank in implementing the Customer approval or denial process required by Bank for the Program, as Bank may amend from time to time with sixty (60) days’ written notice to Client (or earlier to the extent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Master Services Agreement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AND PROPRIETARY</w:t>
      </w:r>
    </w:p>
    <w:p>
      <w:pPr>
        <w:sectPr>
          <w:pgSz w:w="11900" w:h="16838" w:orient="portrait"/>
          <w:cols w:equalWidth="0" w:num="1">
            <w:col w:w="11240"/>
          </w:cols>
          <w:pgMar w:left="320" w:top="124" w:right="339" w:bottom="1440" w:gutter="0" w:footer="0" w:header="0"/>
        </w:sectPr>
      </w:pPr>
    </w:p>
    <w:bookmarkStart w:id="439" w:name="page440"/>
    <w:bookmarkEnd w:id="439"/>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 xml:space="preserve">2.5 </w:t>
      </w:r>
      <w:r>
        <w:rPr>
          <w:rFonts w:ascii="Times New Roman" w:cs="Times New Roman" w:eastAsia="Times New Roman" w:hAnsi="Times New Roman"/>
          <w:sz w:val="22"/>
          <w:szCs w:val="22"/>
          <w:u w:val="single" w:color="auto"/>
          <w:color w:val="auto"/>
        </w:rPr>
        <w:t>Account Solicitation and Distribution</w:t>
      </w:r>
      <w:r>
        <w:rPr>
          <w:rFonts w:ascii="Times New Roman" w:cs="Times New Roman" w:eastAsia="Times New Roman" w:hAnsi="Times New Roman"/>
          <w:sz w:val="22"/>
          <w:szCs w:val="22"/>
          <w:color w:val="auto"/>
        </w:rPr>
        <w:t>. Client will market Accounts in accordance with the terms of this Agreement, in accordance with Applicable Law and the Rules, and subject to the terms and conditions of any Program Authorization Letter.</w:t>
      </w:r>
    </w:p>
    <w:p>
      <w:pPr>
        <w:spacing w:after="0" w:line="14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2.6 </w:t>
      </w:r>
      <w:r>
        <w:rPr>
          <w:rFonts w:ascii="Times New Roman" w:cs="Times New Roman" w:eastAsia="Times New Roman" w:hAnsi="Times New Roman"/>
          <w:sz w:val="22"/>
          <w:szCs w:val="22"/>
          <w:u w:val="single" w:color="auto"/>
          <w:color w:val="auto"/>
        </w:rPr>
        <w:t>Establishment of Program Accounts</w:t>
      </w:r>
      <w:r>
        <w:rPr>
          <w:rFonts w:ascii="Times New Roman" w:cs="Times New Roman" w:eastAsia="Times New Roman" w:hAnsi="Times New Roman"/>
          <w:sz w:val="22"/>
          <w:szCs w:val="22"/>
          <w:color w:val="auto"/>
        </w:rPr>
        <w:t>. Bank and Client shall set up and maintain various internal ledger accounts at Bank (“</w:t>
      </w:r>
      <w:r>
        <w:rPr>
          <w:rFonts w:ascii="Times New Roman" w:cs="Times New Roman" w:eastAsia="Times New Roman" w:hAnsi="Times New Roman"/>
          <w:sz w:val="22"/>
          <w:szCs w:val="22"/>
          <w:b w:val="1"/>
          <w:bCs w:val="1"/>
          <w:color w:val="auto"/>
        </w:rPr>
        <w:t>Program Accounts”)</w:t>
      </w:r>
      <w:r>
        <w:rPr>
          <w:rFonts w:ascii="Times New Roman" w:cs="Times New Roman" w:eastAsia="Times New Roman" w:hAnsi="Times New Roman"/>
          <w:sz w:val="22"/>
          <w:szCs w:val="22"/>
          <w:color w:val="auto"/>
        </w:rPr>
        <w:t xml:space="preserve"> as Bank and Client may deem necessary and appropriate in connection with the Program, including, but not limited to, Program Accounts for purposes of facilitating the flow of funds, including receiving Customer Deposits, and the payment of Settlement to the Network. The Parties acknowledge and agree that the Account information, including the balance calculation and all debits and credits related thereto, shall be maintained by the Processor on Bank’s behalf as provided in an Exhibit to the applicable Addendum.</w:t>
      </w:r>
    </w:p>
    <w:p>
      <w:pPr>
        <w:spacing w:after="0" w:line="180"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 xml:space="preserve">2.7 </w:t>
      </w:r>
      <w:r>
        <w:rPr>
          <w:rFonts w:ascii="Times New Roman" w:cs="Times New Roman" w:eastAsia="Times New Roman" w:hAnsi="Times New Roman"/>
          <w:sz w:val="22"/>
          <w:szCs w:val="22"/>
          <w:u w:val="single" w:color="auto"/>
          <w:color w:val="auto"/>
        </w:rPr>
        <w:t>Account Deposits and Delivery of Customer Payments</w:t>
      </w:r>
      <w:r>
        <w:rPr>
          <w:rFonts w:ascii="Times New Roman" w:cs="Times New Roman" w:eastAsia="Times New Roman" w:hAnsi="Times New Roman"/>
          <w:sz w:val="22"/>
          <w:szCs w:val="22"/>
          <w:color w:val="auto"/>
        </w:rPr>
        <w:t>. All mechanisms for the transmission of Deposits to fund the Accounts will be as set forth in this Agreement or the applicable Program Authorization Letter, which may be updated from time to time by mutual written agreement of Client and Bank without need to formally amend the Agreement or Program Authorization Letter, including in connection with Deposit mechanisms to be utilized by Bank. No Deposit mechanism may be utilized unless approved by Bank in writing. To the extent Client receives any Deposits or other sums in connection with the Accounts, Client or Client’s agent shall hold such funds in trust for the benefit of Bank and immediately forward the same to Bank via wire, ACH transfer or as otherwise specified in the applicable Program Authorization Letter.</w:t>
      </w:r>
    </w:p>
    <w:p>
      <w:pPr>
        <w:spacing w:after="0" w:line="17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2.8</w:t>
      </w:r>
      <w:r>
        <w:rPr>
          <w:sz w:val="20"/>
          <w:szCs w:val="20"/>
          <w:color w:val="auto"/>
        </w:rPr>
        <w:tab/>
      </w:r>
      <w:r>
        <w:rPr>
          <w:rFonts w:ascii="Times New Roman" w:cs="Times New Roman" w:eastAsia="Times New Roman" w:hAnsi="Times New Roman"/>
          <w:sz w:val="21"/>
          <w:szCs w:val="21"/>
          <w:u w:val="single" w:color="auto"/>
          <w:color w:val="auto"/>
        </w:rPr>
        <w:t>Program Modification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56"/>
        <w:spacing w:after="0" w:line="230" w:lineRule="auto"/>
        <w:tabs>
          <w:tab w:leader="none" w:pos="1217"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Client and/or Bank reasonably determines that Applicable Law requires a modification to any Program contemplated by this Agreement, including, without limitation, a determination that Applicable Laws have been modified or passed in a jurisdiction that prohibit or place restrictions on the sale or distribution of Programs in the manner agreed, then the determining Party shall provide the other Party with written notice of such determination, and each Party shall cause itself and its agents, vendors, and/or third party service providers to take reasonable steps to avoid violating such Applicable Law, which the Parties acknowledge and agree may require suspending or terminating Programs in certain jurisdictions, and the actual out-of-pocket costs of taking such reasonable steps shall be borne solely by Client.</w:t>
      </w:r>
    </w:p>
    <w:p>
      <w:pPr>
        <w:spacing w:after="0" w:line="179" w:lineRule="exact"/>
        <w:rPr>
          <w:rFonts w:ascii="Times New Roman" w:cs="Times New Roman" w:eastAsia="Times New Roman" w:hAnsi="Times New Roman"/>
          <w:sz w:val="22"/>
          <w:szCs w:val="22"/>
          <w:color w:val="auto"/>
        </w:rPr>
      </w:pPr>
    </w:p>
    <w:p>
      <w:pPr>
        <w:jc w:val="both"/>
        <w:ind w:firstLine="656"/>
        <w:spacing w:after="0" w:line="229" w:lineRule="auto"/>
        <w:tabs>
          <w:tab w:leader="none" w:pos="1261"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Client may suggest changes to a Program at any time, subject to the prior written approval of Bank and any approvals or non-objection letters required by a Regulatory Authority. Bank agrees to consider such suggested changes in good faith and shall provide Client with commercially reasonable cooperation and assistance with any Bank approved changes, and that it shall provide any approval or disapproval of such requested changes within sixty (60) days of such made request, unless a longer period is required by a Regulatory Authority. Unless otherwise agreed to in writing by the Parties, Client shall be responsible for all costs associated with any such changes suggested by Client and approved by Bank. The Parties shall work together reasonably and in good faith, taking into account any legally-binding effective date with respect to any change in a Program and the legal, compliance and reputation risks to the Parties, to implement the modification and/or terminate the affected Program(s) (if applicable) in the manner and time period specified by Client and approved by Bank.</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Master Services Agreement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AND PROPRIETARY</w:t>
      </w:r>
    </w:p>
    <w:p>
      <w:pPr>
        <w:sectPr>
          <w:pgSz w:w="11900" w:h="16838" w:orient="portrait"/>
          <w:cols w:equalWidth="0" w:num="1">
            <w:col w:w="11240"/>
          </w:cols>
          <w:pgMar w:left="320" w:top="124" w:right="339" w:bottom="1440" w:gutter="0" w:footer="0" w:header="0"/>
        </w:sectPr>
      </w:pPr>
    </w:p>
    <w:bookmarkStart w:id="440" w:name="page441"/>
    <w:bookmarkEnd w:id="440"/>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2.9 </w:t>
      </w:r>
      <w:r>
        <w:rPr>
          <w:rFonts w:ascii="Times New Roman" w:cs="Times New Roman" w:eastAsia="Times New Roman" w:hAnsi="Times New Roman"/>
          <w:sz w:val="22"/>
          <w:szCs w:val="22"/>
          <w:u w:val="single" w:color="auto"/>
          <w:color w:val="auto"/>
        </w:rPr>
        <w:t>Implementation of Ongoing Due Diligence and Audit Recommendations; Limitations of Bank Approval</w:t>
      </w:r>
      <w:r>
        <w:rPr>
          <w:rFonts w:ascii="Times New Roman" w:cs="Times New Roman" w:eastAsia="Times New Roman" w:hAnsi="Times New Roman"/>
          <w:sz w:val="22"/>
          <w:szCs w:val="22"/>
          <w:color w:val="auto"/>
        </w:rPr>
        <w:t>. All approval rights of Bank set forth in this Agreement are ongoing and, accordingly, notwithstanding Bank’s initial approval of any activity, process, policy, procedure, Account Program, Account Agreement, Solicitation Material, function, third party, or subcontractor Bank may revoke such approval or condition the ongoing effectiveness of such approval to the extent Bank reasonably determines that such approval may violate Applicable Law or the Rules. Where Bank seeks to revoke or condition an approval, Bank shall provide Client with a minimum of sixty (60) days’ notice and provide a written explanation as to the reasons for such revocation or conditioning, unless a shorter period is required by Applicable Law, Regulatory Authority, or Bank’s safety and soundness standards. Client shall comply with any such revocations or conditions within a timeframe determined by mutual agreement of the Parties.</w:t>
      </w:r>
    </w:p>
    <w:p>
      <w:pPr>
        <w:spacing w:after="0" w:line="19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color w:val="auto"/>
        </w:rPr>
        <w:t>2.10</w:t>
      </w:r>
      <w:r>
        <w:rPr>
          <w:sz w:val="20"/>
          <w:szCs w:val="20"/>
          <w:color w:val="auto"/>
        </w:rPr>
        <w:tab/>
      </w:r>
      <w:r>
        <w:rPr>
          <w:rFonts w:ascii="Times New Roman" w:cs="Times New Roman" w:eastAsia="Times New Roman" w:hAnsi="Times New Roman"/>
          <w:sz w:val="21"/>
          <w:szCs w:val="21"/>
          <w:u w:val="single" w:color="auto"/>
          <w:color w:val="auto"/>
        </w:rPr>
        <w:t>Asset Based Programs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56"/>
        <w:spacing w:after="0" w:line="238" w:lineRule="auto"/>
        <w:tabs>
          <w:tab w:leader="none" w:pos="1099"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Asset Based Program Thresholds. Subject to the terms and conditions in this Agreement, from and after the Program Start Date and during the Term of this Agreement, any Renewal Term, and any Wind-Down Period, if applicable, Bank agrees that it shall originate and hold Accounts originated under any Asset Based Program on its balance sheet, including on an aggregated basis all Client Affiliates’ Asset Based Programs, not to exceed on an aggregated basis $750 million dollars (the “</w:t>
      </w:r>
      <w:r>
        <w:rPr>
          <w:rFonts w:ascii="Times New Roman" w:cs="Times New Roman" w:eastAsia="Times New Roman" w:hAnsi="Times New Roman"/>
          <w:sz w:val="22"/>
          <w:szCs w:val="22"/>
          <w:b w:val="1"/>
          <w:bCs w:val="1"/>
          <w:color w:val="auto"/>
        </w:rPr>
        <w:t>Asset Based Program Threshold Limit</w:t>
      </w:r>
      <w:r>
        <w:rPr>
          <w:rFonts w:ascii="Times New Roman" w:cs="Times New Roman" w:eastAsia="Times New Roman" w:hAnsi="Times New Roman"/>
          <w:sz w:val="22"/>
          <w:szCs w:val="22"/>
          <w:color w:val="auto"/>
        </w:rPr>
        <w:t xml:space="preserve">”). The Parties acknowledge </w:t>
      </w: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22"/>
          <w:szCs w:val="22"/>
          <w:color w:val="auto"/>
        </w:rPr>
        <w:t xml:space="preserve">nd agree that, within [***] of execution of this Agreement, the Parties will work together in good faith to identify and develop a mutually agreed upon plan to build capital market outlets for loans and other non-credit liquidity products </w:t>
      </w:r>
      <w:r>
        <w:rPr>
          <w:rFonts w:ascii="Times New Roman" w:cs="Times New Roman" w:eastAsia="Times New Roman" w:hAnsi="Times New Roman"/>
          <w:sz w:val="22"/>
          <w:szCs w:val="22"/>
          <w:b w:val="1"/>
          <w:bCs w:val="1"/>
          <w:color w:val="auto"/>
        </w:rPr>
        <w:t>o</w:t>
      </w:r>
      <w:r>
        <w:rPr>
          <w:rFonts w:ascii="Times New Roman" w:cs="Times New Roman" w:eastAsia="Times New Roman" w:hAnsi="Times New Roman"/>
          <w:sz w:val="22"/>
          <w:szCs w:val="22"/>
          <w:color w:val="auto"/>
        </w:rPr>
        <w:t>riginated by Bank under an Asset Based Program, including but not limited to asset sales and asset-backed securitizations. For the avoidance of doubt, no Accounts originated under an Asset Based Program shall be sold, securitized, or otherwise transfer or change economic ownership except and until as may be provided under such agreement, and subject to any terms and conditions set forth therein.</w:t>
      </w:r>
    </w:p>
    <w:p>
      <w:pPr>
        <w:spacing w:after="0" w:line="191" w:lineRule="exact"/>
        <w:rPr>
          <w:rFonts w:ascii="Times New Roman" w:cs="Times New Roman" w:eastAsia="Times New Roman" w:hAnsi="Times New Roman"/>
          <w:sz w:val="22"/>
          <w:szCs w:val="22"/>
          <w:color w:val="auto"/>
        </w:rPr>
      </w:pPr>
    </w:p>
    <w:p>
      <w:pPr>
        <w:jc w:val="both"/>
        <w:ind w:firstLine="656"/>
        <w:spacing w:after="0" w:line="241" w:lineRule="auto"/>
        <w:tabs>
          <w:tab w:leader="none" w:pos="1152"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Asset Based Program Threshold Limits. At any time during the Term of this Agreement, if the aggregate principal balance of Accounts originated under an Asset Based Program and held by Bank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Aggregate Account Balance</w:t>
      </w:r>
      <w:r>
        <w:rPr>
          <w:rFonts w:ascii="Times New Roman" w:cs="Times New Roman" w:eastAsia="Times New Roman" w:hAnsi="Times New Roman"/>
          <w:sz w:val="22"/>
          <w:szCs w:val="22"/>
          <w:color w:val="auto"/>
        </w:rPr>
        <w:t>”) exceeds the then-current Asset Based Program Threshold Limit [***], Bank may, in its sole discretion, either (a) increase the Asset Based Program Threshold Limit; (b) implement other methods mutually agreed by the Parties in writing to continue the Program if/when the Aggregate Account Balance meets the Asset Based Program Threshold Limit; or (c) upon [***] prior written notice to Client, suspend originations of Accounts related to an Asset Based Program.</w:t>
      </w:r>
    </w:p>
    <w:p>
      <w:pPr>
        <w:spacing w:after="0" w:line="176" w:lineRule="exact"/>
        <w:rPr>
          <w:rFonts w:ascii="Times New Roman" w:cs="Times New Roman" w:eastAsia="Times New Roman" w:hAnsi="Times New Roman"/>
          <w:sz w:val="22"/>
          <w:szCs w:val="22"/>
          <w:color w:val="auto"/>
        </w:rPr>
      </w:pPr>
    </w:p>
    <w:p>
      <w:pPr>
        <w:jc w:val="both"/>
        <w:ind w:firstLine="656"/>
        <w:spacing w:after="0" w:line="241" w:lineRule="auto"/>
        <w:tabs>
          <w:tab w:leader="none" w:pos="1164"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of Program Threshold Limit. In the event that the Aggregate Account Balance is nearing the Asset Based Program Threshold Limit (and no later than the date at which the Aggregate Account Balance reaches [***] of the Asset Based Program Threshold Limit), the Parties shall mutually review the Asset Based Program Threshold Limit. Bank may, in its sole discretion, elect to increase the Asset Based Program Threshold Limit following such review. If Bank does not elect to increase the Asset Based Program Threshold Limit following such review, the Parties shall mutually discuss methods to continue the Asset Based Program if/when the Aggregate Account Balance meets the Asset Based Program Threshold Limit (including, but not limited to, offering participations of any extensions of credit or liquidity that would cause the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Master Services Agreement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AND PROPRIETARY</w:t>
      </w:r>
    </w:p>
    <w:p>
      <w:pPr>
        <w:sectPr>
          <w:pgSz w:w="11900" w:h="16838" w:orient="portrait"/>
          <w:cols w:equalWidth="0" w:num="1">
            <w:col w:w="11240"/>
          </w:cols>
          <w:pgMar w:left="320" w:top="124" w:right="339" w:bottom="1440" w:gutter="0" w:footer="0" w:header="0"/>
        </w:sectPr>
      </w:pPr>
    </w:p>
    <w:bookmarkStart w:id="441" w:name="page442"/>
    <w:bookmarkEnd w:id="441"/>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Aggregate Account Balance to exceed the Asset Based Program Threshold Limit; provided, however, that any such offering of participations shall be mutually agreed to by the parties in writing).</w:t>
      </w:r>
    </w:p>
    <w:p>
      <w:pPr>
        <w:spacing w:after="0" w:line="172" w:lineRule="exact"/>
        <w:rPr>
          <w:sz w:val="20"/>
          <w:szCs w:val="20"/>
          <w:color w:val="auto"/>
        </w:rPr>
      </w:pPr>
    </w:p>
    <w:p>
      <w:pPr>
        <w:jc w:val="both"/>
        <w:ind w:firstLine="656"/>
        <w:spacing w:after="0" w:line="260" w:lineRule="auto"/>
        <w:tabs>
          <w:tab w:leader="none" w:pos="1112" w:val="left"/>
        </w:tabs>
        <w:numPr>
          <w:ilvl w:val="1"/>
          <w:numId w:val="2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Termination Right. Client may terminate any Asset Based Program addendum (without payment of a termination fee or other penalty) upon one hundred twenty (120) days’ written notice to Bank, provided all of the following conditions are met:</w:t>
      </w:r>
    </w:p>
    <w:p>
      <w:pPr>
        <w:jc w:val="both"/>
        <w:ind w:firstLine="8"/>
        <w:spacing w:after="0" w:line="230" w:lineRule="auto"/>
        <w:tabs>
          <w:tab w:leader="none" w:pos="271" w:val="left"/>
        </w:tabs>
        <w:numPr>
          <w:ilvl w:val="0"/>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 does not elect to increase the Asset Based Program Threshold Limit; (ii) the Parties are unable to agree on methods to continue the Asset Based Program once the Aggregate Account Balance meets the Asset Based Program Threshold Limit; and</w:t>
      </w:r>
    </w:p>
    <w:p>
      <w:pPr>
        <w:spacing w:after="0" w:line="1" w:lineRule="exact"/>
        <w:rPr>
          <w:rFonts w:ascii="Times New Roman" w:cs="Times New Roman" w:eastAsia="Times New Roman" w:hAnsi="Times New Roman"/>
          <w:sz w:val="22"/>
          <w:szCs w:val="22"/>
          <w:color w:val="auto"/>
        </w:rPr>
      </w:pPr>
    </w:p>
    <w:p>
      <w:pPr>
        <w:ind w:right="20" w:firstLine="8"/>
        <w:spacing w:after="0" w:line="248" w:lineRule="auto"/>
        <w:tabs>
          <w:tab w:leader="none" w:pos="387"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Account Balance exceeds the Asset Based Program Threshold Limit, and Bank suspends extensions of credit to Accounts.</w:t>
      </w:r>
    </w:p>
    <w:p>
      <w:pPr>
        <w:spacing w:after="0" w:line="165" w:lineRule="exact"/>
        <w:rPr>
          <w:sz w:val="20"/>
          <w:szCs w:val="20"/>
          <w:color w:val="auto"/>
        </w:rPr>
      </w:pPr>
    </w:p>
    <w:p>
      <w:pPr>
        <w:ind w:left="380" w:hanging="372"/>
        <w:spacing w:after="0"/>
        <w:tabs>
          <w:tab w:leader="none" w:pos="380" w:val="left"/>
        </w:tabs>
        <w:numPr>
          <w:ilvl w:val="0"/>
          <w:numId w:val="2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DUTIES OF CLIENT</w:t>
      </w:r>
    </w:p>
    <w:p>
      <w:pPr>
        <w:spacing w:after="0" w:line="22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3.0</w:t>
      </w:r>
      <w:r>
        <w:rPr>
          <w:sz w:val="20"/>
          <w:szCs w:val="20"/>
          <w:color w:val="auto"/>
        </w:rPr>
        <w:tab/>
      </w:r>
      <w:r>
        <w:rPr>
          <w:rFonts w:ascii="Times New Roman" w:cs="Times New Roman" w:eastAsia="Times New Roman" w:hAnsi="Times New Roman"/>
          <w:sz w:val="21"/>
          <w:szCs w:val="21"/>
          <w:u w:val="single" w:color="auto"/>
          <w:color w:val="auto"/>
        </w:rPr>
        <w:t>Program Development and Implementation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56"/>
        <w:spacing w:after="0" w:line="237" w:lineRule="auto"/>
        <w:tabs>
          <w:tab w:leader="none" w:pos="1137" w:val="left"/>
        </w:tabs>
        <w:numPr>
          <w:ilvl w:val="0"/>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Client will develop Account Programs, Solicitation Materials, and marketing efforts for the marketing of Accounts. Each Account Program, Solicitation Material, or marketing effort (other than Account Programs, Solicitation Materials or marketing efforts approved under the Prior Agreement) is subject to the review and approval of Bank and, at Bank’s discretion, Bank’s execution of a Program Authorization Letter, and such other documents as Bank may require. Bank agrees to review such proposals in accordance with </w:t>
      </w:r>
      <w:r>
        <w:rPr>
          <w:rFonts w:ascii="Times New Roman" w:cs="Times New Roman" w:eastAsia="Times New Roman" w:hAnsi="Times New Roman"/>
          <w:sz w:val="22"/>
          <w:szCs w:val="22"/>
          <w:b w:val="1"/>
          <w:bCs w:val="1"/>
          <w:color w:val="auto"/>
        </w:rPr>
        <w:t>Exhibit B</w:t>
      </w:r>
      <w:r>
        <w:rPr>
          <w:rFonts w:ascii="Times New Roman" w:cs="Times New Roman" w:eastAsia="Times New Roman" w:hAnsi="Times New Roman"/>
          <w:sz w:val="22"/>
          <w:szCs w:val="22"/>
          <w:color w:val="auto"/>
        </w:rPr>
        <w:t>. The Program Authorization Letter shall be generally in the form set forth in an exhibit to the applicable Addendum. Bank reserves the right, in its reasonable discretion, to refuse approval of any new Account Program or marketing proposal that, in its reasonable opinion presents unacceptable financial or reputation risk or is not consistent with the Rules or may be reasonably deemed to be in inconsistent with or violation of Applicable Law. Client acknowledges and agrees that Bank may condition its execution of any Program Authorization Letter for a new marketing effort on amendments to the fees set forth in an exhibit to the applicable Addendum, provided the Bank and Client agree to negotiate such fees in good faith. Client acknowledges that the features of the Accounts shall be generally consistent with the features outlined in an exhibit to the applicable Addendum, which Bank may modify upon reasonable notice to Chime if necessary to comply with Applicable Law, or to ensure the safety and soundness of Bank, and Client may not modify or amend without the Bank’s prior written consent, which shall not be unreasonably withheld, conditioned, or delayed.</w:t>
      </w:r>
    </w:p>
    <w:p>
      <w:pPr>
        <w:spacing w:after="0" w:line="18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Program Collateral and Account Agreements</w:t>
      </w:r>
      <w:r>
        <w:rPr>
          <w:rFonts w:ascii="Times New Roman" w:cs="Times New Roman" w:eastAsia="Times New Roman" w:hAnsi="Times New Roman"/>
          <w:sz w:val="22"/>
          <w:szCs w:val="22"/>
          <w:color w:val="auto"/>
        </w:rPr>
        <w:t>. Client shall market Programs to prospective Customers, subject to Applicable Law, and in accordance with this Agreement and any Addendum.</w:t>
      </w:r>
    </w:p>
    <w:p>
      <w:pPr>
        <w:spacing w:after="0" w:line="144" w:lineRule="exact"/>
        <w:rPr>
          <w:sz w:val="20"/>
          <w:szCs w:val="20"/>
          <w:color w:val="auto"/>
        </w:rPr>
      </w:pPr>
    </w:p>
    <w:p>
      <w:pPr>
        <w:jc w:val="both"/>
        <w:ind w:firstLine="656"/>
        <w:spacing w:after="0" w:line="243" w:lineRule="auto"/>
        <w:tabs>
          <w:tab w:leader="none" w:pos="1112"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Client shall be responsible for, including all expenses associated with, the manufacturing and printing of all Program Collateral and Account Agreements. All such Program Collateral and Account Agreements shall comply with Applicable Law, all Rules, identify Bank as the issuer of the Account and shall include such other names and Marks as may be required to conform to Graphic Standards, Regulatory Authority and Rules. Any design for a co-branded Card associated with the Account shall also be subject to Bank’s prior review and approval.</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Master Services Agreement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AND PROPRIETARY</w:t>
      </w:r>
    </w:p>
    <w:p>
      <w:pPr>
        <w:sectPr>
          <w:pgSz w:w="11900" w:h="16838" w:orient="portrait"/>
          <w:cols w:equalWidth="0" w:num="1">
            <w:col w:w="11240"/>
          </w:cols>
          <w:pgMar w:left="320" w:top="124" w:right="339" w:bottom="1440" w:gutter="0" w:footer="0" w:header="0"/>
        </w:sectPr>
      </w:pPr>
    </w:p>
    <w:bookmarkStart w:id="442" w:name="page443"/>
    <w:bookmarkEnd w:id="442"/>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firstLine="656"/>
        <w:spacing w:after="0" w:line="258" w:lineRule="auto"/>
        <w:tabs>
          <w:tab w:leader="none" w:pos="1190"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Client shall market Accounts to prospective Customers, subject to Applicable Law, any Rules, and in accordance with this Agreement and any Program Authorization Letter.</w:t>
      </w:r>
    </w:p>
    <w:p>
      <w:pPr>
        <w:spacing w:after="0" w:line="140" w:lineRule="exact"/>
        <w:rPr>
          <w:rFonts w:ascii="Times New Roman" w:cs="Times New Roman" w:eastAsia="Times New Roman" w:hAnsi="Times New Roman"/>
          <w:sz w:val="22"/>
          <w:szCs w:val="22"/>
          <w:color w:val="auto"/>
        </w:rPr>
      </w:pPr>
    </w:p>
    <w:p>
      <w:pPr>
        <w:jc w:val="both"/>
        <w:ind w:firstLine="656"/>
        <w:spacing w:after="0"/>
        <w:tabs>
          <w:tab w:leader="none" w:pos="1166" w:val="left"/>
        </w:tabs>
        <w:numPr>
          <w:ilvl w:val="0"/>
          <w:numId w:val="2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During the term of this Agreement, in accordance with </w:t>
      </w:r>
      <w:r>
        <w:rPr>
          <w:rFonts w:ascii="Times New Roman" w:cs="Times New Roman" w:eastAsia="Times New Roman" w:hAnsi="Times New Roman"/>
          <w:sz w:val="21"/>
          <w:szCs w:val="21"/>
          <w:b w:val="1"/>
          <w:bCs w:val="1"/>
          <w:color w:val="auto"/>
        </w:rPr>
        <w:t>Exhibit B</w:t>
      </w:r>
      <w:r>
        <w:rPr>
          <w:rFonts w:ascii="Times New Roman" w:cs="Times New Roman" w:eastAsia="Times New Roman" w:hAnsi="Times New Roman"/>
          <w:sz w:val="21"/>
          <w:szCs w:val="21"/>
          <w:color w:val="auto"/>
        </w:rPr>
        <w:t xml:space="preserve">, Client shall propose all previously unapproved marketing plans to Bank for prior review, approval, or disapproval in advance of its release or use in the marketplace. Client’s submissions to Bank shall include, but not be limited to, all Program Collateral, Account Agreements, and Solicitation Materials, including the Program Websites, and mobile applications. Bank shall not intentionally delay or unreasonably withhold its review and approval of proposed Program Collateral, Account Agreements, and Solicitation Materials, such review to be completed within the time frame set forth in </w:t>
      </w:r>
      <w:r>
        <w:rPr>
          <w:rFonts w:ascii="Times New Roman" w:cs="Times New Roman" w:eastAsia="Times New Roman" w:hAnsi="Times New Roman"/>
          <w:sz w:val="21"/>
          <w:szCs w:val="21"/>
          <w:b w:val="1"/>
          <w:bCs w:val="1"/>
          <w:color w:val="auto"/>
        </w:rPr>
        <w:t>Exhibit B</w:t>
      </w:r>
      <w:r>
        <w:rPr>
          <w:rFonts w:ascii="Times New Roman" w:cs="Times New Roman" w:eastAsia="Times New Roman" w:hAnsi="Times New Roman"/>
          <w:sz w:val="21"/>
          <w:szCs w:val="21"/>
          <w:color w:val="auto"/>
        </w:rPr>
        <w:t>. Notwithstanding Bank’s initial approval of the form of any Account Agreement, Bank shall have the right, in its sole discretion, from time to time upon one-hundred and twenty (120) days’ prior written notice to Client (or such shorter notice period as Client may agree, or with thirty (30) days’ advance notice in the event of a change that is required in order to comply with Applicable Law), to change, alter or amend the Account Agreement. The cost of any changes to the Account Agreement for any reason, including any changes necessitated by Client’s actions or requests (other than discretionary changes imposed by Bank not otherwise required by Applicable Law) shall be borne by Client.</w:t>
      </w:r>
    </w:p>
    <w:p>
      <w:pPr>
        <w:spacing w:after="0" w:line="182" w:lineRule="exact"/>
        <w:rPr>
          <w:rFonts w:ascii="Times New Roman" w:cs="Times New Roman" w:eastAsia="Times New Roman" w:hAnsi="Times New Roman"/>
          <w:sz w:val="21"/>
          <w:szCs w:val="21"/>
          <w:color w:val="auto"/>
        </w:rPr>
      </w:pPr>
    </w:p>
    <w:p>
      <w:pPr>
        <w:jc w:val="both"/>
        <w:ind w:firstLine="656"/>
        <w:spacing w:after="0" w:line="238" w:lineRule="auto"/>
        <w:tabs>
          <w:tab w:leader="none" w:pos="1264"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Client shall be responsible for the delivery and implementation of any necessary amendments to the Account Agreement under this Agreement and for ensuring that the amendment of the Account Agreement is accomplished in compliance with all Applicable Law.</w:t>
      </w:r>
    </w:p>
    <w:p>
      <w:pPr>
        <w:spacing w:after="0" w:line="178" w:lineRule="exact"/>
        <w:rPr>
          <w:rFonts w:ascii="Times New Roman" w:cs="Times New Roman" w:eastAsia="Times New Roman" w:hAnsi="Times New Roman"/>
          <w:sz w:val="22"/>
          <w:szCs w:val="22"/>
          <w:color w:val="auto"/>
        </w:rPr>
      </w:pPr>
    </w:p>
    <w:p>
      <w:pPr>
        <w:jc w:val="both"/>
        <w:ind w:firstLine="656"/>
        <w:spacing w:after="0" w:line="230" w:lineRule="auto"/>
        <w:tabs>
          <w:tab w:leader="none" w:pos="1190"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Distribution of Cards and Account Agreements. Client shall be responsible for the distribution of any Cards and Account Agreements as may be described in any Program Authorization Letter. Client shall ensure that any and all Cards are handled, shipped and distributed in accordance with Applicable Law and the Rules. Client agrees that it shall implement any and all inventory management controls required by the Rules for any and all Cards that are maintained in its possession or in the possession of any third party contracted by the Client. Client agrees that it will send inventory reports as may be requested by the Bank from time to time.</w:t>
      </w:r>
    </w:p>
    <w:p>
      <w:pPr>
        <w:spacing w:after="0" w:line="178" w:lineRule="exact"/>
        <w:rPr>
          <w:rFonts w:ascii="Times New Roman" w:cs="Times New Roman" w:eastAsia="Times New Roman" w:hAnsi="Times New Roman"/>
          <w:sz w:val="22"/>
          <w:szCs w:val="22"/>
          <w:color w:val="auto"/>
        </w:rPr>
      </w:pPr>
    </w:p>
    <w:p>
      <w:pPr>
        <w:jc w:val="both"/>
        <w:ind w:firstLine="656"/>
        <w:spacing w:after="0" w:line="232" w:lineRule="auto"/>
        <w:tabs>
          <w:tab w:leader="none" w:pos="1180"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 shall use commercially reasonable efforts to ensure Client obtains all Network approvals, as Bank or such Network may require. Client shall be responsible for costs related to such approval as outlined in the applicable Addendum, including, but not limited to, any costs relating to any Independent Sales Organization (“ISO”) registration required in connection with the Program. It is expressly understood that approval by a Network may be established by Bank as a condition precedent to the commencement of any Account Program and the issuance of a Program Authorization Letter.</w:t>
      </w:r>
    </w:p>
    <w:p>
      <w:pPr>
        <w:spacing w:after="0" w:line="181" w:lineRule="exact"/>
        <w:rPr>
          <w:rFonts w:ascii="Times New Roman" w:cs="Times New Roman" w:eastAsia="Times New Roman" w:hAnsi="Times New Roman"/>
          <w:sz w:val="22"/>
          <w:szCs w:val="22"/>
          <w:color w:val="auto"/>
        </w:rPr>
      </w:pPr>
    </w:p>
    <w:p>
      <w:pPr>
        <w:jc w:val="both"/>
        <w:ind w:firstLine="656"/>
        <w:spacing w:after="0" w:line="255" w:lineRule="auto"/>
        <w:tabs>
          <w:tab w:leader="none" w:pos="1134" w:val="left"/>
        </w:tabs>
        <w:numPr>
          <w:ilvl w:val="0"/>
          <w:numId w:val="2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Bank grants to Client a nonexclusive, royalty free, nontransferable right and license to use certain Marks (owned by Bank or its licensors) in accordance with the Account Agreements, Solicitation Materials, and marketing methods approved in the Program Authorization Letter. The use of the Marks by Client without the prior written consent of the Bank is prohibited.</w:t>
      </w:r>
    </w:p>
    <w:p>
      <w:pPr>
        <w:spacing w:after="0" w:line="161" w:lineRule="exact"/>
        <w:rPr>
          <w:rFonts w:ascii="Times New Roman" w:cs="Times New Roman" w:eastAsia="Times New Roman" w:hAnsi="Times New Roman"/>
          <w:sz w:val="21"/>
          <w:szCs w:val="21"/>
          <w:color w:val="auto"/>
        </w:rPr>
      </w:pPr>
    </w:p>
    <w:p>
      <w:pPr>
        <w:jc w:val="both"/>
        <w:ind w:firstLine="656"/>
        <w:spacing w:after="0" w:line="238" w:lineRule="auto"/>
        <w:tabs>
          <w:tab w:leader="none" w:pos="1130"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Client shall be solely responsible for ensuring that the Account Agreement, the Solicitation Materials, the marketing methods, the Deposit mechanisms, all aspects of the Program Website, and all other aspects of the Program comply with Applicable Law, including, but not</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Master Services Agreement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AND PROPRIETARY</w:t>
      </w:r>
    </w:p>
    <w:p>
      <w:pPr>
        <w:sectPr>
          <w:pgSz w:w="11900" w:h="16838" w:orient="portrait"/>
          <w:cols w:equalWidth="0" w:num="1">
            <w:col w:w="11240"/>
          </w:cols>
          <w:pgMar w:left="320" w:top="124" w:right="339" w:bottom="1440" w:gutter="0" w:footer="0" w:header="0"/>
        </w:sectPr>
      </w:pPr>
    </w:p>
    <w:bookmarkStart w:id="443" w:name="page444"/>
    <w:bookmarkEnd w:id="443"/>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1"/>
          <w:szCs w:val="21"/>
          <w:color w:val="auto"/>
        </w:rPr>
        <w:t>limited to, the Truth in Savings Act, Regulation DD, the Expedited Funds Availability Act, Regulation CC, the Electronic Funds Transfer Act, Regulation E, and the provisions of the Federal Deposit Insurance Act. It is expressly understood that Bank’s review and approval of any aspect of the Program or materials shall be for Bank’s independent purposes and shall not constitute an approval or certification to Client for purposes of Client’s independent obligation to ensure compliance with Applicable Law.</w:t>
      </w:r>
    </w:p>
    <w:p>
      <w:pPr>
        <w:spacing w:after="0" w:line="161" w:lineRule="exact"/>
        <w:rPr>
          <w:sz w:val="20"/>
          <w:szCs w:val="20"/>
          <w:color w:val="auto"/>
        </w:rPr>
      </w:pPr>
    </w:p>
    <w:p>
      <w:pPr>
        <w:jc w:val="both"/>
        <w:ind w:firstLine="656"/>
        <w:spacing w:after="0" w:line="247" w:lineRule="auto"/>
        <w:tabs>
          <w:tab w:leader="none" w:pos="1127"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Bank’s initial approval of the form of any Customer Disclosures, Bank shall have the right, in its sole discretion, from time to time upon sixty (60) days’ prior written notice to Client (or such shorter notice period as Client may agree or as may be required by Applicable Law, Regulatory Authority, or Bank’s safety and soundness standards), to require a change, alteration or amendment to Customer Disclosures. The Parties shall meet in good faith to discuss such requests and shall use commercially reasonable efforts to mutually agree upon a change, alteration, or amendment to such Customer Disclosures. Notwithstanding the foregoing, such changes or alterations or amendments may be required with no advance notice in the event of a change that is required in order to comply with Applicable Law, Regulatory Authority, or Bank’s safety and soundness standards and the cost of any changes to the Customer Disclosures for any reason, including any changes necessitated by Client’s actions or requests (other than discretionary changes imposed by Bank not otherwise required by Applicable Law) shall be borne by Client.</w:t>
      </w:r>
    </w:p>
    <w:p>
      <w:pPr>
        <w:spacing w:after="0" w:line="204" w:lineRule="exact"/>
        <w:rPr>
          <w:rFonts w:ascii="Times New Roman" w:cs="Times New Roman" w:eastAsia="Times New Roman" w:hAnsi="Times New Roman"/>
          <w:sz w:val="22"/>
          <w:szCs w:val="22"/>
          <w:color w:val="auto"/>
        </w:rPr>
      </w:pPr>
    </w:p>
    <w:p>
      <w:pPr>
        <w:jc w:val="both"/>
        <w:ind w:firstLine="656"/>
        <w:spacing w:after="0" w:line="257" w:lineRule="auto"/>
        <w:tabs>
          <w:tab w:leader="none" w:pos="1070"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Customer Disclosures are deemed to not be compliant with any Applicable Law at any time after delivery thereof to a Customer, Client shall immediately deliver to such Customers amended Customer Disclosures that comply with Applicable Law.</w:t>
      </w:r>
    </w:p>
    <w:p>
      <w:pPr>
        <w:spacing w:after="0" w:line="17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Termination of Accounts</w:t>
      </w:r>
      <w:r>
        <w:rPr>
          <w:rFonts w:ascii="Times New Roman" w:cs="Times New Roman" w:eastAsia="Times New Roman" w:hAnsi="Times New Roman"/>
          <w:sz w:val="22"/>
          <w:szCs w:val="22"/>
          <w:color w:val="auto"/>
        </w:rPr>
        <w:t>. Client acknowledges that the Accounts are issued and held by Bank and shall be subject to cancellation at any time by Bank, in accordance with this Agreement, the Account Agreement or as required or permitted by Applicable Law, or, on a case-by-case basis, where the Bank believes a Customer is using the Account and/or the associated Card for fraudulent or illegal purposes. Conversely, Bank acknowledges that Client maintains independent customer relationships with Customers, and Client may have independent reasons to suggest suspension or cancellation of an Account or Card by Bank. As such, where Client (i) reasonably believes in good faith that a Customer may be using the Account and/or Card for fraudulent or illegal purposes; or (ii) otherwise intends to suspend or terminate its independent customer relationship with a Customer due to actual or suspected fraud or illegal purposes, it shall notify Bank. Upon receipt of notice of termination of this Agreement for any reason, Client shall, at its sole expense, provide written certification of destruction of any unused Cards, under dual control, by a third party approved by the Bank all in keeping with the Rules as set forth by the applicable Network as it pertains to the shipping and destruction of Cards.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u w:val="single" w:color="auto"/>
          <w:color w:val="auto"/>
        </w:rPr>
        <w:t>Customer Service</w:t>
      </w:r>
      <w:r>
        <w:rPr>
          <w:rFonts w:ascii="Times New Roman" w:cs="Times New Roman" w:eastAsia="Times New Roman" w:hAnsi="Times New Roman"/>
          <w:sz w:val="22"/>
          <w:szCs w:val="22"/>
          <w:color w:val="auto"/>
        </w:rPr>
        <w:t>. Client specifically acknowledges and agrees that all customer service provided to Customers in connection with any Program, whether provided by Client or through a Bank-approved Subcontractor, shall comply with Applicable Law. Client shall be responsible for all customer service obligations related to the Accounts. The customer service shall be provided in accordance with the requirements this section, any applicable Program Authorization Letter,</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Master Services Agreement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AND PROPRIETARY</w:t>
      </w:r>
    </w:p>
    <w:p>
      <w:pPr>
        <w:sectPr>
          <w:pgSz w:w="11900" w:h="16838" w:orient="portrait"/>
          <w:cols w:equalWidth="0" w:num="1">
            <w:col w:w="11240"/>
          </w:cols>
          <w:pgMar w:left="320" w:top="124" w:right="339" w:bottom="1440" w:gutter="0" w:footer="0" w:header="0"/>
        </w:sectPr>
      </w:pPr>
    </w:p>
    <w:bookmarkStart w:id="444" w:name="page445"/>
    <w:bookmarkEnd w:id="444"/>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in accordance with the specified service level standards as set forth in an Exhibit to the applicable Addendum.</w:t>
      </w:r>
    </w:p>
    <w:p>
      <w:pPr>
        <w:spacing w:after="0" w:line="206" w:lineRule="exact"/>
        <w:rPr>
          <w:sz w:val="20"/>
          <w:szCs w:val="20"/>
          <w:color w:val="auto"/>
        </w:rPr>
      </w:pPr>
    </w:p>
    <w:p>
      <w:pPr>
        <w:jc w:val="both"/>
        <w:ind w:firstLine="656"/>
        <w:spacing w:after="0" w:line="258" w:lineRule="auto"/>
        <w:tabs>
          <w:tab w:leader="none" w:pos="1137" w:val="left"/>
        </w:tabs>
        <w:numPr>
          <w:ilvl w:val="1"/>
          <w:numId w:val="2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Client agrees that to the extent that it provides customer service directly, it shall: (i) provide a mechanism such that Bank may monitor Client’s customer service practices through remote call monitoring, (ii) provide Bank with reports of its customer service activities and service level performance in such frequency and format as may be reasonably required by Bank,</w:t>
      </w:r>
    </w:p>
    <w:p>
      <w:pPr>
        <w:spacing w:after="0" w:line="1" w:lineRule="exact"/>
        <w:rPr>
          <w:rFonts w:ascii="Times New Roman" w:cs="Times New Roman" w:eastAsia="Times New Roman" w:hAnsi="Times New Roman"/>
          <w:sz w:val="21"/>
          <w:szCs w:val="21"/>
          <w:color w:val="auto"/>
        </w:rPr>
      </w:pPr>
    </w:p>
    <w:p>
      <w:pPr>
        <w:jc w:val="both"/>
        <w:ind w:firstLine="8"/>
        <w:spacing w:after="0" w:line="236" w:lineRule="auto"/>
        <w:tabs>
          <w:tab w:leader="none" w:pos="378"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a quality assurance and monitoring program approved by the parties which is appropriate for the scope of services being provided, (iv) provide call center reporting in such frequency and format as may be reasonably required by Bank, (v) conduct annually, compliance training as approved by the Bank, including but not limited to: BSA/AML, Regulation E, Truth in Savings, Regulation DD, Regulation CC, Expedited Funds Availability Act, and Electronic Funds Transfer Act , and (vi) forward all oral dispute claims in accordance with Section 3.3(e), below.</w:t>
      </w:r>
    </w:p>
    <w:p>
      <w:pPr>
        <w:spacing w:after="0" w:line="190" w:lineRule="exact"/>
        <w:rPr>
          <w:rFonts w:ascii="Times New Roman" w:cs="Times New Roman" w:eastAsia="Times New Roman" w:hAnsi="Times New Roman"/>
          <w:sz w:val="22"/>
          <w:szCs w:val="22"/>
          <w:color w:val="auto"/>
        </w:rPr>
      </w:pPr>
    </w:p>
    <w:p>
      <w:pPr>
        <w:jc w:val="both"/>
        <w:ind w:firstLine="656"/>
        <w:spacing w:after="0" w:line="250" w:lineRule="auto"/>
        <w:tabs>
          <w:tab w:leader="none" w:pos="1154" w:val="left"/>
        </w:tabs>
        <w:numPr>
          <w:ilvl w:val="1"/>
          <w:numId w:val="2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Client may contract with a third-party service provider to perform the customer service activities with Bank’s prior written approval. At a minimum, Client shall ensure that the third party: (i) is subject to the Bank’s initial and on-going due diligence standards, (ii) is subject to periodic audit and examination by the Bank, (iii) must adhere to the applicable minimum service level standards as set forth in an Exhibit to the applicable Addendum, (iv) must have a quality assurance and monitoring program appropriate for the scope of services being provided, (v) must conduct annual compliance training as approved by the Bank (in accordance with Section 3.11) (vi) must forward all oral dispute claims in accordance with Section 3.7 of the Agreement, (vii) must provide for remote call monitoring by the Client and/or the Bank, (viii) must provide [***] call center reporting, and (iv) is subject to termination without penalty for non-performance or breach of the agreement. Pursuant to Section 9.2(a)(i) hereof and subject to the cure period described therein, Bank may hold Client in breach of this Section 3.3(b) if (y) the third party service provider provides customer service and notifies Bank in writing that such third party service provider is terminating its agreement(s) with Client due to Client’s breach of its agreement(s) with such third party service provider, and (z) Client has not arranged for other provision of customer service satisfactory to Bank in its reasonable discretion.</w:t>
      </w:r>
    </w:p>
    <w:p>
      <w:pPr>
        <w:spacing w:after="0" w:line="167" w:lineRule="exact"/>
        <w:rPr>
          <w:rFonts w:ascii="Times New Roman" w:cs="Times New Roman" w:eastAsia="Times New Roman" w:hAnsi="Times New Roman"/>
          <w:sz w:val="21"/>
          <w:szCs w:val="21"/>
          <w:color w:val="auto"/>
        </w:rPr>
      </w:pPr>
    </w:p>
    <w:p>
      <w:pPr>
        <w:jc w:val="both"/>
        <w:ind w:firstLine="656"/>
        <w:spacing w:after="0" w:line="243" w:lineRule="auto"/>
        <w:tabs>
          <w:tab w:leader="none" w:pos="1163" w:val="left"/>
        </w:tabs>
        <w:numPr>
          <w:ilvl w:val="1"/>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Client acknowledges and agrees that its engagement of a third party to provide customer service shall not absolve Client of its obligations hereunder. Client specifically acknowledges and agrees that all customer service provided to Customers in connection with any Program, whether provided by Client or through an approved third-party service provider, shall comply with Applicable Law, including but not limited to Section 5 of the Federal Trade Commission Act and Regulation AA, Regulation DD, and Regulation E as may be applicable.</w:t>
      </w:r>
    </w:p>
    <w:p>
      <w:pPr>
        <w:spacing w:after="0" w:line="177" w:lineRule="exact"/>
        <w:rPr>
          <w:rFonts w:ascii="Times New Roman" w:cs="Times New Roman" w:eastAsia="Times New Roman" w:hAnsi="Times New Roman"/>
          <w:sz w:val="22"/>
          <w:szCs w:val="22"/>
          <w:color w:val="auto"/>
        </w:rPr>
      </w:pPr>
    </w:p>
    <w:p>
      <w:pPr>
        <w:jc w:val="both"/>
        <w:ind w:firstLine="656"/>
        <w:spacing w:after="0" w:line="255" w:lineRule="auto"/>
        <w:tabs>
          <w:tab w:leader="none" w:pos="1160" w:val="left"/>
        </w:tabs>
        <w:numPr>
          <w:ilvl w:val="1"/>
          <w:numId w:val="2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Client (or its Bank-approved subcontractor) receives a complaint in any form from a Customer or non-Customer in connection with the Program, and such complaint is addressed to Client, then Client shall resolve all such complaints pursuant to the Bank’s complaint policy as provided by Bank from time to time (“</w:t>
      </w:r>
      <w:r>
        <w:rPr>
          <w:rFonts w:ascii="Times New Roman" w:cs="Times New Roman" w:eastAsia="Times New Roman" w:hAnsi="Times New Roman"/>
          <w:sz w:val="21"/>
          <w:szCs w:val="21"/>
          <w:b w:val="1"/>
          <w:bCs w:val="1"/>
          <w:color w:val="auto"/>
        </w:rPr>
        <w:t>Complaint Policy</w:t>
      </w:r>
      <w:r>
        <w:rPr>
          <w:rFonts w:ascii="Times New Roman" w:cs="Times New Roman" w:eastAsia="Times New Roman" w:hAnsi="Times New Roman"/>
          <w:sz w:val="21"/>
          <w:szCs w:val="21"/>
          <w:color w:val="auto"/>
        </w:rPr>
        <w:t>”). Client may propose specific exceptions from the Complaint Policy, which the Bank shall consider in good-faith. Bank may approve or decline any such proposed exceptions in its sole reasonable discretion, and Bank’s decision shall be communicated to Client in writing. In the event that Client (or its Bank-approved subcontractor) receives a complaint in any form from a Customer or non-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Master Services Agreement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AND PROPRIETARY</w:t>
      </w:r>
    </w:p>
    <w:p>
      <w:pPr>
        <w:sectPr>
          <w:pgSz w:w="11900" w:h="16838" w:orient="portrait"/>
          <w:cols w:equalWidth="0" w:num="1">
            <w:col w:w="11240"/>
          </w:cols>
          <w:pgMar w:left="320" w:top="124" w:right="339" w:bottom="1440" w:gutter="0" w:footer="0" w:header="0"/>
        </w:sectPr>
      </w:pPr>
    </w:p>
    <w:bookmarkStart w:id="445" w:name="page446"/>
    <w:bookmarkEnd w:id="445"/>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Customer, and such complaint is addressed to Bank, then Client shall promptly forward such complaint to Bank for Bank’s handling and response. Each Party shall provide reasonable cooperation to the other Party in the resolution of all Customer and non-Customer complaints received in connection with the Program, including, but not limited to, in assessing and evaluating the frequency, nature or underlying causes for any complaints or inquiries received from Customers and non-Customers.</w:t>
      </w:r>
    </w:p>
    <w:p>
      <w:pPr>
        <w:spacing w:after="0" w:line="176" w:lineRule="exact"/>
        <w:rPr>
          <w:sz w:val="20"/>
          <w:szCs w:val="20"/>
          <w:color w:val="auto"/>
        </w:rPr>
      </w:pPr>
    </w:p>
    <w:p>
      <w:pPr>
        <w:jc w:val="both"/>
        <w:ind w:firstLine="656"/>
        <w:spacing w:after="0" w:line="247" w:lineRule="auto"/>
        <w:tabs>
          <w:tab w:leader="none" w:pos="1158"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Customer Error Resolution. Client agrees that in the event it or the Processor receives from a Customer an oral or written notice of “error” as defined in 12 CFR 1005.11(a) of Regulation E, Client will a) contract with a Bank-approved third-party (“Dispute Management Provider”), and/or b) upon written approval from Bank, use Client’s own internal team, to promptly respond to such inquiries in accordance with the terms of the Account Agreement and Regulation E, and the Rules established by the Bank. Client shall retain directly, or through the Dispute Management Provider, for the period required by Regulation E or any other Applicable Law with a longer record retention requirement all error-related information, all error-resolution communications, records, account notes and other supporting documentation related to a notice of “error”, and shall provide the same to Bank as it may reasonably request from time to time. To the extent Bank responds to any such errors. Client shall use reasonable efforts to cooperate with Bank in the reasonable resolution of any customer or Customer-reported error, all in accordance with Applicable Law. Unless Bank has provided its written approval for Client to provide dispute management services pursuant to this Section 3.3(e), and pursuant to Section 9.2(a)(i) hereof and subject to the cure period described therein, Bank may hold Client in breach of this Section 3.3 if (i) the Dispute Management Provider provides notice to Bank that Dispute Management Provider is terminating its agreement(s) with Client due to Client’s breach of such agreement(s) with the Dispute Management Provider, and (ii) Client has not contracted with an alternative Dispute Management Provider approved by the Bank and pursuant to the terms of this Section 3.3(e).</w:t>
      </w:r>
    </w:p>
    <w:p>
      <w:pPr>
        <w:spacing w:after="0" w:line="19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3.4 </w:t>
      </w:r>
      <w:r>
        <w:rPr>
          <w:rFonts w:ascii="Times New Roman" w:cs="Times New Roman" w:eastAsia="Times New Roman" w:hAnsi="Times New Roman"/>
          <w:sz w:val="22"/>
          <w:szCs w:val="22"/>
          <w:u w:val="single" w:color="auto"/>
          <w:color w:val="auto"/>
        </w:rPr>
        <w:t>Deposit Mechanism</w:t>
      </w:r>
      <w:r>
        <w:rPr>
          <w:rFonts w:ascii="Times New Roman" w:cs="Times New Roman" w:eastAsia="Times New Roman" w:hAnsi="Times New Roman"/>
          <w:sz w:val="22"/>
          <w:szCs w:val="22"/>
          <w:color w:val="auto"/>
        </w:rPr>
        <w:t>. Only mechanisms to fund Deposits to the Accounts approved by Bank in writing in the Program Authorization Letter (or as may otherwise be approved by Bank in writing) may be utilized to collect and transfer Deposit Amounts from Customers to Bank. No Deposit mechanism, including Deposit acceptance locations, networks or other related features may be used in connection with any Account Program unless pre- approved by Bank. Client shall be solely responsible for ensuring that any Deposit mechanism, including the involvement of Client and any third parties in connection with the same, is in compliance with Applicable Law. Notwithstanding anything to the contrary in this Agreement, Bank acknowledges and agrees that Customers will have the option under the Program to move Deposits directly or through Client into accounts held at other financial institutions; provided, however, such Deposit movement shall be subject to the Rules and Bank’s safety and soundness.</w:t>
      </w:r>
    </w:p>
    <w:p>
      <w:pPr>
        <w:spacing w:after="0" w:line="18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3.5</w:t>
      </w:r>
      <w:r>
        <w:rPr>
          <w:sz w:val="20"/>
          <w:szCs w:val="20"/>
          <w:color w:val="auto"/>
        </w:rPr>
        <w:tab/>
      </w:r>
      <w:r>
        <w:rPr>
          <w:rFonts w:ascii="Times New Roman" w:cs="Times New Roman" w:eastAsia="Times New Roman" w:hAnsi="Times New Roman"/>
          <w:sz w:val="21"/>
          <w:szCs w:val="21"/>
          <w:u w:val="single" w:color="auto"/>
          <w:color w:val="auto"/>
        </w:rPr>
        <w:t>Account Funding</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56"/>
        <w:spacing w:after="0" w:line="263" w:lineRule="auto"/>
        <w:tabs>
          <w:tab w:leader="none" w:pos="1225" w:val="left"/>
        </w:tabs>
        <w:numPr>
          <w:ilvl w:val="0"/>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Liability for Funding Failures. Except to the extent directly caused by the actions of the Bank, Client shall be responsible for all Funding Failures. In the event of a Funding Failure in connection with any Account Program, Client shall, within [***] after receiving notice of such Funding Failure from Bank, fully fund any shortfall in any Program Account.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Master Services Agreement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AND PROPRIETARY</w:t>
      </w:r>
    </w:p>
    <w:p>
      <w:pPr>
        <w:sectPr>
          <w:pgSz w:w="11900" w:h="16838" w:orient="portrait"/>
          <w:cols w:equalWidth="0" w:num="1">
            <w:col w:w="11240"/>
          </w:cols>
          <w:pgMar w:left="320" w:top="124" w:right="339" w:bottom="1440" w:gutter="0" w:footer="0" w:header="0"/>
        </w:sectPr>
      </w:pPr>
    </w:p>
    <w:bookmarkStart w:id="446" w:name="page447"/>
    <w:bookmarkEnd w:id="446"/>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0" w:firstLine="656"/>
        <w:spacing w:after="0" w:line="271" w:lineRule="auto"/>
        <w:tabs>
          <w:tab w:leader="none" w:pos="1186" w:val="left"/>
        </w:tabs>
        <w:numPr>
          <w:ilvl w:val="0"/>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Client shall ensure that the relevant Program Account or Accounts at Bank have balances at all times equal to or exceeding the total balances of the Accounts as noted on the records of the Processor.</w:t>
      </w:r>
    </w:p>
    <w:p>
      <w:pPr>
        <w:spacing w:after="0" w:line="158"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3.6</w:t>
      </w:r>
      <w:r>
        <w:rPr>
          <w:sz w:val="20"/>
          <w:szCs w:val="20"/>
          <w:color w:val="auto"/>
        </w:rPr>
        <w:tab/>
      </w:r>
      <w:r>
        <w:rPr>
          <w:rFonts w:ascii="Times New Roman" w:cs="Times New Roman" w:eastAsia="Times New Roman" w:hAnsi="Times New Roman"/>
          <w:sz w:val="21"/>
          <w:szCs w:val="21"/>
          <w:u w:val="single" w:color="auto"/>
          <w:color w:val="auto"/>
        </w:rPr>
        <w:t>Processing Services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656"/>
        <w:spacing w:after="0" w:line="247" w:lineRule="auto"/>
        <w:tabs>
          <w:tab w:leader="none" w:pos="1131"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Processor Agreement</w:t>
      </w:r>
      <w:r>
        <w:rPr>
          <w:rFonts w:ascii="Times New Roman" w:cs="Times New Roman" w:eastAsia="Times New Roman" w:hAnsi="Times New Roman"/>
          <w:sz w:val="22"/>
          <w:szCs w:val="22"/>
          <w:color w:val="auto"/>
        </w:rPr>
        <w:t>. Client shall and will at all times maintain a contract with a Processor approved in writing by Bank (“Processor Agreement”) for purposes of providing Processing Services; provided that, notwithstanding anything to the contrary in the Agreement, Client may directly perform any Processing Services (including, but not limited to, Client directly processing NACHA files related to inbound/outbound ACHs), subject to written approval by Bank that Client’s direct Processing Services comply with Bank’s standards for processors, with such approval not to be unreasonably withheld. For the avoidance of doubt, Galileo Financial Technologies, LLC is approved by Bank. Unless otherwise agreed or amended by the provisions of any Program Authorization Letter, a Processor Agreement shall provide for the Processing Services as described in an Exhibit to the applicable Addendum or Program Authorization Letter in connection with the Accounts. Such Processor Agreement shall also specifically provide that Bank, Client and Processor shall enter into a tri-party agreement whereby Bank shall be entitled to rely upon and enforce as a third-party beneficiary the provisions of the Processing Agreement in the event of a breach of this Agreement by Client. Client shall cause Processor to provide Bank all Customer data, those reports provided by Processor to Client, and any additional reports that the Bank may reasonably request either on a regular scheduled basis or as periodically requested by Bank. Client shall be solely responsible for all fees and costs incurred under the Processor Agreement, including, but not limited to, all fees and costs related to the reporting to be provided to Bank. In no event may Client terminate any contractual relationship with Processor without the consent of Bank. Unless Bank has provided its written approval for Client to provide Processing Services pursuant to this Section 3.6, and pursuant to Section 9.2(a)(i) hereof and subject to the cure period described therein, Bank may hold Client in breach of this Section 3.6 if (i) the Processor provides notice to Bank that Processor is terminating the Processing Agreement due to Client’s breach of the Processing Agreement, and (ii) Client has not contracted with an alternative Processor approved by the Bank and pursuant to the terms of this Section 3.6.</w:t>
      </w:r>
    </w:p>
    <w:p>
      <w:pPr>
        <w:spacing w:after="0" w:line="183" w:lineRule="exact"/>
        <w:rPr>
          <w:rFonts w:ascii="Times New Roman" w:cs="Times New Roman" w:eastAsia="Times New Roman" w:hAnsi="Times New Roman"/>
          <w:sz w:val="22"/>
          <w:szCs w:val="22"/>
          <w:color w:val="auto"/>
        </w:rPr>
      </w:pPr>
    </w:p>
    <w:p>
      <w:pPr>
        <w:jc w:val="both"/>
        <w:ind w:firstLine="656"/>
        <w:spacing w:after="0" w:line="250" w:lineRule="auto"/>
        <w:tabs>
          <w:tab w:leader="none" w:pos="1156"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Processor Service Interruptions</w:t>
      </w:r>
      <w:r>
        <w:rPr>
          <w:rFonts w:ascii="Times New Roman" w:cs="Times New Roman" w:eastAsia="Times New Roman" w:hAnsi="Times New Roman"/>
          <w:sz w:val="22"/>
          <w:szCs w:val="22"/>
          <w:color w:val="auto"/>
        </w:rPr>
        <w:t>. In the event that Processor or any other Client subcontractor experiences any non-scheduled service interruption that impairs a Customer’s ability to access Account information or perform Transactions (“Service Interruption”), Client shall promptly inform Bank of such Service Interruption. Client shall make commercially reasonable efforts to resolve the Service Interruption as promptly as possible, in addition to taking all reasonable actions to remediate the root cause of the Service Interruption. Client shall perform a root cause analysis of the Service Interruption and promptly provide Bank a report detailing the root cause analysis and the actions taken by Client to resolve the Service Interruption and remediate the root cause of the Service Interruption. In the event of a Service Interruption, Bank may perform an audit of the Service Interruption, and Client’s resolution and remediation of the root causes of the Service Interruption. Such audit shall not be subject to the audit frequency limitations of Section 3.10(c) of this Agreement.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Master Services Agreement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AND PROPRIETARY</w:t>
      </w:r>
    </w:p>
    <w:p>
      <w:pPr>
        <w:sectPr>
          <w:pgSz w:w="11900" w:h="16838" w:orient="portrait"/>
          <w:cols w:equalWidth="0" w:num="1">
            <w:col w:w="11240"/>
          </w:cols>
          <w:pgMar w:left="320" w:top="124" w:right="339" w:bottom="1440" w:gutter="0" w:footer="0" w:header="0"/>
        </w:sectPr>
      </w:pPr>
    </w:p>
    <w:bookmarkStart w:id="447" w:name="page448"/>
    <w:bookmarkEnd w:id="447"/>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3.7 </w:t>
      </w:r>
      <w:r>
        <w:rPr>
          <w:rFonts w:ascii="Times New Roman" w:cs="Times New Roman" w:eastAsia="Times New Roman" w:hAnsi="Times New Roman"/>
          <w:sz w:val="22"/>
          <w:szCs w:val="22"/>
          <w:u w:val="single" w:color="auto"/>
          <w:color w:val="auto"/>
        </w:rPr>
        <w:t>Complaints</w:t>
      </w:r>
      <w:r>
        <w:rPr>
          <w:rFonts w:ascii="Times New Roman" w:cs="Times New Roman" w:eastAsia="Times New Roman" w:hAnsi="Times New Roman"/>
          <w:sz w:val="22"/>
          <w:szCs w:val="22"/>
          <w:color w:val="auto"/>
        </w:rPr>
        <w:t>. Client agrees that in the event it or any Subcontractor receives notice of a complaint or legal proceeding from a Regulatory Authority, or other regulatory or consumer advocacy agency relating to this Agreement or a Program, or to the extent that such complaint or legal proceeding may have a materially adverse impact on a Program, it will promptly forward such complaint to Bank.</w:t>
      </w:r>
    </w:p>
    <w:p>
      <w:pPr>
        <w:spacing w:after="0" w:line="16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3.8 </w:t>
      </w:r>
      <w:r>
        <w:rPr>
          <w:rFonts w:ascii="Times New Roman" w:cs="Times New Roman" w:eastAsia="Times New Roman" w:hAnsi="Times New Roman"/>
          <w:sz w:val="22"/>
          <w:szCs w:val="22"/>
          <w:u w:val="single" w:color="auto"/>
          <w:color w:val="auto"/>
        </w:rPr>
        <w:t>Service Level Agreements</w:t>
      </w:r>
      <w:r>
        <w:rPr>
          <w:rFonts w:ascii="Times New Roman" w:cs="Times New Roman" w:eastAsia="Times New Roman" w:hAnsi="Times New Roman"/>
          <w:sz w:val="22"/>
          <w:szCs w:val="22"/>
          <w:color w:val="auto"/>
        </w:rPr>
        <w:t>. Any and all expected offerings and performance levels related to a Program as set forth in an Addendum (the “</w:t>
      </w:r>
      <w:r>
        <w:rPr>
          <w:rFonts w:ascii="Times New Roman" w:cs="Times New Roman" w:eastAsia="Times New Roman" w:hAnsi="Times New Roman"/>
          <w:sz w:val="22"/>
          <w:szCs w:val="22"/>
          <w:b w:val="1"/>
          <w:bCs w:val="1"/>
          <w:color w:val="auto"/>
        </w:rPr>
        <w:t>Service Levels</w:t>
      </w:r>
      <w:r>
        <w:rPr>
          <w:rFonts w:ascii="Times New Roman" w:cs="Times New Roman" w:eastAsia="Times New Roman" w:hAnsi="Times New Roman"/>
          <w:sz w:val="22"/>
          <w:szCs w:val="22"/>
          <w:color w:val="auto"/>
        </w:rPr>
        <w:t xml:space="preserve">”) shall be provided in a professional manner in accordance with industry standards, allowing for appropriate monitoring, [***] reporting, and penalties for performance outside of parameters. Client shall ensure that the Services are provided in accordance with the minimum standards outlined in an Exhibit to the applicable Addendum, (a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Service Level Agreement”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w:t>
      </w:r>
    </w:p>
    <w:p>
      <w:pPr>
        <w:spacing w:after="0" w:line="16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3.9 </w:t>
      </w:r>
      <w:r>
        <w:rPr>
          <w:rFonts w:ascii="Times New Roman" w:cs="Times New Roman" w:eastAsia="Times New Roman" w:hAnsi="Times New Roman"/>
          <w:sz w:val="22"/>
          <w:szCs w:val="22"/>
          <w:u w:val="single" w:color="auto"/>
          <w:color w:val="auto"/>
        </w:rPr>
        <w:t>Negative Balances, Customer Fraud and Fraud Recovery</w:t>
      </w:r>
      <w:r>
        <w:rPr>
          <w:rFonts w:ascii="Times New Roman" w:cs="Times New Roman" w:eastAsia="Times New Roman" w:hAnsi="Times New Roman"/>
          <w:sz w:val="22"/>
          <w:szCs w:val="22"/>
          <w:color w:val="auto"/>
        </w:rPr>
        <w:t>. Client agrees that it shall be responsible for and liable to Bank for all direct or indirect losses or expenses of any kind incurred on or arising out of any Customer Account including, without limitation, negative balances, unauthorized Transactions, chargebacks, force posted Transactions, fraud, unauthorized withdrawals or funds transfers from any Account, identity theft, Deposit Failures, or Bank’s efforts at fraud or unauthorized Transaction recovery under Applicable Law, provided that Client shall not be responsible for or liable for any losses arising directly out of Bank’s violations of Applicable Law, gross negligence or willful misconduct. In the event that a Party wishes to attempt to locate and prosecute the perpetrator of any unauthorized activity or fraud, the other Party shall provide reasonable cooperation in such efforts. The Party initiating such efforts shall bear the costs thereof.</w:t>
      </w:r>
    </w:p>
    <w:p>
      <w:pPr>
        <w:spacing w:after="0" w:line="163"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color w:val="auto"/>
        </w:rPr>
        <w:t>3.10</w:t>
      </w:r>
      <w:r>
        <w:rPr>
          <w:sz w:val="20"/>
          <w:szCs w:val="20"/>
          <w:color w:val="auto"/>
        </w:rPr>
        <w:tab/>
      </w:r>
      <w:r>
        <w:rPr>
          <w:rFonts w:ascii="Times New Roman" w:cs="Times New Roman" w:eastAsia="Times New Roman" w:hAnsi="Times New Roman"/>
          <w:sz w:val="21"/>
          <w:szCs w:val="21"/>
          <w:u w:val="single" w:color="auto"/>
          <w:color w:val="auto"/>
        </w:rPr>
        <w:t>Recordkeeping; Reporting; and Audit Rights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56"/>
        <w:spacing w:after="0" w:line="232" w:lineRule="auto"/>
        <w:tabs>
          <w:tab w:leader="none" w:pos="1104"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Client shall, within a reasonable time after Bank’s request, and to the extent it has or should have such information in its possession or under its control (directly or through a Subcontractor), provide Bank with the Required Reports as set forth in the applicable Addendum. Unless otherwise agreed, for each applicable Program and to the extent such reports are or should be maintained or in its possession, Client will keep complete records reflecting Required Reports and shall retain all Required Reports for the time period required by Applicable Law, and in any event, for no less than [***] after the termination of any Customer Agreement or Program, whichever is later.</w:t>
      </w:r>
    </w:p>
    <w:p>
      <w:pPr>
        <w:spacing w:after="0" w:line="166" w:lineRule="exact"/>
        <w:rPr>
          <w:rFonts w:ascii="Times New Roman" w:cs="Times New Roman" w:eastAsia="Times New Roman" w:hAnsi="Times New Roman"/>
          <w:sz w:val="22"/>
          <w:szCs w:val="22"/>
          <w:color w:val="auto"/>
        </w:rPr>
      </w:pPr>
    </w:p>
    <w:p>
      <w:pPr>
        <w:jc w:val="both"/>
        <w:ind w:firstLine="656"/>
        <w:spacing w:after="0" w:line="241" w:lineRule="auto"/>
        <w:tabs>
          <w:tab w:leader="none" w:pos="1241" w:val="left"/>
        </w:tabs>
        <w:numPr>
          <w:ilvl w:val="0"/>
          <w:numId w:val="2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Client agrees that at Bank’s sole discretion, Bank, its authorized representatives, or agents and any Regulatory Authority (collectively an </w:t>
      </w:r>
      <w:r>
        <w:rPr>
          <w:rFonts w:ascii="Times New Roman" w:cs="Times New Roman" w:eastAsia="Times New Roman" w:hAnsi="Times New Roman"/>
          <w:sz w:val="21"/>
          <w:szCs w:val="21"/>
          <w:b w:val="1"/>
          <w:bCs w:val="1"/>
          <w:color w:val="auto"/>
        </w:rPr>
        <w:t>“Auditing Party</w:t>
      </w:r>
      <w:r>
        <w:rPr>
          <w:rFonts w:ascii="Times New Roman" w:cs="Times New Roman" w:eastAsia="Times New Roman" w:hAnsi="Times New Roman"/>
          <w:sz w:val="21"/>
          <w:szCs w:val="21"/>
          <w:color w:val="auto"/>
        </w:rPr>
        <w:t>”), shall have the right to inspect, audit, and examine all of Client’s facilities, records and personnel relating to Program or this Agreement. The Auditing Party shall have the right to make abstracts from, inspect, copy, or audit Client’s books, accounts, data, reports, papers, and computer records directly pertaining to the subject matter of the Agreement, and Client shall make all such facilities, records, personnel, books, accounts, data, reports, papers, and computer records available to the Auditing Party for the purpose of conducting such inspections and audits. Client shall additionally furnish Bank, at Client’s expense, with audited financial statements prepared by a certified public accountant and any such other information an Auditing Party may from time-</w:t>
      </w:r>
      <w:r>
        <w:rPr>
          <w:rFonts w:ascii="Times New Roman" w:cs="Times New Roman" w:eastAsia="Times New Roman" w:hAnsi="Times New Roman"/>
          <w:sz w:val="21"/>
          <w:szCs w:val="21"/>
          <w:b w:val="1"/>
          <w:bCs w:val="1"/>
          <w:color w:val="auto"/>
        </w:rPr>
        <w:t>t</w:t>
      </w:r>
      <w:r>
        <w:rPr>
          <w:rFonts w:ascii="Times New Roman" w:cs="Times New Roman" w:eastAsia="Times New Roman" w:hAnsi="Times New Roman"/>
          <w:sz w:val="21"/>
          <w:szCs w:val="21"/>
          <w:color w:val="auto"/>
        </w:rPr>
        <w:t>o-time reasonably request with respect to the financial condition of Client. Client shall also secure and contractually protect the right of an Auditing Party to audit the books and records of any Subcontractor.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Master Services Agreement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AND PROPRIETARY</w:t>
      </w:r>
    </w:p>
    <w:p>
      <w:pPr>
        <w:sectPr>
          <w:pgSz w:w="11900" w:h="16838" w:orient="portrait"/>
          <w:cols w:equalWidth="0" w:num="1">
            <w:col w:w="11240"/>
          </w:cols>
          <w:pgMar w:left="320" w:top="124" w:right="339" w:bottom="1440" w:gutter="0" w:footer="0" w:header="0"/>
        </w:sectPr>
      </w:pPr>
    </w:p>
    <w:bookmarkStart w:id="448" w:name="page449"/>
    <w:bookmarkEnd w:id="448"/>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656"/>
        <w:spacing w:after="0" w:line="243" w:lineRule="auto"/>
        <w:tabs>
          <w:tab w:leader="none" w:pos="1156" w:val="left"/>
        </w:tabs>
        <w:numPr>
          <w:ilvl w:val="0"/>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such audit will be conducted at mutually agreed upon times, upon reasonable prior written notice (no [***]), and in a manner designed to minimize any disruption of Client’s normal business activities; provided, however, that in agreeing to times for the audit, the Client shall be reasonable in scheduling, and shall not delay any audit for more than [***] from the date first proposed by Bank. The Parties agree that the audit rights hereunder will be exercised during normal business hours and no more than once in any [***] period.</w:t>
      </w:r>
    </w:p>
    <w:p>
      <w:pPr>
        <w:spacing w:after="0" w:line="177" w:lineRule="exact"/>
        <w:rPr>
          <w:rFonts w:ascii="Times New Roman" w:cs="Times New Roman" w:eastAsia="Times New Roman" w:hAnsi="Times New Roman"/>
          <w:sz w:val="22"/>
          <w:szCs w:val="22"/>
          <w:color w:val="auto"/>
        </w:rPr>
      </w:pPr>
    </w:p>
    <w:p>
      <w:pPr>
        <w:jc w:val="both"/>
        <w:ind w:firstLine="656"/>
        <w:spacing w:after="0" w:line="244" w:lineRule="auto"/>
        <w:tabs>
          <w:tab w:leader="none" w:pos="1216" w:val="left"/>
        </w:tabs>
        <w:numPr>
          <w:ilvl w:val="0"/>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Client agrees to submit to any examination which may be required by any Regulatory Authority with audit and examination authority over Bank to the fullest extent requested by such Regulatory Authority. Client shall also provide to Bank any information requested by any Regulatory Authority in connection with their audit or review and shall reasonably cooperate with such Regulatory Authority in connection with any audit or review.</w:t>
      </w:r>
    </w:p>
    <w:p>
      <w:pPr>
        <w:spacing w:after="0" w:line="186" w:lineRule="exact"/>
        <w:rPr>
          <w:rFonts w:ascii="Times New Roman" w:cs="Times New Roman" w:eastAsia="Times New Roman" w:hAnsi="Times New Roman"/>
          <w:sz w:val="22"/>
          <w:szCs w:val="22"/>
          <w:color w:val="auto"/>
        </w:rPr>
      </w:pPr>
    </w:p>
    <w:p>
      <w:pPr>
        <w:jc w:val="both"/>
        <w:ind w:firstLine="656"/>
        <w:spacing w:after="0" w:line="244" w:lineRule="auto"/>
        <w:tabs>
          <w:tab w:leader="none" w:pos="1172" w:val="left"/>
        </w:tabs>
        <w:numPr>
          <w:ilvl w:val="0"/>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Client will coordinate with Bank in performing periodic due diligence regarding any third party service providers contracted with Client in connection with the Program. Client shall periodically contact, and will, if necessary, meet personally with third party service providers t</w:t>
      </w:r>
      <w:r>
        <w:rPr>
          <w:rFonts w:ascii="Times New Roman" w:cs="Times New Roman" w:eastAsia="Times New Roman" w:hAnsi="Times New Roman"/>
          <w:sz w:val="22"/>
          <w:szCs w:val="22"/>
          <w:b w:val="1"/>
          <w:bCs w:val="1"/>
          <w:color w:val="auto"/>
        </w:rPr>
        <w:t>o</w:t>
      </w:r>
      <w:r>
        <w:rPr>
          <w:rFonts w:ascii="Times New Roman" w:cs="Times New Roman" w:eastAsia="Times New Roman" w:hAnsi="Times New Roman"/>
          <w:sz w:val="22"/>
          <w:szCs w:val="22"/>
          <w:color w:val="auto"/>
        </w:rPr>
        <w:t xml:space="preserve"> discuss any performance and operations issues. Client will provide Bank with reports regarding its ongoing monitoring as Bank may reasonably request.</w:t>
      </w:r>
    </w:p>
    <w:p>
      <w:pPr>
        <w:spacing w:after="0" w:line="17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3.11 </w:t>
      </w:r>
      <w:r>
        <w:rPr>
          <w:rFonts w:ascii="Times New Roman" w:cs="Times New Roman" w:eastAsia="Times New Roman" w:hAnsi="Times New Roman"/>
          <w:sz w:val="22"/>
          <w:szCs w:val="22"/>
          <w:u w:val="single" w:color="auto"/>
          <w:color w:val="auto"/>
        </w:rPr>
        <w:t>Compliance Program</w:t>
      </w:r>
      <w:r>
        <w:rPr>
          <w:rFonts w:ascii="Times New Roman" w:cs="Times New Roman" w:eastAsia="Times New Roman" w:hAnsi="Times New Roman"/>
          <w:sz w:val="22"/>
          <w:szCs w:val="22"/>
          <w:color w:val="auto"/>
        </w:rPr>
        <w:t>. Client shall develop, and/or implement, as necessary, a sound, risk-based compliance management system, including a comprehensive written compliance program (the “</w:t>
      </w:r>
      <w:r>
        <w:rPr>
          <w:rFonts w:ascii="Times New Roman" w:cs="Times New Roman" w:eastAsia="Times New Roman" w:hAnsi="Times New Roman"/>
          <w:sz w:val="22"/>
          <w:szCs w:val="22"/>
          <w:b w:val="1"/>
          <w:bCs w:val="1"/>
          <w:color w:val="auto"/>
        </w:rPr>
        <w:t>Compliance Program</w:t>
      </w:r>
      <w:r>
        <w:rPr>
          <w:rFonts w:ascii="Times New Roman" w:cs="Times New Roman" w:eastAsia="Times New Roman" w:hAnsi="Times New Roman"/>
          <w:sz w:val="22"/>
          <w:szCs w:val="22"/>
          <w:color w:val="auto"/>
        </w:rPr>
        <w:t>”) to ensure that all products and services offered by Client comply with Applicable Law, including but not limited to Consumer Protection Laws (as applicable to the Program). Without limiting the foregoing, Client shall develop and implement an OFAC compliance program (including, without limitation, monitoring and blocking IP addresses, Customers, and Transactions in regions and jurisdictions subject to sanctions) to ensure compliance with Applicable Law. In addition, Client’s Compliance Officer will provide an attestation of compliance at the request of Bank, at least annually.</w:t>
      </w:r>
    </w:p>
    <w:p>
      <w:pPr>
        <w:spacing w:after="0" w:line="194" w:lineRule="exact"/>
        <w:rPr>
          <w:sz w:val="20"/>
          <w:szCs w:val="20"/>
          <w:color w:val="auto"/>
        </w:rPr>
      </w:pPr>
    </w:p>
    <w:p>
      <w:pPr>
        <w:jc w:val="both"/>
        <w:ind w:firstLine="656"/>
        <w:spacing w:after="0"/>
        <w:tabs>
          <w:tab w:leader="none" w:pos="1171"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Bank Secrecy Act Compliance</w:t>
      </w:r>
      <w:r>
        <w:rPr>
          <w:rFonts w:ascii="Times New Roman" w:cs="Times New Roman" w:eastAsia="Times New Roman" w:hAnsi="Times New Roman"/>
          <w:sz w:val="22"/>
          <w:szCs w:val="22"/>
          <w:color w:val="auto"/>
        </w:rPr>
        <w:t>. Client has or shall (upon execution of this Agreement) implement and maintain a Bank approved anti-money laundering (AML) and anti-terrorism financing (ATF) compliance program which is appropriate for the nature and scope of the Program, the activities of Client, and the obligations to be performed by Client or the Processor hereunder. Any such program shall be developed in accordance with Applicable Law, including appropriate policies and procedures. Client shall implement measures to verify the identity of all Customers and prospective Customers consistent with Applicable Law and the Rules, including the development of an appropriate customer identification program as approved by Bank. In the event Client performs any identity verification functions, Client shall within three (3) business days of a request from Bank produce any documentation that was provided and relied upon in order to verify the identity of a Customer.</w:t>
      </w:r>
    </w:p>
    <w:p>
      <w:pPr>
        <w:spacing w:after="0" w:line="172" w:lineRule="exact"/>
        <w:rPr>
          <w:rFonts w:ascii="Times New Roman" w:cs="Times New Roman" w:eastAsia="Times New Roman" w:hAnsi="Times New Roman"/>
          <w:sz w:val="22"/>
          <w:szCs w:val="22"/>
          <w:color w:val="auto"/>
        </w:rPr>
      </w:pPr>
    </w:p>
    <w:p>
      <w:pPr>
        <w:jc w:val="both"/>
        <w:ind w:firstLine="656"/>
        <w:spacing w:after="0" w:line="244" w:lineRule="auto"/>
        <w:tabs>
          <w:tab w:leader="none" w:pos="1210"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Compliance Officer</w:t>
      </w:r>
      <w:r>
        <w:rPr>
          <w:rFonts w:ascii="Times New Roman" w:cs="Times New Roman" w:eastAsia="Times New Roman" w:hAnsi="Times New Roman"/>
          <w:sz w:val="22"/>
          <w:szCs w:val="22"/>
          <w:color w:val="auto"/>
        </w:rPr>
        <w:t>. Client shall appoint a qualified compliance officer (“</w:t>
      </w:r>
      <w:r>
        <w:rPr>
          <w:rFonts w:ascii="Times New Roman" w:cs="Times New Roman" w:eastAsia="Times New Roman" w:hAnsi="Times New Roman"/>
          <w:sz w:val="22"/>
          <w:szCs w:val="22"/>
          <w:b w:val="1"/>
          <w:bCs w:val="1"/>
          <w:color w:val="auto"/>
        </w:rPr>
        <w:t>Compliance Officer</w:t>
      </w:r>
      <w:r>
        <w:rPr>
          <w:rFonts w:ascii="Times New Roman" w:cs="Times New Roman" w:eastAsia="Times New Roman" w:hAnsi="Times New Roman"/>
          <w:sz w:val="22"/>
          <w:szCs w:val="22"/>
          <w:color w:val="auto"/>
        </w:rPr>
        <w:t>”) who demonstrates the requisite knowledge and experience to administer and oversee the Compliance Program. The Compliance Officer’s duties and responsibilities shall be clearly defined in the Compliance Program, which at a minimum shall include the obligation that all new Program proposals, Program enhancements and Customer Disclosures be reviewed and approved by the Compliance Officer or a qualified member of the Compliance Officer’s staff</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Master Services Agreement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AND PROPRIETARY</w:t>
      </w:r>
    </w:p>
    <w:p>
      <w:pPr>
        <w:sectPr>
          <w:pgSz w:w="11900" w:h="16838" w:orient="portrait"/>
          <w:cols w:equalWidth="0" w:num="1">
            <w:col w:w="11240"/>
          </w:cols>
          <w:pgMar w:left="320" w:top="124" w:right="339" w:bottom="1440" w:gutter="0" w:footer="0" w:header="0"/>
        </w:sectPr>
      </w:pPr>
    </w:p>
    <w:bookmarkStart w:id="449" w:name="page450"/>
    <w:bookmarkEnd w:id="449"/>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2"/>
          <w:szCs w:val="22"/>
          <w:color w:val="auto"/>
        </w:rPr>
        <w:t>prior to submission to the Bank for Bank’s review and approval. The Compliance Program shall also grant the Compliance Officer sufficient authority and independence to cross departmental lines, have access to all areas of the company’s operations, and effect corrective action. The Compliance Officer shall be provided with ongoing training, as well as sufficient time and adequate resources to perform the job function. The Compliance Officer shall be responsible for providing periodic presentations to the Bank regarding the results of the internal Compliance Program.</w:t>
      </w:r>
    </w:p>
    <w:p>
      <w:pPr>
        <w:spacing w:after="0" w:line="177" w:lineRule="exact"/>
        <w:rPr>
          <w:sz w:val="20"/>
          <w:szCs w:val="20"/>
          <w:color w:val="auto"/>
        </w:rPr>
      </w:pPr>
    </w:p>
    <w:p>
      <w:pPr>
        <w:jc w:val="both"/>
        <w:ind w:firstLine="656"/>
        <w:spacing w:after="0" w:line="239" w:lineRule="auto"/>
        <w:tabs>
          <w:tab w:leader="none" w:pos="1198"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Program Training</w:t>
      </w:r>
      <w:r>
        <w:rPr>
          <w:rFonts w:ascii="Times New Roman" w:cs="Times New Roman" w:eastAsia="Times New Roman" w:hAnsi="Times New Roman"/>
          <w:sz w:val="22"/>
          <w:szCs w:val="22"/>
          <w:color w:val="auto"/>
        </w:rPr>
        <w:t>. The Client shall ensure that Client’s Compliance Program provides for the establishment and implementation of an effective training program for appropriate personnel that includes regular, specific, comprehensive training on applicable Consumer Protection Laws for employees having responsibilities that relate to Consumer Protection Laws, including those individuals who are involved in the marketing, promotion, implementation of a Program, as well as all senior management. Client shall also be responsible for providing Program training to Subcontractors of Client who are involved in the marketing, promotion, implementation, or servicing Programs. In all cases, unless otherwise agreed, the costs of such training shall be borne by Client.</w:t>
      </w:r>
    </w:p>
    <w:p>
      <w:pPr>
        <w:spacing w:after="0" w:line="194" w:lineRule="exact"/>
        <w:rPr>
          <w:rFonts w:ascii="Times New Roman" w:cs="Times New Roman" w:eastAsia="Times New Roman" w:hAnsi="Times New Roman"/>
          <w:sz w:val="22"/>
          <w:szCs w:val="22"/>
          <w:color w:val="auto"/>
        </w:rPr>
      </w:pPr>
    </w:p>
    <w:p>
      <w:pPr>
        <w:jc w:val="both"/>
        <w:ind w:firstLine="656"/>
        <w:spacing w:after="0" w:line="250" w:lineRule="auto"/>
        <w:tabs>
          <w:tab w:leader="none" w:pos="1234" w:val="left"/>
        </w:tabs>
        <w:numPr>
          <w:ilvl w:val="0"/>
          <w:numId w:val="2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between Bank and Client, Client will report as the payor of any promotional award amounts as interest or miscellaneous income (as determined by Chime in their reasonable discretion) to the payee in accordance with IRC §§ 6049 and 6041(“</w:t>
      </w:r>
      <w:r>
        <w:rPr>
          <w:rFonts w:ascii="Times New Roman" w:cs="Times New Roman" w:eastAsia="Times New Roman" w:hAnsi="Times New Roman"/>
          <w:sz w:val="21"/>
          <w:szCs w:val="21"/>
          <w:b w:val="1"/>
          <w:bCs w:val="1"/>
          <w:color w:val="auto"/>
        </w:rPr>
        <w:t>Tax Reporting Requirements</w:t>
      </w:r>
      <w:r>
        <w:rPr>
          <w:rFonts w:ascii="Times New Roman" w:cs="Times New Roman" w:eastAsia="Times New Roman" w:hAnsi="Times New Roman"/>
          <w:sz w:val="21"/>
          <w:szCs w:val="21"/>
          <w:color w:val="auto"/>
        </w:rPr>
        <w:t>”). Bank agrees to work with Client to facilitate such Tax Reporting on behalf of, and as directed by Client, for tax year 2023 and any subsequent years as may be mutually agreed upon by the Parties. Notwithstanding the foregoing, the Parties understand and agree that in order for Client to comply with the Tax Reporting Requirements, the Parties must first agree on process and resourcing associated with such Tax Reporting Requirements, and that the Parties will work in good faith to come to an understanding regarding such process and resourcing. The Parties acknowledge and agree that a failure by the Parties to understand process and resourcing associated with such Tax Reporting Requirements for the tax year 2023 shall not be a breach of this Agreement which triggers a termination right for either Party, and that Bank shall continue to perform Tax Reporting obligations in accordance with the processes in place as of the Effective Date.</w:t>
      </w:r>
    </w:p>
    <w:p>
      <w:pPr>
        <w:spacing w:after="0" w:line="18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color w:val="auto"/>
        </w:rPr>
        <w:t>3.12</w:t>
      </w:r>
      <w:r>
        <w:rPr>
          <w:sz w:val="20"/>
          <w:szCs w:val="20"/>
          <w:color w:val="auto"/>
        </w:rPr>
        <w:tab/>
      </w:r>
      <w:r>
        <w:rPr>
          <w:rFonts w:ascii="Times New Roman" w:cs="Times New Roman" w:eastAsia="Times New Roman" w:hAnsi="Times New Roman"/>
          <w:sz w:val="21"/>
          <w:szCs w:val="21"/>
          <w:u w:val="single" w:color="auto"/>
          <w:color w:val="auto"/>
        </w:rPr>
        <w:t>Data Security</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56"/>
        <w:spacing w:after="0" w:line="243" w:lineRule="auto"/>
        <w:tabs>
          <w:tab w:leader="none" w:pos="1249"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Client’s operations relating to its obligations under this Agreement shall be compliant with the Payment Card Industry Data Security Standards (“</w:t>
      </w:r>
      <w:r>
        <w:rPr>
          <w:rFonts w:ascii="Times New Roman" w:cs="Times New Roman" w:eastAsia="Times New Roman" w:hAnsi="Times New Roman"/>
          <w:sz w:val="22"/>
          <w:szCs w:val="22"/>
          <w:b w:val="1"/>
          <w:bCs w:val="1"/>
          <w:color w:val="auto"/>
        </w:rPr>
        <w:t>PCI-DSS</w:t>
      </w:r>
      <w:r>
        <w:rPr>
          <w:rFonts w:ascii="Times New Roman" w:cs="Times New Roman" w:eastAsia="Times New Roman" w:hAnsi="Times New Roman"/>
          <w:sz w:val="22"/>
          <w:szCs w:val="22"/>
          <w:color w:val="auto"/>
        </w:rPr>
        <w:t>”), if applicable to Client and as interpreted and applied by Bank in its sole discretion, including the appropriate level within the PCI-DSS covering Client’s operations. Client shall be assessed annually for compliance with PCI-DSS by a qualified security assessor approved by the PCI Security Standards Council (a “</w:t>
      </w:r>
      <w:r>
        <w:rPr>
          <w:rFonts w:ascii="Times New Roman" w:cs="Times New Roman" w:eastAsia="Times New Roman" w:hAnsi="Times New Roman"/>
          <w:sz w:val="22"/>
          <w:szCs w:val="22"/>
          <w:b w:val="1"/>
          <w:bCs w:val="1"/>
          <w:color w:val="auto"/>
        </w:rPr>
        <w:t>QSA</w:t>
      </w:r>
      <w:r>
        <w:rPr>
          <w:rFonts w:ascii="Times New Roman" w:cs="Times New Roman" w:eastAsia="Times New Roman" w:hAnsi="Times New Roman"/>
          <w:sz w:val="22"/>
          <w:szCs w:val="22"/>
          <w:color w:val="auto"/>
        </w:rPr>
        <w:t>”). A copy of the PCI-DSS Report on Compliance shall be provided to Bank upon completion of the assessment.</w:t>
      </w:r>
    </w:p>
    <w:p>
      <w:pPr>
        <w:spacing w:after="0" w:line="177" w:lineRule="exact"/>
        <w:rPr>
          <w:rFonts w:ascii="Times New Roman" w:cs="Times New Roman" w:eastAsia="Times New Roman" w:hAnsi="Times New Roman"/>
          <w:sz w:val="22"/>
          <w:szCs w:val="22"/>
          <w:color w:val="auto"/>
        </w:rPr>
      </w:pPr>
    </w:p>
    <w:p>
      <w:pPr>
        <w:jc w:val="both"/>
        <w:ind w:firstLine="656"/>
        <w:spacing w:after="0" w:line="244" w:lineRule="auto"/>
        <w:tabs>
          <w:tab w:leader="none" w:pos="1290"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Client shall employ appropriate measures designed to meet the objectives of the security and confidentiality guidelines of Data Security and Privacy Laws, including, but not limited to, the implementation of appropriate policies, procedures, and other measures designed to protect against unauthorized access to or use of Customer information maintained by Client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Master Services Agreement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AND PROPRIETARY</w:t>
      </w:r>
    </w:p>
    <w:p>
      <w:pPr>
        <w:sectPr>
          <w:pgSz w:w="11900" w:h="16838" w:orient="portrait"/>
          <w:cols w:equalWidth="0" w:num="1">
            <w:col w:w="11240"/>
          </w:cols>
          <w:pgMar w:left="320" w:top="124" w:right="339" w:bottom="1440" w:gutter="0" w:footer="0" w:header="0"/>
        </w:sectPr>
      </w:pPr>
    </w:p>
    <w:bookmarkStart w:id="450" w:name="page451"/>
    <w:bookmarkEnd w:id="450"/>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2"/>
          <w:szCs w:val="22"/>
          <w:color w:val="auto"/>
        </w:rPr>
        <w:t>could result in substantial harm or inconvenience to any Customer and the proper disposal of Customer information. Client shall further develop and maintain a response program in accordance with Data Security and Privacy Laws that shall take appropriate actions to address incidents of unauthorized access to Customer or other information, including notification to Bank and Customers as soon as possible following any such incident. Client shall further ensure that any Subcontractor having access to Customer information shall maintain similar security measures and response programs.</w:t>
      </w:r>
    </w:p>
    <w:p>
      <w:pPr>
        <w:spacing w:after="0" w:line="177" w:lineRule="exact"/>
        <w:rPr>
          <w:sz w:val="20"/>
          <w:szCs w:val="20"/>
          <w:color w:val="auto"/>
        </w:rPr>
      </w:pPr>
    </w:p>
    <w:p>
      <w:pPr>
        <w:jc w:val="both"/>
        <w:ind w:firstLine="656"/>
        <w:spacing w:after="0" w:line="251" w:lineRule="auto"/>
        <w:tabs>
          <w:tab w:leader="none" w:pos="1160" w:val="left"/>
        </w:tabs>
        <w:numPr>
          <w:ilvl w:val="0"/>
          <w:numId w:val="2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Bank approves Client’s engagement of a Subcontractor to perform any of its Duties and such Subcontractor has access to or handles, transmits, possesses or stores Nonpublic Personal Information or data subject to PCI-DSS, then Client will (in addition to any other requirements set forth in this Agreement or mandated by Bank at a later date) have a written agreement with such Subcontractor that includes an acknowledgement by the Subcontractor that it is responsible for and will comply with all Applicable Law regarding the security of Nonpublic Personal Information and PCI-DSS information the Subcontractor possesses or otherwise stores, processes or transmits. Additionally, for PCI-DSS applicable Programs, Client will (i) contractually require that such Subcontractor is compliant with PCI-DSS at the appropriate level with PCI-DSS covering the Subcontractor’s operations and role, and (ii) contractually require that the Subcontractor will be assessed annually for compliance with PCI-DSS by an approved QSA and that a copy of the PCI-DSS report shall be provided to Bank upon completion of the assessment.</w:t>
      </w:r>
    </w:p>
    <w:p>
      <w:pPr>
        <w:spacing w:after="0" w:line="171"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color w:val="auto"/>
        </w:rPr>
        <w:t>3.13</w:t>
      </w:r>
      <w:r>
        <w:rPr>
          <w:sz w:val="20"/>
          <w:szCs w:val="20"/>
          <w:color w:val="auto"/>
        </w:rPr>
        <w:tab/>
      </w:r>
      <w:r>
        <w:rPr>
          <w:rFonts w:ascii="Times New Roman" w:cs="Times New Roman" w:eastAsia="Times New Roman" w:hAnsi="Times New Roman"/>
          <w:sz w:val="21"/>
          <w:szCs w:val="21"/>
          <w:u w:val="single" w:color="auto"/>
          <w:color w:val="auto"/>
        </w:rPr>
        <w:t>Digital Content Accessibility</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56"/>
        <w:spacing w:after="0" w:line="250" w:lineRule="auto"/>
        <w:tabs>
          <w:tab w:leader="none" w:pos="1115" w:val="left"/>
        </w:tabs>
        <w:numPr>
          <w:ilvl w:val="1"/>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Client’s operations relating to its obligations under this Agreement and any Addendum shall be in conformance with the </w:t>
      </w:r>
      <w:r>
        <w:rPr>
          <w:rFonts w:ascii="Times New Roman" w:cs="Times New Roman" w:eastAsia="Times New Roman" w:hAnsi="Times New Roman"/>
          <w:sz w:val="22"/>
          <w:szCs w:val="22"/>
          <w:color w:val="1D1D1D"/>
        </w:rPr>
        <w:t>World Wide Web Consortium’s (W3C)</w:t>
      </w:r>
      <w:r>
        <w:rPr>
          <w:rFonts w:ascii="Times New Roman" w:cs="Times New Roman" w:eastAsia="Times New Roman" w:hAnsi="Times New Roman"/>
          <w:sz w:val="22"/>
          <w:szCs w:val="22"/>
          <w:color w:val="auto"/>
        </w:rPr>
        <w:t xml:space="preserve"> Digital Content Accessibility Standards (“</w:t>
      </w:r>
      <w:r>
        <w:rPr>
          <w:rFonts w:ascii="Times New Roman" w:cs="Times New Roman" w:eastAsia="Times New Roman" w:hAnsi="Times New Roman"/>
          <w:sz w:val="22"/>
          <w:szCs w:val="22"/>
          <w:b w:val="1"/>
          <w:bCs w:val="1"/>
          <w:color w:val="auto"/>
        </w:rPr>
        <w:t>WCAG</w:t>
      </w:r>
      <w:r>
        <w:rPr>
          <w:rFonts w:ascii="Times New Roman" w:cs="Times New Roman" w:eastAsia="Times New Roman" w:hAnsi="Times New Roman"/>
          <w:sz w:val="22"/>
          <w:szCs w:val="22"/>
          <w:color w:val="auto"/>
        </w:rPr>
        <w:t>”), as may be updated from time to time, if applicable to Client and as interpreted and applied by Bank in its sole reasonable discretion.</w:t>
      </w:r>
    </w:p>
    <w:p>
      <w:pPr>
        <w:spacing w:after="0" w:line="167" w:lineRule="exact"/>
        <w:rPr>
          <w:rFonts w:ascii="Times New Roman" w:cs="Times New Roman" w:eastAsia="Times New Roman" w:hAnsi="Times New Roman"/>
          <w:sz w:val="22"/>
          <w:szCs w:val="22"/>
          <w:color w:val="auto"/>
        </w:rPr>
      </w:pPr>
    </w:p>
    <w:p>
      <w:pPr>
        <w:jc w:val="both"/>
        <w:ind w:firstLine="656"/>
        <w:spacing w:after="0" w:line="254" w:lineRule="auto"/>
        <w:tabs>
          <w:tab w:leader="none" w:pos="1204" w:val="left"/>
        </w:tabs>
        <w:numPr>
          <w:ilvl w:val="1"/>
          <w:numId w:val="2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Client shall ensure effective communication and access to electronic and information communication technology resources for individuals with disabilities including: (1) delivery of all applicable services and products in compliance with Web Content Accessibility Guidelines 2.0, Level AA or Section 508 Standards for Electronic and Information Technology as applicable); (2) upon request, provide Bank with its accessibility testing results and written documentation verifying accessibility;</w:t>
      </w:r>
    </w:p>
    <w:p>
      <w:pPr>
        <w:ind w:firstLine="8"/>
        <w:spacing w:after="0" w:line="237" w:lineRule="auto"/>
        <w:tabs>
          <w:tab w:leader="none" w:pos="321"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respond to and resolve accessibility complaints; and (4) indemnify and hold Bank harmless in the event of claims arising from inaccessibility.</w:t>
      </w:r>
    </w:p>
    <w:p>
      <w:pPr>
        <w:spacing w:after="0" w:line="178" w:lineRule="exact"/>
        <w:rPr>
          <w:rFonts w:ascii="Times New Roman" w:cs="Times New Roman" w:eastAsia="Times New Roman" w:hAnsi="Times New Roman"/>
          <w:sz w:val="22"/>
          <w:szCs w:val="22"/>
          <w:color w:val="auto"/>
        </w:rPr>
      </w:pPr>
    </w:p>
    <w:p>
      <w:pPr>
        <w:ind w:firstLine="656"/>
        <w:spacing w:after="0" w:line="271" w:lineRule="auto"/>
        <w:tabs>
          <w:tab w:leader="none" w:pos="1170" w:val="left"/>
        </w:tabs>
        <w:numPr>
          <w:ilvl w:val="1"/>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Client shall implement appropriate policies, procedures, and other measures designed to ensure conformance with subsections (a) and (b), above.</w:t>
      </w:r>
    </w:p>
    <w:p>
      <w:pPr>
        <w:spacing w:after="0" w:line="14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color w:val="auto"/>
        </w:rPr>
        <w:t>3.14</w:t>
      </w:r>
      <w:r>
        <w:rPr>
          <w:sz w:val="20"/>
          <w:szCs w:val="20"/>
          <w:color w:val="auto"/>
        </w:rPr>
        <w:tab/>
      </w:r>
      <w:r>
        <w:rPr>
          <w:rFonts w:ascii="Times New Roman" w:cs="Times New Roman" w:eastAsia="Times New Roman" w:hAnsi="Times New Roman"/>
          <w:sz w:val="21"/>
          <w:szCs w:val="21"/>
          <w:u w:val="single" w:color="auto"/>
          <w:color w:val="auto"/>
        </w:rPr>
        <w:t>Subcontractors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56"/>
        <w:spacing w:after="0" w:line="244" w:lineRule="auto"/>
        <w:tabs>
          <w:tab w:leader="none" w:pos="1118" w:val="left"/>
        </w:tabs>
        <w:numPr>
          <w:ilvl w:val="0"/>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Client will not, without Bank’s prior written consent, outsource or otherwise subcontract with Subcontractors for the provision of any of its duties under this Agreement. Bank shall have the right to conduct Due Diligence on all proposed Subcontractors at its sole discretion prior to granting such written approval. Bank’s review and approval shall not be unreasonably</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Master Services Agreement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AND PROPRIETARY</w:t>
      </w:r>
    </w:p>
    <w:p>
      <w:pPr>
        <w:sectPr>
          <w:pgSz w:w="11900" w:h="16838" w:orient="portrait"/>
          <w:cols w:equalWidth="0" w:num="1">
            <w:col w:w="11240"/>
          </w:cols>
          <w:pgMar w:left="320" w:top="124" w:right="339" w:bottom="1440" w:gutter="0" w:footer="0" w:header="0"/>
        </w:sectPr>
      </w:pPr>
    </w:p>
    <w:bookmarkStart w:id="451" w:name="page452"/>
    <w:bookmarkEnd w:id="451"/>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withheld or delayed. Any such consent to or approval of a Subcontractor shall not release Client of its obligations to Bank under this Agreement, and Client shall remain fully liable to Bank for any breach of this Agreement caused by a Subcontractor.</w:t>
      </w:r>
    </w:p>
    <w:p>
      <w:pPr>
        <w:spacing w:after="0" w:line="158" w:lineRule="exact"/>
        <w:rPr>
          <w:sz w:val="20"/>
          <w:szCs w:val="20"/>
          <w:color w:val="auto"/>
        </w:rPr>
      </w:pPr>
    </w:p>
    <w:p>
      <w:pPr>
        <w:jc w:val="both"/>
        <w:ind w:firstLine="656"/>
        <w:spacing w:after="0" w:line="256" w:lineRule="auto"/>
        <w:tabs>
          <w:tab w:leader="none" w:pos="1132"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Client will coordinate with Bank in performing periodic Due Diligence regarding any Bank-approved Subcontractor contracted with Client. Client shall periodically contact, and will, if necessary, meet personally with Subcontractors to discuss any performance and operations issues. Client will provide Bank with reports regarding its ongoing monitoring as Bank may reasonably request.</w:t>
      </w:r>
    </w:p>
    <w:p>
      <w:pPr>
        <w:spacing w:after="0" w:line="176" w:lineRule="exact"/>
        <w:rPr>
          <w:rFonts w:ascii="Times New Roman" w:cs="Times New Roman" w:eastAsia="Times New Roman" w:hAnsi="Times New Roman"/>
          <w:sz w:val="22"/>
          <w:szCs w:val="22"/>
          <w:color w:val="auto"/>
        </w:rPr>
      </w:pPr>
    </w:p>
    <w:p>
      <w:pPr>
        <w:jc w:val="both"/>
        <w:ind w:firstLine="656"/>
        <w:spacing w:after="0" w:line="263" w:lineRule="auto"/>
        <w:tabs>
          <w:tab w:leader="none" w:pos="1140"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Client will comply with and perform its obligations under any ancillary agreement or agreements with Bank or any Subcontractor, including but not limited to any Processor, which is now or in the future will be executed in connection with any Program offered pursuant hereto.</w:t>
      </w:r>
    </w:p>
    <w:p>
      <w:pPr>
        <w:spacing w:after="0" w:line="167" w:lineRule="exact"/>
        <w:rPr>
          <w:rFonts w:ascii="Times New Roman" w:cs="Times New Roman" w:eastAsia="Times New Roman" w:hAnsi="Times New Roman"/>
          <w:sz w:val="22"/>
          <w:szCs w:val="22"/>
          <w:color w:val="auto"/>
        </w:rPr>
      </w:pPr>
    </w:p>
    <w:p>
      <w:pPr>
        <w:jc w:val="both"/>
        <w:ind w:firstLine="656"/>
        <w:spacing w:after="0" w:line="250" w:lineRule="auto"/>
        <w:tabs>
          <w:tab w:leader="none" w:pos="1120"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Client shall promptly deliver to Bank complete and correct copies of all of the items the Bank requires to perform its ongoing Due Diligence review of Subcontractors, and in any case within thirty (30) days of Bank’s request at any time during the Term of this Agreement. Client’s information furnished to Bank, subject to any limitation stated therein, will fairly represent the financial condition, operations and data security controls of the Subcontractor at the time the same are furnished, and all other information, reports and other papers furnished Bank will be, at the time the same are furnished, accurate and complete in all material respects and complete insofar as completeness may be necessary to give Bank a true and accurate knowledge of the subject matter.</w:t>
      </w:r>
    </w:p>
    <w:p>
      <w:pPr>
        <w:spacing w:after="0" w:line="180" w:lineRule="exact"/>
        <w:rPr>
          <w:rFonts w:ascii="Times New Roman" w:cs="Times New Roman" w:eastAsia="Times New Roman" w:hAnsi="Times New Roman"/>
          <w:sz w:val="22"/>
          <w:szCs w:val="22"/>
          <w:color w:val="auto"/>
        </w:rPr>
      </w:pPr>
    </w:p>
    <w:p>
      <w:pPr>
        <w:jc w:val="both"/>
        <w:ind w:firstLine="656"/>
        <w:spacing w:after="0" w:line="250" w:lineRule="auto"/>
        <w:tabs>
          <w:tab w:leader="none" w:pos="1249"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 and Client agree to continue to work together in good faith to review and refine the Subcontractor and customer service provider onboarding process for such Subcontractors and customer service providers that require Bank review and approval. For the avoidance of doubt, and notwithstanding the foregoing, Client and Bank have developed mutually agreed upon timelines for Bank’s approval of certain Subcontractors or customer service providers as set forth in the Program Service Level Addendum (“</w:t>
      </w:r>
      <w:r>
        <w:rPr>
          <w:rFonts w:ascii="Times New Roman" w:cs="Times New Roman" w:eastAsia="Times New Roman" w:hAnsi="Times New Roman"/>
          <w:sz w:val="22"/>
          <w:szCs w:val="22"/>
          <w:b w:val="1"/>
          <w:bCs w:val="1"/>
          <w:color w:val="auto"/>
        </w:rPr>
        <w:t>Program SLAs</w:t>
      </w:r>
      <w:r>
        <w:rPr>
          <w:rFonts w:ascii="Times New Roman" w:cs="Times New Roman" w:eastAsia="Times New Roman" w:hAnsi="Times New Roman"/>
          <w:sz w:val="22"/>
          <w:szCs w:val="22"/>
          <w:color w:val="auto"/>
        </w:rPr>
        <w:t xml:space="preserve">”), attached hereto as </w:t>
      </w:r>
      <w:r>
        <w:rPr>
          <w:rFonts w:ascii="Times New Roman" w:cs="Times New Roman" w:eastAsia="Times New Roman" w:hAnsi="Times New Roman"/>
          <w:sz w:val="22"/>
          <w:szCs w:val="22"/>
          <w:b w:val="1"/>
          <w:bCs w:val="1"/>
          <w:color w:val="auto"/>
        </w:rPr>
        <w:t>Exhibit B</w:t>
      </w:r>
      <w:r>
        <w:rPr>
          <w:rFonts w:ascii="Times New Roman" w:cs="Times New Roman" w:eastAsia="Times New Roman" w:hAnsi="Times New Roman"/>
          <w:sz w:val="22"/>
          <w:szCs w:val="22"/>
          <w:color w:val="auto"/>
        </w:rPr>
        <w:t xml:space="preserve">. The Parties agree that the timelines and scope of approvals set forth in </w:t>
      </w:r>
      <w:r>
        <w:rPr>
          <w:rFonts w:ascii="Times New Roman" w:cs="Times New Roman" w:eastAsia="Times New Roman" w:hAnsi="Times New Roman"/>
          <w:sz w:val="22"/>
          <w:szCs w:val="22"/>
          <w:b w:val="1"/>
          <w:bCs w:val="1"/>
          <w:color w:val="auto"/>
        </w:rPr>
        <w:t>Exhibit B</w:t>
      </w:r>
      <w:r>
        <w:rPr>
          <w:rFonts w:ascii="Times New Roman" w:cs="Times New Roman" w:eastAsia="Times New Roman" w:hAnsi="Times New Roman"/>
          <w:sz w:val="22"/>
          <w:szCs w:val="22"/>
          <w:color w:val="auto"/>
        </w:rPr>
        <w:t xml:space="preserve"> may be modified upon mutual agreement between the Parties and documented by individuals authorized to make such modifications.</w:t>
      </w:r>
    </w:p>
    <w:p>
      <w:pPr>
        <w:spacing w:after="0" w:line="180"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color w:val="auto"/>
        </w:rPr>
        <w:t>3.15</w:t>
      </w:r>
      <w:r>
        <w:rPr>
          <w:sz w:val="20"/>
          <w:szCs w:val="20"/>
          <w:color w:val="auto"/>
        </w:rPr>
        <w:tab/>
      </w:r>
      <w:r>
        <w:rPr>
          <w:rFonts w:ascii="Times New Roman" w:cs="Times New Roman" w:eastAsia="Times New Roman" w:hAnsi="Times New Roman"/>
          <w:sz w:val="21"/>
          <w:szCs w:val="21"/>
          <w:u w:val="single" w:color="auto"/>
          <w:color w:val="auto"/>
        </w:rPr>
        <w:t>Model Risk Management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Where the Client utilizes a model as defined by OCC Bulletin 2011-12, “Sound Practices for Model Risk Management:</w:t>
      </w:r>
    </w:p>
    <w:p>
      <w:pPr>
        <w:spacing w:after="0"/>
        <w:rPr>
          <w:sz w:val="20"/>
          <w:szCs w:val="20"/>
          <w:color w:val="auto"/>
        </w:rPr>
      </w:pPr>
      <w:r>
        <w:rPr>
          <w:rFonts w:ascii="Times New Roman" w:cs="Times New Roman" w:eastAsia="Times New Roman" w:hAnsi="Times New Roman"/>
          <w:sz w:val="22"/>
          <w:szCs w:val="22"/>
          <w:color w:val="auto"/>
        </w:rPr>
        <w:t>Supervisory Guidance on Model Risk Management” to provide Bank sponsored Programs, the following apply:</w:t>
      </w:r>
    </w:p>
    <w:p>
      <w:pPr>
        <w:spacing w:after="0" w:line="178" w:lineRule="exact"/>
        <w:rPr>
          <w:sz w:val="20"/>
          <w:szCs w:val="20"/>
          <w:color w:val="auto"/>
        </w:rPr>
      </w:pPr>
    </w:p>
    <w:p>
      <w:pPr>
        <w:jc w:val="both"/>
        <w:ind w:firstLine="656"/>
        <w:spacing w:after="0" w:line="269" w:lineRule="auto"/>
        <w:tabs>
          <w:tab w:leader="none" w:pos="1185" w:val="left"/>
        </w:tabs>
        <w:numPr>
          <w:ilvl w:val="0"/>
          <w:numId w:val="2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Client shall maintain a documented Model Risk Management (“</w:t>
      </w:r>
      <w:r>
        <w:rPr>
          <w:rFonts w:ascii="Times New Roman" w:cs="Times New Roman" w:eastAsia="Times New Roman" w:hAnsi="Times New Roman"/>
          <w:sz w:val="21"/>
          <w:szCs w:val="21"/>
          <w:b w:val="1"/>
          <w:bCs w:val="1"/>
          <w:color w:val="auto"/>
        </w:rPr>
        <w:t>MRM</w:t>
      </w:r>
      <w:r>
        <w:rPr>
          <w:rFonts w:ascii="Times New Roman" w:cs="Times New Roman" w:eastAsia="Times New Roman" w:hAnsi="Times New Roman"/>
          <w:sz w:val="21"/>
          <w:szCs w:val="21"/>
          <w:color w:val="auto"/>
        </w:rPr>
        <w:t>”) Policy and program that assists Bank in adhering to its obligations relating to the oversight and management of risks related to the use of third-party models as outlined in the “Third Party Model and Data” section within the OCC Comptroller’s Handbook for Model Risk Management (Version 1.0, August 2021), as may be amended from time to time. Client will provide all current copies of the MRM Policy to the Bank.</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Master Services Agreement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AND PROPRIETARY</w:t>
      </w:r>
    </w:p>
    <w:p>
      <w:pPr>
        <w:sectPr>
          <w:pgSz w:w="11900" w:h="16838" w:orient="portrait"/>
          <w:cols w:equalWidth="0" w:num="1">
            <w:col w:w="11240"/>
          </w:cols>
          <w:pgMar w:left="320" w:top="124" w:right="339" w:bottom="1440" w:gutter="0" w:footer="0" w:header="0"/>
        </w:sectPr>
      </w:pPr>
    </w:p>
    <w:bookmarkStart w:id="452" w:name="page453"/>
    <w:bookmarkEnd w:id="452"/>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656"/>
        <w:spacing w:after="0" w:line="250" w:lineRule="auto"/>
        <w:tabs>
          <w:tab w:leader="none" w:pos="1145" w:val="left"/>
        </w:tabs>
        <w:numPr>
          <w:ilvl w:val="0"/>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Client must obtain Bank approval prior to utilizing or modifying a model to support any products which utilize any balance sheet activity provided by Bank as outlined in Schedule 6 of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 xml:space="preserve"> to the Agreement or as may be directed by any Regulatory Authority (each, a “</w:t>
      </w:r>
      <w:r>
        <w:rPr>
          <w:rFonts w:ascii="Times New Roman" w:cs="Times New Roman" w:eastAsia="Times New Roman" w:hAnsi="Times New Roman"/>
          <w:sz w:val="22"/>
          <w:szCs w:val="22"/>
          <w:b w:val="1"/>
          <w:bCs w:val="1"/>
          <w:color w:val="auto"/>
        </w:rPr>
        <w:t>Qualified MRM Product</w:t>
      </w:r>
      <w:r>
        <w:rPr>
          <w:rFonts w:ascii="Times New Roman" w:cs="Times New Roman" w:eastAsia="Times New Roman" w:hAnsi="Times New Roman"/>
          <w:sz w:val="22"/>
          <w:szCs w:val="22"/>
          <w:color w:val="auto"/>
        </w:rPr>
        <w:t>”). Such approval shall not be unduly withheld by Bank.</w:t>
      </w:r>
    </w:p>
    <w:p>
      <w:pPr>
        <w:spacing w:after="0" w:line="167" w:lineRule="exact"/>
        <w:rPr>
          <w:rFonts w:ascii="Times New Roman" w:cs="Times New Roman" w:eastAsia="Times New Roman" w:hAnsi="Times New Roman"/>
          <w:sz w:val="22"/>
          <w:szCs w:val="22"/>
          <w:color w:val="auto"/>
        </w:rPr>
      </w:pPr>
    </w:p>
    <w:p>
      <w:pPr>
        <w:ind w:right="20" w:firstLine="656"/>
        <w:spacing w:after="0" w:line="271" w:lineRule="auto"/>
        <w:tabs>
          <w:tab w:leader="none" w:pos="1110" w:val="left"/>
        </w:tabs>
        <w:numPr>
          <w:ilvl w:val="0"/>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Client shall promptly deliver to Bank complete and correct copies of all of the items the Bank requires to perform its own initial and ongoing Due Diligence review of the model and respond to regulator inquiries.</w:t>
      </w:r>
    </w:p>
    <w:p>
      <w:pPr>
        <w:spacing w:after="0" w:line="144" w:lineRule="exact"/>
        <w:rPr>
          <w:rFonts w:ascii="Times New Roman" w:cs="Times New Roman" w:eastAsia="Times New Roman" w:hAnsi="Times New Roman"/>
          <w:sz w:val="22"/>
          <w:szCs w:val="22"/>
          <w:color w:val="auto"/>
        </w:rPr>
      </w:pPr>
    </w:p>
    <w:p>
      <w:pPr>
        <w:jc w:val="both"/>
        <w:ind w:firstLine="656"/>
        <w:spacing w:after="0" w:line="243" w:lineRule="auto"/>
        <w:tabs>
          <w:tab w:leader="none" w:pos="1196" w:val="left"/>
        </w:tabs>
        <w:numPr>
          <w:ilvl w:val="0"/>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Client agrees that to the extent that Bank determines that a model validation is required as it relates to Qualified MRM Products, Bank shall select, and Client shall approve (approval not to be unreasonably withheld) an independent third party to complete the model validation. Bank shall retain final decision and authority regarding the scope of the model validation, as well as receive copies of all validation results and Client shall be responsible for all expenses associated with the independent validation of models.</w:t>
      </w:r>
    </w:p>
    <w:p>
      <w:pPr>
        <w:spacing w:after="0" w:line="177" w:lineRule="exact"/>
        <w:rPr>
          <w:rFonts w:ascii="Times New Roman" w:cs="Times New Roman" w:eastAsia="Times New Roman" w:hAnsi="Times New Roman"/>
          <w:sz w:val="22"/>
          <w:szCs w:val="22"/>
          <w:color w:val="auto"/>
        </w:rPr>
      </w:pPr>
    </w:p>
    <w:p>
      <w:pPr>
        <w:ind w:firstLine="656"/>
        <w:spacing w:after="0" w:line="258" w:lineRule="auto"/>
        <w:tabs>
          <w:tab w:leader="none" w:pos="1231" w:val="left"/>
        </w:tabs>
        <w:numPr>
          <w:ilvl w:val="0"/>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Client must resolve any identified MRM deficiencies within a commercially reasonable timeframe and manner collectively determined with the Bank or such shorter period as may be directed by a Regulatory Authority.</w:t>
      </w:r>
    </w:p>
    <w:p>
      <w:pPr>
        <w:spacing w:after="0" w:line="17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color w:val="auto"/>
        </w:rPr>
        <w:t>3.19</w:t>
      </w:r>
      <w:r>
        <w:rPr>
          <w:sz w:val="20"/>
          <w:szCs w:val="20"/>
          <w:color w:val="auto"/>
        </w:rPr>
        <w:tab/>
      </w:r>
      <w:r>
        <w:rPr>
          <w:rFonts w:ascii="Times New Roman" w:cs="Times New Roman" w:eastAsia="Times New Roman" w:hAnsi="Times New Roman"/>
          <w:sz w:val="21"/>
          <w:szCs w:val="21"/>
          <w:u w:val="single" w:color="auto"/>
          <w:color w:val="auto"/>
        </w:rPr>
        <w:t>Fair and Responsible Banking Services</w:t>
      </w:r>
    </w:p>
    <w:p>
      <w:pPr>
        <w:spacing w:after="0" w:line="20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2"/>
          <w:szCs w:val="22"/>
          <w:color w:val="auto"/>
        </w:rPr>
        <w:t>The Client, for Designated Products (defined below), is required to implement a formal documented Fair and Responsible Banking Services risk management program that at a minimum meets the standards described in the OCC Fair Lending Handbook, as well as comply with other applicable Federal and State Fair Lending requirements and addresses how discrimination (e.g., overt, disparate treatment, disparate impact, steering) in any aspect of the transaction is prevented. The Fair and Responsible Banking risk management program, at a minimum, should cover the following:</w:t>
      </w:r>
    </w:p>
    <w:p>
      <w:pPr>
        <w:spacing w:after="0" w:line="177" w:lineRule="exact"/>
        <w:rPr>
          <w:sz w:val="20"/>
          <w:szCs w:val="20"/>
          <w:color w:val="auto"/>
        </w:rPr>
      </w:pPr>
    </w:p>
    <w:p>
      <w:pPr>
        <w:jc w:val="both"/>
        <w:ind w:firstLine="656"/>
        <w:spacing w:after="0" w:line="259" w:lineRule="auto"/>
        <w:tabs>
          <w:tab w:leader="none" w:pos="1095" w:val="left"/>
        </w:tabs>
        <w:numPr>
          <w:ilvl w:val="0"/>
          <w:numId w:val="2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Fair and Responsible Banking Services policy that address making Designated Products, available to all applicants that meet the business requirements in a fair and consistent manner within the confines of safe and sound practices. The policy should comply with applicable fair lending laws and regulations including, but not limited to, Equal Credit Opportunity Act (ECOA), Fair Credit Reporting Act (FCRA), and the prohibition on Unfair, Deceptive, or Abusive Acts or Practices (UDAAP).</w:t>
      </w:r>
    </w:p>
    <w:p>
      <w:pPr>
        <w:spacing w:after="0" w:line="172" w:lineRule="exact"/>
        <w:rPr>
          <w:rFonts w:ascii="Times New Roman" w:cs="Times New Roman" w:eastAsia="Times New Roman" w:hAnsi="Times New Roman"/>
          <w:sz w:val="21"/>
          <w:szCs w:val="21"/>
          <w:color w:val="auto"/>
        </w:rPr>
      </w:pPr>
    </w:p>
    <w:p>
      <w:pPr>
        <w:ind w:firstLine="656"/>
        <w:spacing w:after="0" w:line="258" w:lineRule="auto"/>
        <w:tabs>
          <w:tab w:leader="none" w:pos="1126"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Fair and Responsible Banking Services training for new employees as well as periodic training, at least annually, for all employees who have involvement in product creation, management and servicing of Designated Products.</w:t>
      </w:r>
    </w:p>
    <w:p>
      <w:pPr>
        <w:spacing w:after="0" w:line="158" w:lineRule="exact"/>
        <w:rPr>
          <w:rFonts w:ascii="Times New Roman" w:cs="Times New Roman" w:eastAsia="Times New Roman" w:hAnsi="Times New Roman"/>
          <w:sz w:val="22"/>
          <w:szCs w:val="22"/>
          <w:color w:val="auto"/>
        </w:rPr>
      </w:pPr>
    </w:p>
    <w:p>
      <w:pPr>
        <w:ind w:firstLine="656"/>
        <w:spacing w:after="0" w:line="271" w:lineRule="auto"/>
        <w:tabs>
          <w:tab w:leader="none" w:pos="1200"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Risk assessment and testing that evaluates risks and provides appropriate oversight throughout each stage of the product life cycle of Designated Products.</w:t>
      </w:r>
    </w:p>
    <w:p>
      <w:pPr>
        <w:spacing w:after="0" w:line="144" w:lineRule="exact"/>
        <w:rPr>
          <w:rFonts w:ascii="Times New Roman" w:cs="Times New Roman" w:eastAsia="Times New Roman" w:hAnsi="Times New Roman"/>
          <w:sz w:val="22"/>
          <w:szCs w:val="22"/>
          <w:color w:val="auto"/>
        </w:rPr>
      </w:pPr>
    </w:p>
    <w:p>
      <w:pPr>
        <w:jc w:val="both"/>
        <w:ind w:right="20" w:firstLine="656"/>
        <w:spacing w:after="0" w:line="250" w:lineRule="auto"/>
        <w:tabs>
          <w:tab w:leader="none" w:pos="1117"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Bank shall select and Client shall approve (approval not to be unreasonably withheld), if Bank deems necessary, based on Client’s use of a model (as defined by OCC Bulletin 2011-12), traditional underwriting standards, and/ or a decision tree, whether or not defined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Master Services Agreement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AND PROPRIETARY</w:t>
      </w:r>
    </w:p>
    <w:p>
      <w:pPr>
        <w:sectPr>
          <w:pgSz w:w="11900" w:h="16838" w:orient="portrait"/>
          <w:cols w:equalWidth="0" w:num="1">
            <w:col w:w="11240"/>
          </w:cols>
          <w:pgMar w:left="320" w:top="124" w:right="339" w:bottom="1440" w:gutter="0" w:footer="0" w:header="0"/>
        </w:sectPr>
      </w:pPr>
    </w:p>
    <w:bookmarkStart w:id="453" w:name="page454"/>
    <w:bookmarkEnd w:id="453"/>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1"/>
          <w:szCs w:val="21"/>
          <w:color w:val="auto"/>
        </w:rPr>
        <w:t>model; third-party consultant, assessor, or qualified individual (a “Consultant”), to complete a fair lending analysis that includes statistical analysis (including regression testing, if appropriate) or other industry appropriate analyses to evaluate potential disparate impact on a traditionally protected class. Client shall provide to Consultant any information reasonably requested to complete such review and Client shall be responsible for all expenses associated with the analysis described herein.</w:t>
      </w:r>
    </w:p>
    <w:p>
      <w:pPr>
        <w:spacing w:after="0" w:line="161" w:lineRule="exact"/>
        <w:rPr>
          <w:sz w:val="20"/>
          <w:szCs w:val="20"/>
          <w:color w:val="auto"/>
        </w:rPr>
      </w:pPr>
    </w:p>
    <w:p>
      <w:pPr>
        <w:jc w:val="both"/>
        <w:ind w:firstLine="656"/>
        <w:spacing w:after="0" w:line="252" w:lineRule="auto"/>
        <w:tabs>
          <w:tab w:leader="none" w:pos="1176" w:val="left"/>
        </w:tabs>
        <w:numPr>
          <w:ilvl w:val="0"/>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the term “Designated Products” shall include, without limitation, Credit Builder, SpotMe, My Paycheck, and any other credit or liquidity products funded by Bank and that Bank determines in its reasonable discretion are subject to a Fair and Responsible Banking Services policy, or as may be otherwise directed by a Regulatory Authority.</w:t>
      </w:r>
    </w:p>
    <w:p>
      <w:pPr>
        <w:spacing w:after="0" w:line="192" w:lineRule="exact"/>
        <w:rPr>
          <w:rFonts w:ascii="Times New Roman" w:cs="Times New Roman" w:eastAsia="Times New Roman" w:hAnsi="Times New Roman"/>
          <w:sz w:val="22"/>
          <w:szCs w:val="22"/>
          <w:color w:val="auto"/>
        </w:rPr>
      </w:pPr>
    </w:p>
    <w:p>
      <w:pPr>
        <w:ind w:left="1100" w:hanging="444"/>
        <w:spacing w:after="0"/>
        <w:tabs>
          <w:tab w:leader="none" w:pos="1100" w:val="left"/>
        </w:tabs>
        <w:numPr>
          <w:ilvl w:val="0"/>
          <w:numId w:val="2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Client shall provide all current copies of the Fair and Responsible Banking Services risk management program to the</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Bank.</w:t>
      </w:r>
    </w:p>
    <w:p>
      <w:pPr>
        <w:spacing w:after="0" w:line="195" w:lineRule="exact"/>
        <w:rPr>
          <w:rFonts w:ascii="Times New Roman" w:cs="Times New Roman" w:eastAsia="Times New Roman" w:hAnsi="Times New Roman"/>
          <w:sz w:val="21"/>
          <w:szCs w:val="21"/>
          <w:color w:val="auto"/>
        </w:rPr>
      </w:pPr>
    </w:p>
    <w:p>
      <w:pPr>
        <w:ind w:right="20" w:firstLine="656"/>
        <w:spacing w:after="0" w:line="271" w:lineRule="auto"/>
        <w:tabs>
          <w:tab w:leader="none" w:pos="1286" w:val="left"/>
        </w:tabs>
        <w:numPr>
          <w:ilvl w:val="0"/>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Bank shall share with Client the results of Consultant’s statistical analysis/regression testing for review, discussion and, if necessary, issue remediation.</w:t>
      </w:r>
    </w:p>
    <w:p>
      <w:pPr>
        <w:spacing w:after="0" w:line="157" w:lineRule="exact"/>
        <w:rPr>
          <w:rFonts w:ascii="Times New Roman" w:cs="Times New Roman" w:eastAsia="Times New Roman" w:hAnsi="Times New Roman"/>
          <w:sz w:val="22"/>
          <w:szCs w:val="22"/>
          <w:color w:val="auto"/>
        </w:rPr>
      </w:pPr>
    </w:p>
    <w:p>
      <w:pPr>
        <w:ind w:firstLine="656"/>
        <w:spacing w:after="0" w:line="271" w:lineRule="auto"/>
        <w:tabs>
          <w:tab w:leader="none" w:pos="1184" w:val="left"/>
        </w:tabs>
        <w:numPr>
          <w:ilvl w:val="0"/>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Client must work with Bank to resolve identified deficiencies in a timeframe and manner collectively determined with the Bank or such shorter period as may be directed by a Regulatory Authority.</w:t>
      </w:r>
    </w:p>
    <w:p>
      <w:pPr>
        <w:spacing w:after="0" w:line="17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3.20 </w:t>
      </w:r>
      <w:r>
        <w:rPr>
          <w:rFonts w:ascii="Times New Roman" w:cs="Times New Roman" w:eastAsia="Times New Roman" w:hAnsi="Times New Roman"/>
          <w:sz w:val="22"/>
          <w:szCs w:val="22"/>
          <w:u w:val="single" w:color="auto"/>
          <w:color w:val="auto"/>
        </w:rPr>
        <w:t>Program Volume Forecasts</w:t>
      </w:r>
      <w:r>
        <w:rPr>
          <w:rFonts w:ascii="Times New Roman" w:cs="Times New Roman" w:eastAsia="Times New Roman" w:hAnsi="Times New Roman"/>
          <w:sz w:val="22"/>
          <w:szCs w:val="22"/>
          <w:color w:val="auto"/>
        </w:rPr>
        <w:t>. Beginning on the Effective Date, Client shall provide Bank, on a mutually agreed upon cadence, with a reasonable, good faith [***] forecast, of projected Program volumes for such following [***] period (a “Program Volume Forecast”), and Client shall use commercially reasonable efforts to market the Programs to achieve the Program Volume Forecast. Based upon the Program Volume Forecast, Bank shall provide to Client no less than [***] prior written notice of any reasonably anticipated constraints in its ability to fulfill such Program Volume Forecast. Should Bank become unable to support Program volumes as set forth in a Program Volume Forecast, the Parties agree to use commercially reasonable efforts to resolve such inability.</w:t>
      </w:r>
    </w:p>
    <w:p>
      <w:pPr>
        <w:spacing w:after="0" w:line="176" w:lineRule="exact"/>
        <w:rPr>
          <w:sz w:val="20"/>
          <w:szCs w:val="20"/>
          <w:color w:val="auto"/>
        </w:rPr>
      </w:pPr>
    </w:p>
    <w:p>
      <w:pPr>
        <w:ind w:left="380" w:hanging="372"/>
        <w:spacing w:after="0"/>
        <w:tabs>
          <w:tab w:leader="none" w:pos="380" w:val="left"/>
        </w:tabs>
        <w:numPr>
          <w:ilvl w:val="0"/>
          <w:numId w:val="2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CLIENT REPRESENTATIONS, WARRANTIES, AND COVENANTS</w:t>
      </w:r>
    </w:p>
    <w:p>
      <w:pPr>
        <w:spacing w:after="0" w:line="22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4.1</w:t>
      </w:r>
      <w:r>
        <w:rPr>
          <w:sz w:val="20"/>
          <w:szCs w:val="20"/>
          <w:color w:val="auto"/>
        </w:rPr>
        <w:tab/>
      </w:r>
      <w:r>
        <w:rPr>
          <w:rFonts w:ascii="Times New Roman" w:cs="Times New Roman" w:eastAsia="Times New Roman" w:hAnsi="Times New Roman"/>
          <w:sz w:val="21"/>
          <w:szCs w:val="21"/>
          <w:u w:val="single" w:color="auto"/>
          <w:color w:val="auto"/>
        </w:rPr>
        <w:t>Representations and Warranties</w:t>
      </w:r>
      <w:r>
        <w:rPr>
          <w:rFonts w:ascii="Times New Roman" w:cs="Times New Roman" w:eastAsia="Times New Roman" w:hAnsi="Times New Roman"/>
          <w:sz w:val="21"/>
          <w:szCs w:val="21"/>
          <w:color w:val="auto"/>
        </w:rPr>
        <w:t>. Client represents and warrants to Bank as follows:</w:t>
      </w:r>
    </w:p>
    <w:p>
      <w:pPr>
        <w:spacing w:after="0" w:line="220" w:lineRule="exact"/>
        <w:rPr>
          <w:sz w:val="20"/>
          <w:szCs w:val="20"/>
          <w:color w:val="auto"/>
        </w:rPr>
      </w:pPr>
    </w:p>
    <w:p>
      <w:pPr>
        <w:ind w:firstLine="656"/>
        <w:spacing w:after="0" w:line="284" w:lineRule="auto"/>
        <w:tabs>
          <w:tab w:leader="none" w:pos="1254"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is valid, binding and enforceable against Client in accordance with its terms, except as such enforceability may be limited by laws governing creditors’ rights and general principles of equity.</w:t>
      </w:r>
    </w:p>
    <w:p>
      <w:pPr>
        <w:spacing w:after="0" w:line="143" w:lineRule="exact"/>
        <w:rPr>
          <w:rFonts w:ascii="Times New Roman" w:cs="Times New Roman" w:eastAsia="Times New Roman" w:hAnsi="Times New Roman"/>
          <w:sz w:val="22"/>
          <w:szCs w:val="22"/>
          <w:color w:val="auto"/>
        </w:rPr>
      </w:pPr>
    </w:p>
    <w:p>
      <w:pPr>
        <w:jc w:val="both"/>
        <w:ind w:firstLine="656"/>
        <w:spacing w:after="0" w:line="250" w:lineRule="auto"/>
        <w:tabs>
          <w:tab w:leader="none" w:pos="1155"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 is a Nationally-Chartered bank, is validly existing and in good standing, and is duly qualified and is properly authorized or licensed to do business in each jurisdiction in which the nature of Bank’s activities makes such authorization or licensure necessary. Neither the execution of this Agreement nor Bank’s performance of its obligations hereunder requires any consent, authorization, approval, license, or other action by or in respect of, or filing with, any third party or any Regulatory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Master Services Agreement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AND PROPRIETARY</w:t>
      </w:r>
    </w:p>
    <w:p>
      <w:pPr>
        <w:sectPr>
          <w:pgSz w:w="11900" w:h="16838" w:orient="portrait"/>
          <w:cols w:equalWidth="0" w:num="1">
            <w:col w:w="11240"/>
          </w:cols>
          <w:pgMar w:left="320" w:top="124" w:right="339" w:bottom="1440" w:gutter="0" w:footer="0" w:header="0"/>
        </w:sectPr>
      </w:pPr>
    </w:p>
    <w:bookmarkStart w:id="454" w:name="page455"/>
    <w:bookmarkEnd w:id="454"/>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656"/>
        <w:spacing w:after="0" w:line="256" w:lineRule="auto"/>
        <w:tabs>
          <w:tab w:leader="none" w:pos="1108" w:val="left"/>
        </w:tabs>
        <w:numPr>
          <w:ilvl w:val="0"/>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Client has the full power and authority to execute and deliver this Agreement and to perform all its obligations under this Agreement. The provisions of this Agreement and the performance by Client of its obligations under this Agreement are not in conflict with Client’s Articles of Incorporation, bylaws or any other agreement, contract, lease or obligation to which Client is a party or by which it is bound.</w:t>
      </w:r>
    </w:p>
    <w:p>
      <w:pPr>
        <w:spacing w:after="0" w:line="176"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Client nor any Principal of Client has been subject to the following:</w:t>
      </w:r>
    </w:p>
    <w:p>
      <w:pPr>
        <w:spacing w:after="0" w:line="219" w:lineRule="exact"/>
        <w:rPr>
          <w:rFonts w:ascii="Times New Roman" w:cs="Times New Roman" w:eastAsia="Times New Roman" w:hAnsi="Times New Roman"/>
          <w:sz w:val="22"/>
          <w:szCs w:val="22"/>
          <w:color w:val="auto"/>
        </w:rPr>
      </w:pPr>
    </w:p>
    <w:p>
      <w:pPr>
        <w:ind w:left="1960" w:right="20" w:hanging="656"/>
        <w:spacing w:after="0" w:line="271" w:lineRule="auto"/>
        <w:tabs>
          <w:tab w:leader="none" w:pos="1772" w:val="left"/>
        </w:tabs>
        <w:numPr>
          <w:ilvl w:val="1"/>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Criminal conviction (except minor traffic offenses and other petty offenses) in the United States of America or in any foreign country;</w:t>
      </w:r>
    </w:p>
    <w:p>
      <w:pPr>
        <w:spacing w:after="0" w:line="157"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Federal or state tax lien, or any foreign tax lien;</w:t>
      </w:r>
    </w:p>
    <w:p>
      <w:pPr>
        <w:spacing w:after="0" w:line="233" w:lineRule="exact"/>
        <w:rPr>
          <w:rFonts w:ascii="Times New Roman" w:cs="Times New Roman" w:eastAsia="Times New Roman" w:hAnsi="Times New Roman"/>
          <w:sz w:val="22"/>
          <w:szCs w:val="22"/>
          <w:color w:val="auto"/>
        </w:rPr>
      </w:pPr>
    </w:p>
    <w:p>
      <w:pPr>
        <w:jc w:val="both"/>
        <w:ind w:left="1960" w:hanging="656"/>
        <w:spacing w:after="0" w:line="257" w:lineRule="auto"/>
        <w:tabs>
          <w:tab w:leader="none" w:pos="1898" w:val="left"/>
        </w:tabs>
        <w:numPr>
          <w:ilvl w:val="1"/>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Administrative or enforcement proceedings commenced by the Securities and Exchange Commission, any state securities regulatory authority, Federal Trade commission, federal or state bank regulator, or any other state or federal Regulatory Authority in the United States or in any other country; or</w:t>
      </w:r>
    </w:p>
    <w:p>
      <w:pPr>
        <w:spacing w:after="0" w:line="172" w:lineRule="exact"/>
        <w:rPr>
          <w:rFonts w:ascii="Times New Roman" w:cs="Times New Roman" w:eastAsia="Times New Roman" w:hAnsi="Times New Roman"/>
          <w:sz w:val="22"/>
          <w:szCs w:val="22"/>
          <w:color w:val="auto"/>
        </w:rPr>
      </w:pPr>
    </w:p>
    <w:p>
      <w:pPr>
        <w:ind w:left="1960" w:hanging="656"/>
        <w:spacing w:after="0" w:line="271" w:lineRule="auto"/>
        <w:tabs>
          <w:tab w:leader="none" w:pos="1873" w:val="left"/>
        </w:tabs>
        <w:numPr>
          <w:ilvl w:val="1"/>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Restraining order, decree, injunction, or judgment in any proceeding or lawsuit, alleging fraud or deceptive practice on the part of Client or any Principal thereof.</w:t>
      </w:r>
    </w:p>
    <w:p>
      <w:pPr>
        <w:spacing w:after="0" w:line="154" w:lineRule="exact"/>
        <w:rPr>
          <w:sz w:val="20"/>
          <w:szCs w:val="20"/>
          <w:color w:val="auto"/>
        </w:rPr>
      </w:pPr>
    </w:p>
    <w:p>
      <w:pPr>
        <w:ind w:left="660"/>
        <w:spacing w:after="0" w:line="313" w:lineRule="auto"/>
        <w:rPr>
          <w:sz w:val="20"/>
          <w:szCs w:val="20"/>
          <w:color w:val="auto"/>
        </w:rPr>
      </w:pPr>
      <w:r>
        <w:rPr>
          <w:rFonts w:ascii="Times New Roman" w:cs="Times New Roman" w:eastAsia="Times New Roman" w:hAnsi="Times New Roman"/>
          <w:sz w:val="21"/>
          <w:szCs w:val="21"/>
          <w:color w:val="auto"/>
        </w:rPr>
        <w:t>For this subsection (d), the word “</w:t>
      </w:r>
      <w:r>
        <w:rPr>
          <w:rFonts w:ascii="Times New Roman" w:cs="Times New Roman" w:eastAsia="Times New Roman" w:hAnsi="Times New Roman"/>
          <w:sz w:val="21"/>
          <w:szCs w:val="21"/>
          <w:b w:val="1"/>
          <w:bCs w:val="1"/>
          <w:color w:val="auto"/>
        </w:rPr>
        <w:t>Principal</w:t>
      </w:r>
      <w:r>
        <w:rPr>
          <w:rFonts w:ascii="Times New Roman" w:cs="Times New Roman" w:eastAsia="Times New Roman" w:hAnsi="Times New Roman"/>
          <w:sz w:val="21"/>
          <w:szCs w:val="21"/>
          <w:color w:val="auto"/>
        </w:rPr>
        <w:t>” shall include any person directly or indirectly owning ten percent (10%) or more of Client, any officer or director of Client, or any person actively participating in the control of Client’s business.</w:t>
      </w:r>
    </w:p>
    <w:p>
      <w:pPr>
        <w:spacing w:after="0" w:line="117" w:lineRule="exact"/>
        <w:rPr>
          <w:sz w:val="20"/>
          <w:szCs w:val="20"/>
          <w:color w:val="auto"/>
        </w:rPr>
      </w:pPr>
    </w:p>
    <w:p>
      <w:pPr>
        <w:ind w:firstLine="656"/>
        <w:spacing w:after="0" w:line="271" w:lineRule="auto"/>
        <w:tabs>
          <w:tab w:leader="none" w:pos="1283" w:val="left"/>
        </w:tabs>
        <w:numPr>
          <w:ilvl w:val="0"/>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not pending or threatened against Client any litigation or proceeding, the outcome of which might materially adversely affect the continuing operations of Client.</w:t>
      </w:r>
    </w:p>
    <w:p>
      <w:pPr>
        <w:spacing w:after="0" w:line="157" w:lineRule="exact"/>
        <w:rPr>
          <w:rFonts w:ascii="Times New Roman" w:cs="Times New Roman" w:eastAsia="Times New Roman" w:hAnsi="Times New Roman"/>
          <w:sz w:val="22"/>
          <w:szCs w:val="22"/>
          <w:color w:val="auto"/>
        </w:rPr>
      </w:pPr>
    </w:p>
    <w:p>
      <w:pPr>
        <w:jc w:val="both"/>
        <w:ind w:firstLine="656"/>
        <w:spacing w:after="0" w:line="251" w:lineRule="auto"/>
        <w:tabs>
          <w:tab w:leader="none" w:pos="1125" w:val="left"/>
        </w:tabs>
        <w:numPr>
          <w:ilvl w:val="0"/>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Client has delivered to Bank complete and correct copies of all of the items the Bank requires to perform its initial and ongoing Due Diligence review of Client. Client’s information, subject to any limitation stated therein, which have been or which hereafter will be furnished to Bank to induce it to enter into this Agreement do or will fairly represent the financial condition, operations and data security controls of the Client, and all other information, reports and other papers furnished Bank will be, at the time the same are furnished, accurate and complete in all material respects and complete insofar as completeness may be necessary to give Bank a true and accurate knowledge of the subject matter.</w:t>
      </w:r>
    </w:p>
    <w:p>
      <w:pPr>
        <w:spacing w:after="0" w:line="18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Times New Roman" w:cs="Times New Roman" w:eastAsia="Times New Roman" w:hAnsi="Times New Roman"/>
          <w:sz w:val="21"/>
          <w:szCs w:val="21"/>
          <w:u w:val="single" w:color="auto"/>
          <w:color w:val="auto"/>
        </w:rPr>
        <w:t>Covenants</w:t>
      </w:r>
      <w:r>
        <w:rPr>
          <w:rFonts w:ascii="Times New Roman" w:cs="Times New Roman" w:eastAsia="Times New Roman" w:hAnsi="Times New Roman"/>
          <w:sz w:val="21"/>
          <w:szCs w:val="21"/>
          <w:color w:val="auto"/>
        </w:rPr>
        <w:t>. Client covenants and agrees with Bank as follows:</w:t>
      </w:r>
    </w:p>
    <w:p>
      <w:pPr>
        <w:spacing w:after="0" w:line="233" w:lineRule="exact"/>
        <w:rPr>
          <w:sz w:val="20"/>
          <w:szCs w:val="20"/>
          <w:color w:val="auto"/>
        </w:rPr>
      </w:pPr>
    </w:p>
    <w:p>
      <w:pPr>
        <w:jc w:val="both"/>
        <w:ind w:firstLine="656"/>
        <w:spacing w:after="0" w:line="250" w:lineRule="auto"/>
        <w:tabs>
          <w:tab w:leader="none" w:pos="1229" w:val="left"/>
        </w:tabs>
        <w:numPr>
          <w:ilvl w:val="0"/>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Client is and will at all times continue to perform its obligations under this Agreement in compliance with all Applicable Laws, the Rules, and any rules, orders and regulations issued by any Regulatory Authority that apply to the matters and transactions contemplated by this Agreement (except to the extent Bank has expressly agreed to undertake compliance obligations under this Agreement). To the extent permitted by Applicable Law and any Regulatory Authority, Client will be responsible for all fines and penalties assessed by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Master Services Agreement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AND PROPRIETARY</w:t>
      </w:r>
    </w:p>
    <w:p>
      <w:pPr>
        <w:sectPr>
          <w:pgSz w:w="11900" w:h="16838" w:orient="portrait"/>
          <w:cols w:equalWidth="0" w:num="1">
            <w:col w:w="11240"/>
          </w:cols>
          <w:pgMar w:left="320" w:top="124" w:right="339" w:bottom="1440" w:gutter="0" w:footer="0" w:header="0"/>
        </w:sectPr>
      </w:pPr>
    </w:p>
    <w:bookmarkStart w:id="455" w:name="page456"/>
    <w:bookmarkEnd w:id="455"/>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Regulatory Authority due to Client’s actions, inactions or omissions, but only to the extent such fines or penalties were not the result of any action or inaction by Bank.</w:t>
      </w:r>
    </w:p>
    <w:p>
      <w:pPr>
        <w:spacing w:after="0" w:line="145" w:lineRule="exact"/>
        <w:rPr>
          <w:sz w:val="20"/>
          <w:szCs w:val="20"/>
          <w:color w:val="auto"/>
        </w:rPr>
      </w:pPr>
    </w:p>
    <w:p>
      <w:pPr>
        <w:jc w:val="both"/>
        <w:ind w:firstLine="656"/>
        <w:spacing w:after="0" w:line="238" w:lineRule="auto"/>
        <w:tabs>
          <w:tab w:leader="none" w:pos="1196"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Client has received an electronic copy of the applicable Network Rules, which may be amended by the Network from time to time and shall ensure that any employees, agents, third party sellers and vendors who may be involved in the distribution or management of the Debit Card aspects of the Program receive the same.</w:t>
      </w:r>
    </w:p>
    <w:p>
      <w:pPr>
        <w:spacing w:after="0" w:line="178" w:lineRule="exact"/>
        <w:rPr>
          <w:rFonts w:ascii="Times New Roman" w:cs="Times New Roman" w:eastAsia="Times New Roman" w:hAnsi="Times New Roman"/>
          <w:sz w:val="22"/>
          <w:szCs w:val="22"/>
          <w:color w:val="auto"/>
        </w:rPr>
      </w:pPr>
    </w:p>
    <w:p>
      <w:pPr>
        <w:ind w:right="20" w:firstLine="656"/>
        <w:spacing w:after="0" w:line="282" w:lineRule="auto"/>
        <w:tabs>
          <w:tab w:leader="none" w:pos="1199" w:val="left"/>
        </w:tabs>
        <w:numPr>
          <w:ilvl w:val="0"/>
          <w:numId w:val="2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Client will own or will obtain and at all times maintain appropriate licenses to, any and all intellectual property affecting any aspect of the Program contemplated by this Agreement, including all trademarks, copyrights, software and patents.</w:t>
      </w:r>
    </w:p>
    <w:p>
      <w:pPr>
        <w:spacing w:after="0" w:line="121" w:lineRule="exact"/>
        <w:rPr>
          <w:rFonts w:ascii="Times New Roman" w:cs="Times New Roman" w:eastAsia="Times New Roman" w:hAnsi="Times New Roman"/>
          <w:sz w:val="21"/>
          <w:szCs w:val="21"/>
          <w:color w:val="auto"/>
        </w:rPr>
      </w:pPr>
    </w:p>
    <w:p>
      <w:pPr>
        <w:ind w:firstLine="656"/>
        <w:spacing w:after="0" w:line="258" w:lineRule="auto"/>
        <w:tabs>
          <w:tab w:leader="none" w:pos="1176"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Client shall ensure that any Solicitation Material, Account Agreement, marketing methods, or other aspects of the Program will not violate any intellectual property rights of any third party.</w:t>
      </w:r>
    </w:p>
    <w:p>
      <w:pPr>
        <w:spacing w:after="0" w:line="144" w:lineRule="exact"/>
        <w:rPr>
          <w:rFonts w:ascii="Times New Roman" w:cs="Times New Roman" w:eastAsia="Times New Roman" w:hAnsi="Times New Roman"/>
          <w:sz w:val="22"/>
          <w:szCs w:val="22"/>
          <w:color w:val="auto"/>
        </w:rPr>
      </w:pPr>
    </w:p>
    <w:p>
      <w:pPr>
        <w:jc w:val="both"/>
        <w:ind w:firstLine="656"/>
        <w:spacing w:after="0" w:line="244" w:lineRule="auto"/>
        <w:tabs>
          <w:tab w:leader="none" w:pos="1241"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Client will promptly give written notice to Bank of any event which would reasonably be expected to have a materially adverse effect on the continuing operations of Client and any pending material litigation and other material proceedings before governmental bodies or officials directly involving Client.</w:t>
      </w:r>
    </w:p>
    <w:p>
      <w:pPr>
        <w:spacing w:after="0" w:line="159" w:lineRule="exact"/>
        <w:rPr>
          <w:rFonts w:ascii="Times New Roman" w:cs="Times New Roman" w:eastAsia="Times New Roman" w:hAnsi="Times New Roman"/>
          <w:sz w:val="22"/>
          <w:szCs w:val="22"/>
          <w:color w:val="auto"/>
        </w:rPr>
      </w:pPr>
    </w:p>
    <w:p>
      <w:pPr>
        <w:jc w:val="both"/>
        <w:ind w:firstLine="656"/>
        <w:spacing w:after="0" w:line="232" w:lineRule="auto"/>
        <w:tabs>
          <w:tab w:leader="none" w:pos="1151"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possible, and in any event within one hundred twenty (120) days after the end of Client’s fiscal year, commencing January 1, 2024, and within one hundred twenty (120) days of the end of each fiscal year thereafter, Client will provide Bank such information as Bank may reasonably request to perform an annual due diligence review to confirm Client’s compliance with the terms of this Agreement, in accordance with the guidelines established by the Bank’s management and Board of Directors. Additionally, Client agrees to provide Bank with such information on a more frequent and periodic basis as Bank may reasonably require.</w:t>
      </w:r>
    </w:p>
    <w:p>
      <w:pPr>
        <w:spacing w:after="0" w:line="179" w:lineRule="exact"/>
        <w:rPr>
          <w:rFonts w:ascii="Times New Roman" w:cs="Times New Roman" w:eastAsia="Times New Roman" w:hAnsi="Times New Roman"/>
          <w:sz w:val="22"/>
          <w:szCs w:val="22"/>
          <w:color w:val="auto"/>
        </w:rPr>
      </w:pPr>
    </w:p>
    <w:p>
      <w:pPr>
        <w:jc w:val="both"/>
        <w:ind w:firstLine="656"/>
        <w:spacing w:after="0" w:line="238" w:lineRule="auto"/>
        <w:tabs>
          <w:tab w:leader="none" w:pos="1141"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Client will not, without Bank’s prior written consent, alter or amend any Account Agreement, Solicitation Material, marketing methods, or other terms of any Account Program, except as otherwise provided in this Agreement; provided, however, this Section 4.2(g) shall not apply to non-material grammatical, ministerial, or punctuation edits.</w:t>
      </w:r>
    </w:p>
    <w:p>
      <w:pPr>
        <w:spacing w:after="0" w:line="165" w:lineRule="exact"/>
        <w:rPr>
          <w:rFonts w:ascii="Times New Roman" w:cs="Times New Roman" w:eastAsia="Times New Roman" w:hAnsi="Times New Roman"/>
          <w:sz w:val="22"/>
          <w:szCs w:val="22"/>
          <w:color w:val="auto"/>
        </w:rPr>
      </w:pPr>
    </w:p>
    <w:p>
      <w:pPr>
        <w:jc w:val="both"/>
        <w:ind w:firstLine="656"/>
        <w:spacing w:after="0" w:line="235" w:lineRule="auto"/>
        <w:tabs>
          <w:tab w:leader="none" w:pos="1136"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the Payment Card Industry Data Security- Standards (“PCI-DSS”) applies to Client, Client agrees that its operations relating to its obligations under this Agreement shall be compliant with the PCI-DSS. Beginning on the date that PCI-DSS becomes applicable to Client, Client shall be assessed annually for compliance with PCI-DSS by a qualified security assessor approved by the PCI Security Standards Council (a “</w:t>
      </w:r>
      <w:r>
        <w:rPr>
          <w:rFonts w:ascii="Times New Roman" w:cs="Times New Roman" w:eastAsia="Times New Roman" w:hAnsi="Times New Roman"/>
          <w:sz w:val="22"/>
          <w:szCs w:val="22"/>
          <w:b w:val="1"/>
          <w:bCs w:val="1"/>
          <w:color w:val="auto"/>
        </w:rPr>
        <w:t>QSA</w:t>
      </w:r>
      <w:r>
        <w:rPr>
          <w:rFonts w:ascii="Times New Roman" w:cs="Times New Roman" w:eastAsia="Times New Roman" w:hAnsi="Times New Roman"/>
          <w:sz w:val="22"/>
          <w:szCs w:val="22"/>
          <w:color w:val="auto"/>
        </w:rPr>
        <w:t>”). A copy of the PCI-DSS Report on Compliance shall be provided to Bank upon completion of the assessment.</w:t>
      </w:r>
    </w:p>
    <w:p>
      <w:pPr>
        <w:spacing w:after="0" w:line="165" w:lineRule="exact"/>
        <w:rPr>
          <w:rFonts w:ascii="Times New Roman" w:cs="Times New Roman" w:eastAsia="Times New Roman" w:hAnsi="Times New Roman"/>
          <w:sz w:val="22"/>
          <w:szCs w:val="22"/>
          <w:color w:val="auto"/>
        </w:rPr>
      </w:pPr>
    </w:p>
    <w:p>
      <w:pPr>
        <w:jc w:val="both"/>
        <w:ind w:firstLine="656"/>
        <w:spacing w:after="0" w:line="235" w:lineRule="auto"/>
        <w:tabs>
          <w:tab w:leader="none" w:pos="1138"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Client will not, without Bank’s prior written consent, outsource or otherwise subcontract with third parties for the provision of Client’s Duties under this Agreement. “Duties” means those material obligations Client has agreed to undertake pursuant to the Agreement, the failure of which by Client or a third party to perform would reasonably be expected to result in Customer or non-Customer complaints, and shall include, but not be limited to, obligations related to customer service, dispute resolution and Processing Services. Bank shall have the right to</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Master Services Agreement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AND PROPRIETARY</w:t>
      </w:r>
    </w:p>
    <w:p>
      <w:pPr>
        <w:sectPr>
          <w:pgSz w:w="11900" w:h="16838" w:orient="portrait"/>
          <w:cols w:equalWidth="0" w:num="1">
            <w:col w:w="11240"/>
          </w:cols>
          <w:pgMar w:left="320" w:top="124" w:right="339" w:bottom="1440" w:gutter="0" w:footer="0" w:header="0"/>
        </w:sectPr>
      </w:pPr>
    </w:p>
    <w:bookmarkStart w:id="456" w:name="page457"/>
    <w:bookmarkEnd w:id="456"/>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conduct due diligence on all proposed subcontractors or other third-party service providers that Client selects to perform its Duties at Bank’s sole discretion prior to granting such written approval, with such approval not to be unreasonably withheld or delayed. However, any such consent of subcontracting of Duties shall not release Client of its obligations to Bank under this Agreement and Client shall remain fully liable to Bank for any breach of the Agreement caused by a subcontractor. If Bank approves Client’s engagement of a third party service provider to perform any of Client’s Duties and such third party has access to or handles, transmits, possesses or stores Customer data or information, then Client shall ensure (in addition to any other requirements set forth in the Agreement) that: (i) Client has a written agreement with such third party that acknowledges that the third party is responsible for the security of Customer data the third party possesses or otherwise stores, processes or transmits on behalf of Customers, (ii) contractually require such third party to be compliant with PCI-DSS at the appropriate level with PCI-DSS covering the third party ‘s operations and role to the extent that PCI-DSS is applicable to such third-party, (iii) contractually require that, to the extent that PCI-DSS is applicable to such third-party, the third party will be assessed annually for compliance with PCI-DSS by a qualified security assessor approved by the PCI Security Standards Council (a “QSA”) and that a copy of the PCI-DSS Report on Compliance shall be provided to Bank upon completion of the assessment. In the event that Client’s agreements with third parties are not in compliance with the PCI-DSS-related requirements of this Section 4.2(i), Client shall have [***] following the Effective Date to amend such agreements to comply with this Section 4.2(i). For the avoidance of doubt, Client shall not be deemed in breach for noncompliance with the PCI-DSS-related requirements of this Section 4.2(i) for a period of [***] from the Effective Date.</w:t>
      </w:r>
    </w:p>
    <w:p>
      <w:pPr>
        <w:spacing w:after="0" w:line="191" w:lineRule="exact"/>
        <w:rPr>
          <w:sz w:val="20"/>
          <w:szCs w:val="20"/>
          <w:color w:val="auto"/>
        </w:rPr>
      </w:pPr>
    </w:p>
    <w:p>
      <w:pPr>
        <w:jc w:val="both"/>
        <w:ind w:firstLine="656"/>
        <w:spacing w:after="0" w:line="250" w:lineRule="auto"/>
        <w:tabs>
          <w:tab w:leader="none" w:pos="1233" w:val="left"/>
        </w:tabs>
        <w:numPr>
          <w:ilvl w:val="0"/>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Client agrees that any government entity with regulatory or supervisory authority over Bank (collectively the “Auditing Party”), shall have the right to inspect, audit, and examine all of Client’s facilities, records and personnel relating to the Program at any time during normal business hours upon reasonable notice. If required pursuant to the supervisory authority over Bank of the Auditing Party, the Auditing Party shall have the right to make abstracts from Client’s books, accounts, data, reports, papers, and computer records directly pertaining to the subject matter of the Agreement, and Client shall make all such facilities, records, personnel, books, accounts, data, reports, papers, and computer records available to the Auditing Party for the purpose of conducting such inspections and audits.</w:t>
      </w:r>
    </w:p>
    <w:p>
      <w:pPr>
        <w:spacing w:after="0" w:line="193" w:lineRule="exact"/>
        <w:rPr>
          <w:rFonts w:ascii="Times New Roman" w:cs="Times New Roman" w:eastAsia="Times New Roman" w:hAnsi="Times New Roman"/>
          <w:sz w:val="22"/>
          <w:szCs w:val="22"/>
          <w:color w:val="auto"/>
        </w:rPr>
      </w:pPr>
    </w:p>
    <w:p>
      <w:pPr>
        <w:jc w:val="both"/>
        <w:ind w:firstLine="656"/>
        <w:spacing w:after="0" w:line="249" w:lineRule="auto"/>
        <w:tabs>
          <w:tab w:leader="none" w:pos="1125" w:val="left"/>
        </w:tabs>
        <w:numPr>
          <w:ilvl w:val="0"/>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Client shall promptly deliver to Bank complete and correct copies of all of the items the Bank reasonably requires to perform its ongoing due diligence review, and in any case within thirty (30) days of Bank’s request at any time during the term of this Agreement; provided, however, that Bank shall make commercially reasonably efforts consistent with Applicable Law, rules and regulations, to limit the burden of such requests on Client. Client’s information furnished to Bank, subject to any limitation stated therein, will fairly represent the financial condition, operations and data security controls of the Client at the time the same are furnished, and all other information, reports and other papers furnished Bank will be, at the time the same are furnished, accurate and complete in all material respects and complete insofar as completeness may be reasonably necessary to give Bank a true and accurate knowledge of the subject matter.</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Master Services Agreement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AND PROPRIETARY</w:t>
      </w:r>
    </w:p>
    <w:p>
      <w:pPr>
        <w:sectPr>
          <w:pgSz w:w="11900" w:h="16838" w:orient="portrait"/>
          <w:cols w:equalWidth="0" w:num="1">
            <w:col w:w="11240"/>
          </w:cols>
          <w:pgMar w:left="320" w:top="124" w:right="339" w:bottom="1440" w:gutter="0" w:footer="0" w:header="0"/>
        </w:sectPr>
      </w:pPr>
    </w:p>
    <w:bookmarkStart w:id="457" w:name="page458"/>
    <w:bookmarkEnd w:id="457"/>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656"/>
        <w:spacing w:after="0" w:line="257" w:lineRule="auto"/>
        <w:tabs>
          <w:tab w:leader="none" w:pos="1165" w:val="left"/>
        </w:tabs>
        <w:numPr>
          <w:ilvl w:val="0"/>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Client agrees that it shall promptly respond to and remedy any deficiencies or incorporate any recommendations identified in any audit conducted in accordance with Section 3.10, Section 4.2(j) or ongoing due diligence conducted by Bank in accordance with Section 4.2(k).</w:t>
      </w:r>
    </w:p>
    <w:p>
      <w:pPr>
        <w:spacing w:after="0" w:line="186" w:lineRule="exact"/>
        <w:rPr>
          <w:rFonts w:ascii="Times New Roman" w:cs="Times New Roman" w:eastAsia="Times New Roman" w:hAnsi="Times New Roman"/>
          <w:sz w:val="22"/>
          <w:szCs w:val="22"/>
          <w:color w:val="auto"/>
        </w:rPr>
      </w:pPr>
    </w:p>
    <w:p>
      <w:pPr>
        <w:jc w:val="both"/>
        <w:ind w:firstLine="656"/>
        <w:spacing w:after="0" w:line="247" w:lineRule="auto"/>
        <w:tabs>
          <w:tab w:leader="none" w:pos="1338" w:val="left"/>
        </w:tabs>
        <w:numPr>
          <w:ilvl w:val="0"/>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Client shall employ appropriate measures designed to meet the objectives of the security and confidentiality guidelines of the federal banking agencies’ Interagency Guidelines Establishing Standards for Safeguarding Consumer Information and the Interagency Guidelines Establishing Information Security Standards including, but not limited to, the implementation of appropriate policies, procedures, and other measures designed to protect against unauthorized access to or use of customer information maintained by Client that could result in substantial harm or inconvenience to any Customer and the proper disposal of Customer information. Client shall further develop and maintain a response program consistent with accepted industry and Regulatory Authority standards to address data security incidents, and Client shall take appropriate actions to address incidents of unauthorized access to Customer or other information, including notification to Bank and Customers promptly following discovery and confirmation of any such incident. Client shall further ensure that any third party service provider having access to customer information relating to Customer shall maintain similar security measures and response programs.</w:t>
      </w:r>
    </w:p>
    <w:p>
      <w:pPr>
        <w:spacing w:after="0" w:line="200" w:lineRule="exact"/>
        <w:rPr>
          <w:rFonts w:ascii="Times New Roman" w:cs="Times New Roman" w:eastAsia="Times New Roman" w:hAnsi="Times New Roman"/>
          <w:sz w:val="22"/>
          <w:szCs w:val="22"/>
          <w:color w:val="auto"/>
        </w:rPr>
      </w:pPr>
    </w:p>
    <w:p>
      <w:pPr>
        <w:jc w:val="both"/>
        <w:ind w:firstLine="656"/>
        <w:spacing w:after="0" w:line="248" w:lineRule="auto"/>
        <w:tabs>
          <w:tab w:leader="none" w:pos="1212" w:val="left"/>
        </w:tabs>
        <w:numPr>
          <w:ilvl w:val="0"/>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Client shall, while this Agreement is in effect, prepare and maintain disaster recovery, business resumption, and contingency plans appropriate for the nature and scope of the Program, the activities of Client, and the obligations to be performed by Client hereunder. The plans shall be sufficient to enable Client to promptly resume the performance of its obligations hereunder in the event of a natural disaster, destruction of Client s facilities or operations, utility or communication failures, or similar interruption in the operations of Client or the operations of a third party which in turn materially affect the operations of Client. Client shall make available to Bank copies of all such disaster recovery, business resumption, and contingency plans and shall make available to Bank copies of any changes thereto. Client shall periodically test such disaster recovery, business resumption, and contingency plans as may be appropriate and prudent in light of the nature and scope of the activities and operations of Client and its obligations hereunder and shall promptly provide Bank with results of any such tests.</w:t>
      </w:r>
    </w:p>
    <w:p>
      <w:pPr>
        <w:spacing w:after="0" w:line="185" w:lineRule="exact"/>
        <w:rPr>
          <w:rFonts w:ascii="Times New Roman" w:cs="Times New Roman" w:eastAsia="Times New Roman" w:hAnsi="Times New Roman"/>
          <w:sz w:val="22"/>
          <w:szCs w:val="22"/>
          <w:color w:val="auto"/>
        </w:rPr>
      </w:pPr>
    </w:p>
    <w:p>
      <w:pPr>
        <w:jc w:val="both"/>
        <w:ind w:firstLine="656"/>
        <w:spacing w:after="0" w:line="250" w:lineRule="auto"/>
        <w:tabs>
          <w:tab w:leader="none" w:pos="1144" w:val="left"/>
        </w:tabs>
        <w:numPr>
          <w:ilvl w:val="0"/>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Client shall develop and implement an Identity Theft Prevention Program (the “IDTP”) designed to detect, prevent, and mitigate identity theft in connection with the Program. The IDTP shall be designed to comply with the provisions of 12 CFR 334.90-334.91, as well as the Interagency Guidelines on Identity Theft Detection, Prevention, and Mitigation set forth at Appendix J to 12 CFR Part 334 and Appendix J to 12 CFR Part 571. Client shall submit the proposed IDTP to Bank for its prior review and approval, which shall not be unreasonably delayed or withheld. Bank reserves the right, in its sole discretion, to refuse approval of any proposed IDTP, but solely on the grounds that, in Bank’s written legal opinion, the proposed IDTP is not in keeping with the Rules or is in violation of Applicable Law.</w:t>
      </w:r>
    </w:p>
    <w:p>
      <w:pPr>
        <w:spacing w:after="0" w:line="193" w:lineRule="exact"/>
        <w:rPr>
          <w:rFonts w:ascii="Times New Roman" w:cs="Times New Roman" w:eastAsia="Times New Roman" w:hAnsi="Times New Roman"/>
          <w:sz w:val="22"/>
          <w:szCs w:val="22"/>
          <w:color w:val="auto"/>
        </w:rPr>
      </w:pPr>
    </w:p>
    <w:p>
      <w:pPr>
        <w:ind w:firstLine="656"/>
        <w:spacing w:after="0" w:line="271" w:lineRule="auto"/>
        <w:tabs>
          <w:tab w:leader="none" w:pos="1160" w:val="left"/>
        </w:tabs>
        <w:numPr>
          <w:ilvl w:val="0"/>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Client shall obtain Bank’s prior written review and approval of any financial product marketed to Customers if the new financial product utilizes Bank’s Marks.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Master Services Agreement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AND PROPRIETARY</w:t>
      </w:r>
    </w:p>
    <w:p>
      <w:pPr>
        <w:sectPr>
          <w:pgSz w:w="11900" w:h="16838" w:orient="portrait"/>
          <w:cols w:equalWidth="0" w:num="1">
            <w:col w:w="11240"/>
          </w:cols>
          <w:pgMar w:left="320" w:top="124" w:right="339" w:bottom="1440" w:gutter="0" w:footer="0" w:header="0"/>
        </w:sectPr>
      </w:pPr>
    </w:p>
    <w:bookmarkStart w:id="458" w:name="page459"/>
    <w:bookmarkEnd w:id="458"/>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 w:hanging="372"/>
        <w:spacing w:after="0"/>
        <w:tabs>
          <w:tab w:leader="none" w:pos="380" w:val="left"/>
        </w:tabs>
        <w:numPr>
          <w:ilvl w:val="0"/>
          <w:numId w:val="2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DUTIES OF BANK</w:t>
      </w:r>
    </w:p>
    <w:p>
      <w:pPr>
        <w:spacing w:after="0" w:line="21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2"/>
          <w:szCs w:val="22"/>
          <w:color w:val="auto"/>
        </w:rPr>
        <w:t xml:space="preserve">5.0 </w:t>
      </w:r>
      <w:r>
        <w:rPr>
          <w:rFonts w:ascii="Times New Roman" w:cs="Times New Roman" w:eastAsia="Times New Roman" w:hAnsi="Times New Roman"/>
          <w:sz w:val="22"/>
          <w:szCs w:val="22"/>
          <w:u w:val="single" w:color="auto"/>
          <w:color w:val="auto"/>
        </w:rPr>
        <w:t>Marketing Certification Program</w:t>
      </w:r>
      <w:r>
        <w:rPr>
          <w:rFonts w:ascii="Times New Roman" w:cs="Times New Roman" w:eastAsia="Times New Roman" w:hAnsi="Times New Roman"/>
          <w:sz w:val="22"/>
          <w:szCs w:val="22"/>
          <w:color w:val="auto"/>
        </w:rPr>
        <w:t xml:space="preserve">. Bank has developed and maintains a marketing certification program to provide Bank clients to pursue a streamlined Bank review process for Solicitation Materials (“Certification Program”). Client shall be permitted to participate provided that Client meets the qualification criteria to participate in the Certification Program, Bank shall not unreasonably decline Client’s participation in the Certification Program. For the avoidance of doubt, and notwithstanding the foregoing, Client and Bank are developing mutually agreed upon timelines for Bank’s approval of certain Solicitation Materials as set forth in the Program SLAs, attached hereto as </w:t>
      </w:r>
      <w:r>
        <w:rPr>
          <w:rFonts w:ascii="Times New Roman" w:cs="Times New Roman" w:eastAsia="Times New Roman" w:hAnsi="Times New Roman"/>
          <w:sz w:val="22"/>
          <w:szCs w:val="22"/>
          <w:b w:val="1"/>
          <w:bCs w:val="1"/>
          <w:color w:val="auto"/>
        </w:rPr>
        <w:t>Exhibit B</w:t>
      </w:r>
      <w:r>
        <w:rPr>
          <w:rFonts w:ascii="Times New Roman" w:cs="Times New Roman" w:eastAsia="Times New Roman" w:hAnsi="Times New Roman"/>
          <w:sz w:val="22"/>
          <w:szCs w:val="22"/>
          <w:color w:val="auto"/>
        </w:rPr>
        <w:t xml:space="preserve">. The Parties agree that the timelines and scope of approvals set forth in </w:t>
      </w:r>
      <w:r>
        <w:rPr>
          <w:rFonts w:ascii="Times New Roman" w:cs="Times New Roman" w:eastAsia="Times New Roman" w:hAnsi="Times New Roman"/>
          <w:sz w:val="22"/>
          <w:szCs w:val="22"/>
          <w:b w:val="1"/>
          <w:bCs w:val="1"/>
          <w:color w:val="auto"/>
        </w:rPr>
        <w:t>Exhibit B</w:t>
      </w:r>
      <w:r>
        <w:rPr>
          <w:rFonts w:ascii="Times New Roman" w:cs="Times New Roman" w:eastAsia="Times New Roman" w:hAnsi="Times New Roman"/>
          <w:sz w:val="22"/>
          <w:szCs w:val="22"/>
          <w:color w:val="auto"/>
        </w:rPr>
        <w:t xml:space="preserve"> may be modified upon mutual written agreement between the Parties and documented by individuals authorized to make such modifications.</w:t>
      </w:r>
    </w:p>
    <w:p>
      <w:pPr>
        <w:spacing w:after="0" w:line="19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u w:val="single" w:color="auto"/>
          <w:color w:val="auto"/>
        </w:rPr>
        <w:t>Concept, Program Modification and Enhancement Approval</w:t>
      </w:r>
      <w:r>
        <w:rPr>
          <w:rFonts w:ascii="Times New Roman" w:cs="Times New Roman" w:eastAsia="Times New Roman" w:hAnsi="Times New Roman"/>
          <w:sz w:val="22"/>
          <w:szCs w:val="22"/>
          <w:color w:val="auto"/>
        </w:rPr>
        <w:t xml:space="preserve">. Client and Bank have developed mutually agreed upon timelines for Bank’s approval of certain Program concepts as set forth in the Program SLAs, attached hereto as </w:t>
      </w:r>
      <w:r>
        <w:rPr>
          <w:rFonts w:ascii="Times New Roman" w:cs="Times New Roman" w:eastAsia="Times New Roman" w:hAnsi="Times New Roman"/>
          <w:sz w:val="22"/>
          <w:szCs w:val="22"/>
          <w:b w:val="1"/>
          <w:bCs w:val="1"/>
          <w:color w:val="auto"/>
        </w:rPr>
        <w:t>Exhibit B</w:t>
      </w:r>
      <w:r>
        <w:rPr>
          <w:rFonts w:ascii="Times New Roman" w:cs="Times New Roman" w:eastAsia="Times New Roman" w:hAnsi="Times New Roman"/>
          <w:sz w:val="22"/>
          <w:szCs w:val="22"/>
          <w:color w:val="auto"/>
        </w:rPr>
        <w:t xml:space="preserve">. The Parties agree that the timelines and scope of approvals set forth in </w:t>
      </w:r>
      <w:r>
        <w:rPr>
          <w:rFonts w:ascii="Times New Roman" w:cs="Times New Roman" w:eastAsia="Times New Roman" w:hAnsi="Times New Roman"/>
          <w:sz w:val="22"/>
          <w:szCs w:val="22"/>
          <w:b w:val="1"/>
          <w:bCs w:val="1"/>
          <w:color w:val="auto"/>
        </w:rPr>
        <w:t>Exhibit B</w:t>
      </w:r>
      <w:r>
        <w:rPr>
          <w:rFonts w:ascii="Times New Roman" w:cs="Times New Roman" w:eastAsia="Times New Roman" w:hAnsi="Times New Roman"/>
          <w:sz w:val="22"/>
          <w:szCs w:val="22"/>
          <w:color w:val="auto"/>
        </w:rPr>
        <w:t xml:space="preserve"> may be modified upon mutual written agreement between the Parties and documented by individuals authorized to make such modifications</w:t>
      </w:r>
    </w:p>
    <w:p>
      <w:pPr>
        <w:spacing w:after="0" w:line="17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u w:val="single" w:color="auto"/>
          <w:color w:val="auto"/>
        </w:rPr>
        <w:t>Other Program Process Modifications and Enhancement Approval Guidelines</w:t>
      </w:r>
      <w:r>
        <w:rPr>
          <w:rFonts w:ascii="Times New Roman" w:cs="Times New Roman" w:eastAsia="Times New Roman" w:hAnsi="Times New Roman"/>
          <w:sz w:val="22"/>
          <w:szCs w:val="22"/>
          <w:color w:val="auto"/>
        </w:rPr>
        <w:t>. Bank and Client agree within a commercially reasonable time following the Effective Date of the Agreement to establish mutually agreed upon guidelines and standards under which Client may be allowed to implement upon written notice to Bank, but without prior approval, certain Program and process modifications and enhancements including recurring promotions, third party marketing partners and limited employee testing. Bank and Client agree guidelines will be developed, documented and be mutually agreed upon prior to any implementation.</w:t>
      </w:r>
    </w:p>
    <w:p>
      <w:pPr>
        <w:spacing w:after="0" w:line="17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5.3</w:t>
      </w:r>
      <w:r>
        <w:rPr>
          <w:sz w:val="20"/>
          <w:szCs w:val="20"/>
          <w:color w:val="auto"/>
        </w:rPr>
        <w:tab/>
      </w:r>
      <w:r>
        <w:rPr>
          <w:rFonts w:ascii="Times New Roman" w:cs="Times New Roman" w:eastAsia="Times New Roman" w:hAnsi="Times New Roman"/>
          <w:sz w:val="21"/>
          <w:szCs w:val="21"/>
          <w:u w:val="single" w:color="auto"/>
          <w:color w:val="auto"/>
        </w:rPr>
        <w:t>Certification and Administrative Fees</w:t>
      </w:r>
      <w:r>
        <w:rPr>
          <w:rFonts w:ascii="Times New Roman" w:cs="Times New Roman" w:eastAsia="Times New Roman" w:hAnsi="Times New Roman"/>
          <w:sz w:val="21"/>
          <w:szCs w:val="21"/>
          <w:color w:val="auto"/>
        </w:rPr>
        <w:t>. Bank shall be responsible for any annual fees relating to Bank Memberships.</w:t>
      </w:r>
    </w:p>
    <w:p>
      <w:pPr>
        <w:spacing w:after="0" w:line="22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22"/>
          <w:szCs w:val="22"/>
          <w:u w:val="single" w:color="auto"/>
          <w:color w:val="auto"/>
        </w:rPr>
        <w:t>Memberships in Networks</w:t>
      </w:r>
      <w:r>
        <w:rPr>
          <w:rFonts w:ascii="Times New Roman" w:cs="Times New Roman" w:eastAsia="Times New Roman" w:hAnsi="Times New Roman"/>
          <w:sz w:val="22"/>
          <w:szCs w:val="22"/>
          <w:color w:val="auto"/>
        </w:rPr>
        <w:t>. Bank shall use its best efforts to obtain and maintain at its sole expense the required license with each applicable Network, and shall timely pay all normal fees, dues, and assessments associated therewith; provided, however, Client shall be responsible for paying Network fees as described in an Exhibit to the applicable Addendum. Any fees, fines, or charges assessed by any Network as a result of the failure of any aspect of the Program to comply with the Rules shall be the responsibility of Client. Bank shall retain its Membership in Network in good standing and shall abide in all material respects by all of the Network Rules applicable to Bank.</w:t>
      </w:r>
    </w:p>
    <w:p>
      <w:pPr>
        <w:spacing w:after="0" w:line="17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 xml:space="preserve">5.5 </w:t>
      </w:r>
      <w:r>
        <w:rPr>
          <w:rFonts w:ascii="Times New Roman" w:cs="Times New Roman" w:eastAsia="Times New Roman" w:hAnsi="Times New Roman"/>
          <w:sz w:val="22"/>
          <w:szCs w:val="22"/>
          <w:u w:val="single" w:color="auto"/>
          <w:color w:val="auto"/>
        </w:rPr>
        <w:t>Account Issuance</w:t>
      </w:r>
      <w:r>
        <w:rPr>
          <w:rFonts w:ascii="Times New Roman" w:cs="Times New Roman" w:eastAsia="Times New Roman" w:hAnsi="Times New Roman"/>
          <w:sz w:val="22"/>
          <w:szCs w:val="22"/>
          <w:color w:val="auto"/>
        </w:rPr>
        <w:t>. Bank shall establish Accounts in accordance with this Agreement and subject to Applicable Law and Network Rules, with the understanding that the Accounts are, and shall at all times remain, the property of Bank. Nothing herein shall be interpreted to require Bank to establish a certain number of Accounts and Bank shall have the right to terminate marketing and origination of new Accounts pursuant to the Rules or Bank’s safety and soundness; provided, however, the Bank and Client shall engage in good faith negotiations to attempt to resolve Bank’s concerns prior to the termination right set forth in this Section 5.5 becoming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Master Services Agreement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AND PROPRIETARY</w:t>
      </w:r>
    </w:p>
    <w:p>
      <w:pPr>
        <w:sectPr>
          <w:pgSz w:w="11900" w:h="16838" w:orient="portrait"/>
          <w:cols w:equalWidth="0" w:num="1">
            <w:col w:w="11240"/>
          </w:cols>
          <w:pgMar w:left="320" w:top="124" w:right="339" w:bottom="1440" w:gutter="0" w:footer="0" w:header="0"/>
        </w:sectPr>
      </w:pPr>
    </w:p>
    <w:bookmarkStart w:id="459" w:name="page460"/>
    <w:bookmarkEnd w:id="459"/>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 xml:space="preserve">5.6 </w:t>
      </w:r>
      <w:r>
        <w:rPr>
          <w:rFonts w:ascii="Times New Roman" w:cs="Times New Roman" w:eastAsia="Times New Roman" w:hAnsi="Times New Roman"/>
          <w:sz w:val="22"/>
          <w:szCs w:val="22"/>
          <w:u w:val="single" w:color="auto"/>
          <w:color w:val="auto"/>
        </w:rPr>
        <w:t>Program Development</w:t>
      </w:r>
      <w:r>
        <w:rPr>
          <w:rFonts w:ascii="Times New Roman" w:cs="Times New Roman" w:eastAsia="Times New Roman" w:hAnsi="Times New Roman"/>
          <w:sz w:val="22"/>
          <w:szCs w:val="22"/>
          <w:color w:val="auto"/>
        </w:rPr>
        <w:t>. Bank shall review and approve or disapprove any of Client’s proposed: (i) changes to the Account Agreement; (ii) new Account Agreement; (iii) Solicitation Materials; and (iv) and all other Client proposals, within 10 (10) business days, and in keeping with any service level agreements outlined in this Agreement or in any other agreement.</w:t>
      </w:r>
    </w:p>
    <w:p>
      <w:pPr>
        <w:spacing w:after="0" w:line="18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5.7</w:t>
      </w:r>
      <w:r>
        <w:rPr>
          <w:sz w:val="20"/>
          <w:szCs w:val="20"/>
          <w:color w:val="auto"/>
        </w:rPr>
        <w:tab/>
      </w:r>
      <w:r>
        <w:rPr>
          <w:rFonts w:ascii="Times New Roman" w:cs="Times New Roman" w:eastAsia="Times New Roman" w:hAnsi="Times New Roman"/>
          <w:sz w:val="21"/>
          <w:szCs w:val="21"/>
          <w:u w:val="single" w:color="auto"/>
          <w:color w:val="auto"/>
        </w:rPr>
        <w:t>Program Accounts</w:t>
      </w:r>
      <w:r>
        <w:rPr>
          <w:rFonts w:ascii="Times New Roman" w:cs="Times New Roman" w:eastAsia="Times New Roman" w:hAnsi="Times New Roman"/>
          <w:sz w:val="21"/>
          <w:szCs w:val="21"/>
          <w:color w:val="auto"/>
        </w:rPr>
        <w:t>. Bank, and Client as may be necessary, shall establish and maintain various Program Accounts.</w:t>
      </w:r>
    </w:p>
    <w:p>
      <w:pPr>
        <w:spacing w:after="0" w:line="193"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The purpose of such Program Accounts shall include receiving Customer Deposits to the Accounts holding Program Revenues, and facilitating Settlement of Transactions in connection with any Account Program approved by Bank under this Agreement, the Bank shall maintain in a fiduciary manner in a trust or custodial account associated with the Account Program all Deposit Amounts that have been deposited by Customers, the name of such Program Account shall indicate that the funds are being held for such purpose. The identities of each of the Customers for whose benefit such funds are being held shall be readily identifiable by Bank, either directly or through the Processor.</w:t>
      </w:r>
    </w:p>
    <w:p>
      <w:pPr>
        <w:spacing w:after="0" w:line="17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 xml:space="preserve">5.8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To the extent permitted by Applicable Law, Bank shall deliver to Client a copy of all material notices of violation that it receives from any Network, or any party relating to this Agreement.</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 xml:space="preserve">5.9 </w:t>
      </w:r>
      <w:r>
        <w:rPr>
          <w:rFonts w:ascii="Times New Roman" w:cs="Times New Roman" w:eastAsia="Times New Roman" w:hAnsi="Times New Roman"/>
          <w:sz w:val="22"/>
          <w:szCs w:val="22"/>
          <w:u w:val="single" w:color="auto"/>
          <w:color w:val="auto"/>
        </w:rPr>
        <w:t>Changes to Rules Adopted by Bank</w:t>
      </w:r>
      <w:r>
        <w:rPr>
          <w:rFonts w:ascii="Times New Roman" w:cs="Times New Roman" w:eastAsia="Times New Roman" w:hAnsi="Times New Roman"/>
          <w:sz w:val="22"/>
          <w:szCs w:val="22"/>
          <w:color w:val="auto"/>
        </w:rPr>
        <w:t>. Bank may adopt new Rules relating to the published policies and procedures of Bank or change existing Rules relating to the policies and procedures of Bank from time to time by giving thirty (30) days’ prior written notice to Client, provided that Client shall have a commercially reasonable amount of time to comply with any new Rules or changes to existing Rules.</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5.10 </w:t>
      </w:r>
      <w:r>
        <w:rPr>
          <w:rFonts w:ascii="Times New Roman" w:cs="Times New Roman" w:eastAsia="Times New Roman" w:hAnsi="Times New Roman"/>
          <w:sz w:val="22"/>
          <w:szCs w:val="22"/>
          <w:u w:val="single" w:color="auto"/>
          <w:color w:val="auto"/>
        </w:rPr>
        <w:t>Reporting</w:t>
      </w:r>
      <w:r>
        <w:rPr>
          <w:rFonts w:ascii="Times New Roman" w:cs="Times New Roman" w:eastAsia="Times New Roman" w:hAnsi="Times New Roman"/>
          <w:sz w:val="22"/>
          <w:szCs w:val="22"/>
          <w:color w:val="auto"/>
        </w:rPr>
        <w:t>. To the extent that such information is not privileged, or disclosure is not otherwise prohibited by Applicable Law, or a Regulatory Authority, Bank shall provide Client with reports on a quarterly basis that shall include the following as they relate to Bank’s operation of the Program or ability to perform its obligations under this Agreement:</w:t>
      </w:r>
    </w:p>
    <w:p>
      <w:pPr>
        <w:spacing w:after="0" w:line="173" w:lineRule="exact"/>
        <w:rPr>
          <w:sz w:val="20"/>
          <w:szCs w:val="20"/>
          <w:color w:val="auto"/>
        </w:rPr>
      </w:pPr>
    </w:p>
    <w:p>
      <w:pPr>
        <w:ind w:left="1120" w:hanging="464"/>
        <w:spacing w:after="0"/>
        <w:tabs>
          <w:tab w:leader="none" w:pos="1120" w:val="left"/>
        </w:tabs>
        <w:numPr>
          <w:ilvl w:val="0"/>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Key risk, compliance, and fraud metrics that Bank currently reports on including, if applicable, summaries thereof;</w:t>
      </w:r>
    </w:p>
    <w:p>
      <w:pPr>
        <w:spacing w:after="0" w:line="233" w:lineRule="exact"/>
        <w:rPr>
          <w:rFonts w:ascii="Times New Roman" w:cs="Times New Roman" w:eastAsia="Times New Roman" w:hAnsi="Times New Roman"/>
          <w:sz w:val="22"/>
          <w:szCs w:val="22"/>
          <w:color w:val="auto"/>
        </w:rPr>
      </w:pPr>
    </w:p>
    <w:p>
      <w:pPr>
        <w:jc w:val="both"/>
        <w:ind w:firstLine="656"/>
        <w:spacing w:after="0" w:line="252" w:lineRule="auto"/>
        <w:tabs>
          <w:tab w:leader="none" w:pos="1154" w:val="left"/>
        </w:tabs>
        <w:numPr>
          <w:ilvl w:val="0"/>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results of any internal or external risk and compliance reviews and audits related to the Programs, or any such reviews that could impact the Programs, including but not limited to reviews related to regulatory sanctions, security, privacy, business continuity and disaster recovery planning, third party risk, operational resilience, and any other risk or regulatory reviews in connection with the Program(s);</w:t>
      </w:r>
    </w:p>
    <w:p>
      <w:pPr>
        <w:spacing w:after="0" w:line="179" w:lineRule="exact"/>
        <w:rPr>
          <w:rFonts w:ascii="Times New Roman" w:cs="Times New Roman" w:eastAsia="Times New Roman" w:hAnsi="Times New Roman"/>
          <w:sz w:val="22"/>
          <w:szCs w:val="22"/>
          <w:color w:val="auto"/>
        </w:rPr>
      </w:pPr>
    </w:p>
    <w:p>
      <w:pPr>
        <w:ind w:right="20" w:firstLine="656"/>
        <w:spacing w:after="0" w:line="284" w:lineRule="auto"/>
        <w:tabs>
          <w:tab w:leader="none" w:pos="1115" w:val="left"/>
        </w:tabs>
        <w:numPr>
          <w:ilvl w:val="0"/>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and nature of Customer complaints, Customer service calls, and other communications from Customers received by Bank in connection with the Program.</w:t>
      </w:r>
    </w:p>
    <w:p>
      <w:pPr>
        <w:spacing w:after="0" w:line="143" w:lineRule="exact"/>
        <w:rPr>
          <w:rFonts w:ascii="Times New Roman" w:cs="Times New Roman" w:eastAsia="Times New Roman" w:hAnsi="Times New Roman"/>
          <w:sz w:val="22"/>
          <w:szCs w:val="22"/>
          <w:color w:val="auto"/>
        </w:rPr>
      </w:pPr>
    </w:p>
    <w:p>
      <w:pPr>
        <w:ind w:firstLine="656"/>
        <w:spacing w:after="0" w:line="271" w:lineRule="auto"/>
        <w:tabs>
          <w:tab w:leader="none" w:pos="1183" w:val="left"/>
        </w:tabs>
        <w:numPr>
          <w:ilvl w:val="0"/>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 quarterly basis throughout the Term or as may otherwise be agreed upon by the Parties, the Parties agree to meet, to review various Bank financial metrics related to the Bank’s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Master Services Agreement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AND PROPRIETARY</w:t>
      </w:r>
    </w:p>
    <w:p>
      <w:pPr>
        <w:sectPr>
          <w:pgSz w:w="11900" w:h="16838" w:orient="portrait"/>
          <w:cols w:equalWidth="0" w:num="1">
            <w:col w:w="11240"/>
          </w:cols>
          <w:pgMar w:left="320" w:top="124" w:right="339" w:bottom="1440" w:gutter="0" w:footer="0" w:header="0"/>
        </w:sectPr>
      </w:pPr>
    </w:p>
    <w:bookmarkStart w:id="460" w:name="page461"/>
    <w:bookmarkEnd w:id="460"/>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liquidity, capital, and credit that may have a material impact on Bank’s ability to support its obligations under this Agreement and any related Addendum.</w:t>
      </w:r>
    </w:p>
    <w:p>
      <w:pPr>
        <w:spacing w:after="0" w:line="17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5.10 </w:t>
      </w:r>
      <w:r>
        <w:rPr>
          <w:rFonts w:ascii="Times New Roman" w:cs="Times New Roman" w:eastAsia="Times New Roman" w:hAnsi="Times New Roman"/>
          <w:sz w:val="22"/>
          <w:szCs w:val="22"/>
          <w:u w:val="single" w:color="auto"/>
          <w:color w:val="auto"/>
        </w:rPr>
        <w:t>Escheat</w:t>
      </w:r>
      <w:r>
        <w:rPr>
          <w:rFonts w:ascii="Times New Roman" w:cs="Times New Roman" w:eastAsia="Times New Roman" w:hAnsi="Times New Roman"/>
          <w:sz w:val="22"/>
          <w:szCs w:val="22"/>
          <w:color w:val="auto"/>
        </w:rPr>
        <w:t>. Bank shall facilitate escheatment reporting to the states as required by Applicable Law in connection with the Accounts. Bank shall be responsible for compliance with state unclaimed property laws as they relate to the Accounts. Bank represents it has adequate reporting systems established to identify accounts that would meet the criteria under the various state unclaimed property laws, and will facilitate the reporting and remittance of funds as required.</w:t>
      </w:r>
    </w:p>
    <w:p>
      <w:pPr>
        <w:spacing w:after="0" w:line="1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5.11 </w:t>
      </w:r>
      <w:r>
        <w:rPr>
          <w:rFonts w:ascii="Times New Roman" w:cs="Times New Roman" w:eastAsia="Times New Roman" w:hAnsi="Times New Roman"/>
          <w:sz w:val="22"/>
          <w:szCs w:val="22"/>
          <w:u w:val="single" w:color="auto"/>
          <w:color w:val="auto"/>
        </w:rPr>
        <w:t>License</w:t>
      </w:r>
      <w:r>
        <w:rPr>
          <w:rFonts w:ascii="Times New Roman" w:cs="Times New Roman" w:eastAsia="Times New Roman" w:hAnsi="Times New Roman"/>
          <w:sz w:val="22"/>
          <w:szCs w:val="22"/>
          <w:color w:val="auto"/>
        </w:rPr>
        <w:t>. Bank grants to Client a nonexclusive, royalty free, nontransferable right and license to use certain Marks (owned by Bank or its licensors) in the geographic locations permitted furtherance of a Program pursuant to a Program Authorization Letter. The use of the Marks by Client without the prior written consent of the Bank is prohibited.</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 xml:space="preserve">5.12 </w:t>
      </w:r>
      <w:r>
        <w:rPr>
          <w:rFonts w:ascii="Times New Roman" w:cs="Times New Roman" w:eastAsia="Times New Roman" w:hAnsi="Times New Roman"/>
          <w:sz w:val="22"/>
          <w:szCs w:val="22"/>
          <w:u w:val="single" w:color="auto"/>
          <w:color w:val="auto"/>
        </w:rPr>
        <w:t>Use of Client Marks</w:t>
      </w:r>
      <w:r>
        <w:rPr>
          <w:rFonts w:ascii="Times New Roman" w:cs="Times New Roman" w:eastAsia="Times New Roman" w:hAnsi="Times New Roman"/>
          <w:sz w:val="22"/>
          <w:szCs w:val="22"/>
          <w:color w:val="auto"/>
        </w:rPr>
        <w:t>. Except as expressly set forth herein, Bank may not use Client Marks without Client’s express written consent in each proposed instance of use.</w:t>
      </w:r>
    </w:p>
    <w:p>
      <w:pPr>
        <w:spacing w:after="0" w:line="154" w:lineRule="exact"/>
        <w:rPr>
          <w:sz w:val="20"/>
          <w:szCs w:val="20"/>
          <w:color w:val="auto"/>
        </w:rPr>
      </w:pPr>
    </w:p>
    <w:p>
      <w:pPr>
        <w:ind w:left="380" w:hanging="372"/>
        <w:spacing w:after="0"/>
        <w:tabs>
          <w:tab w:leader="none" w:pos="380" w:val="left"/>
        </w:tabs>
        <w:numPr>
          <w:ilvl w:val="0"/>
          <w:numId w:val="2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BANK REPRESENTATIONS AND WARRANTIES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Bank represents and warrants to Client as follows:</w:t>
      </w:r>
    </w:p>
    <w:p>
      <w:pPr>
        <w:spacing w:after="0" w:line="206" w:lineRule="exact"/>
        <w:rPr>
          <w:sz w:val="20"/>
          <w:szCs w:val="20"/>
          <w:color w:val="auto"/>
        </w:rPr>
      </w:pPr>
    </w:p>
    <w:p>
      <w:pPr>
        <w:ind w:right="20" w:firstLine="656"/>
        <w:spacing w:after="0" w:line="258" w:lineRule="auto"/>
        <w:tabs>
          <w:tab w:leader="none" w:pos="1256" w:val="left"/>
        </w:tabs>
        <w:numPr>
          <w:ilvl w:val="1"/>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is valid, binding, and enforceable against Bank in accordance with its terms, except as such enforceability may be limited by laws governing creditors’ rights and general principles of equity.</w:t>
      </w:r>
    </w:p>
    <w:p>
      <w:pPr>
        <w:spacing w:after="0" w:line="171" w:lineRule="exact"/>
        <w:rPr>
          <w:rFonts w:ascii="Times New Roman" w:cs="Times New Roman" w:eastAsia="Times New Roman" w:hAnsi="Times New Roman"/>
          <w:sz w:val="22"/>
          <w:szCs w:val="22"/>
          <w:color w:val="auto"/>
        </w:rPr>
      </w:pPr>
    </w:p>
    <w:p>
      <w:pPr>
        <w:jc w:val="both"/>
        <w:ind w:firstLine="656"/>
        <w:spacing w:after="0"/>
        <w:tabs>
          <w:tab w:leader="none" w:pos="1258" w:val="left"/>
        </w:tabs>
        <w:numPr>
          <w:ilvl w:val="1"/>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 is a corporation duly incorporated, validly existing and in good standing under the laws of the State of Delaware and is duly qualified and is properly authorized or licensed to do business in each jurisdiction in which the nature of Bank’s activities makes such authorization or licensure necessary. Neither the execution of this Agreement nor Bank’s performance of its obligations hereunder requires any consent, authorization, approval, license, or other action by or in respect of, or filing with, any third party or any Regulatory Authority.</w:t>
      </w:r>
    </w:p>
    <w:p>
      <w:pPr>
        <w:spacing w:after="0" w:line="193" w:lineRule="exact"/>
        <w:rPr>
          <w:rFonts w:ascii="Times New Roman" w:cs="Times New Roman" w:eastAsia="Times New Roman" w:hAnsi="Times New Roman"/>
          <w:sz w:val="22"/>
          <w:szCs w:val="22"/>
          <w:color w:val="auto"/>
        </w:rPr>
      </w:pPr>
    </w:p>
    <w:p>
      <w:pPr>
        <w:jc w:val="both"/>
        <w:ind w:firstLine="656"/>
        <w:spacing w:after="0" w:line="244" w:lineRule="auto"/>
        <w:tabs>
          <w:tab w:leader="none" w:pos="1120" w:val="left"/>
        </w:tabs>
        <w:numPr>
          <w:ilvl w:val="1"/>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 has the full power and authority to execute and deliver this Agreement and to perform all its obligations under this Agreement. The provisions of this Agreement and the performance by Bank of its obligations under this Agreement are not in conflict with Bank’s charter, bylaws or any other agreement, contract, lease or obligation to which Bank is a party or by which it is bound.</w:t>
      </w:r>
    </w:p>
    <w:p>
      <w:pPr>
        <w:spacing w:after="0" w:line="172" w:lineRule="exact"/>
        <w:rPr>
          <w:rFonts w:ascii="Times New Roman" w:cs="Times New Roman" w:eastAsia="Times New Roman" w:hAnsi="Times New Roman"/>
          <w:sz w:val="22"/>
          <w:szCs w:val="22"/>
          <w:color w:val="auto"/>
        </w:rPr>
      </w:pPr>
    </w:p>
    <w:p>
      <w:pPr>
        <w:ind w:firstLine="656"/>
        <w:spacing w:after="0" w:line="271" w:lineRule="auto"/>
        <w:tabs>
          <w:tab w:leader="none" w:pos="1122" w:val="left"/>
        </w:tabs>
        <w:numPr>
          <w:ilvl w:val="1"/>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not pending or threatened against Bank any litigation or proceeding, the outcome of which might materially adversely affect the continuing operations of Bank.</w:t>
      </w:r>
    </w:p>
    <w:p>
      <w:pPr>
        <w:spacing w:after="0" w:line="144"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1"/>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 has the legal right to use and permit Client to use, to the extent set forth herein, the Bank Marks.</w:t>
      </w:r>
    </w:p>
    <w:p>
      <w:pPr>
        <w:spacing w:after="0" w:line="215"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2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COVENANTS OF BANK</w:t>
      </w:r>
    </w:p>
    <w:p>
      <w:pPr>
        <w:spacing w:after="0" w:line="210" w:lineRule="exact"/>
        <w:rPr>
          <w:rFonts w:ascii="Times New Roman" w:cs="Times New Roman" w:eastAsia="Times New Roman" w:hAnsi="Times New Roman"/>
          <w:sz w:val="22"/>
          <w:szCs w:val="22"/>
          <w:b w:val="1"/>
          <w:bCs w:val="1"/>
          <w:color w:val="auto"/>
        </w:rPr>
      </w:pPr>
    </w:p>
    <w:p>
      <w:pPr>
        <w:ind w:left="1120" w:hanging="464"/>
        <w:spacing w:after="0"/>
        <w:tabs>
          <w:tab w:leader="none" w:pos="1120" w:val="left"/>
        </w:tabs>
        <w:numPr>
          <w:ilvl w:val="1"/>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Covenants. Bank covenants and agrees with Client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Master Services Agreement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AND PROPRIETARY</w:t>
      </w:r>
    </w:p>
    <w:p>
      <w:pPr>
        <w:sectPr>
          <w:pgSz w:w="11900" w:h="16838" w:orient="portrait"/>
          <w:cols w:equalWidth="0" w:num="1">
            <w:col w:w="11240"/>
          </w:cols>
          <w:pgMar w:left="320" w:top="124" w:right="339" w:bottom="1440" w:gutter="0" w:footer="0" w:header="0"/>
        </w:sectPr>
      </w:pPr>
    </w:p>
    <w:bookmarkStart w:id="461" w:name="page462"/>
    <w:bookmarkEnd w:id="461"/>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656"/>
        <w:spacing w:after="0" w:line="251" w:lineRule="auto"/>
        <w:tabs>
          <w:tab w:leader="none" w:pos="1129" w:val="left"/>
        </w:tabs>
        <w:numPr>
          <w:ilvl w:val="1"/>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 is, and will at all times continue to perform its obligations under this Agreement, and is in compliance with all Applicable Laws, the Rules, and any rules, orders and regulations issued by the Regulatory Authorities that relate to the matters and transactions contemplated by this Agreement (except to the extent Client has expressly agreed to undertake compliance obligations under this Agreement). Bank will be responsible for all fines and penalties assessed by any Regulatory Authority due to Bank’s actions, inactions or omissions provided that such fine or penalty is not caused by or a result of any acts or omissions of Client;</w:t>
      </w:r>
    </w:p>
    <w:p>
      <w:pPr>
        <w:spacing w:after="0" w:line="181" w:lineRule="exact"/>
        <w:rPr>
          <w:rFonts w:ascii="Times New Roman" w:cs="Times New Roman" w:eastAsia="Times New Roman" w:hAnsi="Times New Roman"/>
          <w:sz w:val="22"/>
          <w:szCs w:val="22"/>
          <w:color w:val="auto"/>
        </w:rPr>
      </w:pPr>
    </w:p>
    <w:p>
      <w:pPr>
        <w:jc w:val="both"/>
        <w:ind w:right="20" w:firstLine="656"/>
        <w:spacing w:after="0" w:line="263" w:lineRule="auto"/>
        <w:tabs>
          <w:tab w:leader="none" w:pos="1379" w:val="left"/>
        </w:tabs>
        <w:numPr>
          <w:ilvl w:val="1"/>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litigation or court proceedings filed against Bank and, to the extent permissible, any summary of communications with Regulatory Authorities, relating to an Account or its use, or otherwise relating to the Program, will be immediately reported to Client. Such report shall include a copy of the court papers or proceedings;</w:t>
      </w:r>
    </w:p>
    <w:p>
      <w:pPr>
        <w:spacing w:after="0" w:line="167" w:lineRule="exact"/>
        <w:rPr>
          <w:rFonts w:ascii="Times New Roman" w:cs="Times New Roman" w:eastAsia="Times New Roman" w:hAnsi="Times New Roman"/>
          <w:sz w:val="22"/>
          <w:szCs w:val="22"/>
          <w:color w:val="auto"/>
        </w:rPr>
      </w:pPr>
    </w:p>
    <w:p>
      <w:pPr>
        <w:jc w:val="both"/>
        <w:ind w:firstLine="656"/>
        <w:spacing w:after="0" w:line="257" w:lineRule="auto"/>
        <w:tabs>
          <w:tab w:leader="none" w:pos="1200" w:val="left"/>
        </w:tabs>
        <w:numPr>
          <w:ilvl w:val="1"/>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 shall remain (i) a federally-insured financial institution, and (ii) in good standing with (x) each Regulatory Authority with jurisdiction over it, and (y) each Network or other electronic payment network which it may be a member of or registered with from time to time;</w:t>
      </w:r>
    </w:p>
    <w:p>
      <w:pPr>
        <w:spacing w:after="0" w:line="172" w:lineRule="exact"/>
        <w:rPr>
          <w:rFonts w:ascii="Times New Roman" w:cs="Times New Roman" w:eastAsia="Times New Roman" w:hAnsi="Times New Roman"/>
          <w:sz w:val="22"/>
          <w:szCs w:val="22"/>
          <w:color w:val="auto"/>
        </w:rPr>
      </w:pPr>
    </w:p>
    <w:p>
      <w:pPr>
        <w:jc w:val="both"/>
        <w:ind w:firstLine="656"/>
        <w:spacing w:after="0" w:line="256" w:lineRule="auto"/>
        <w:tabs>
          <w:tab w:leader="none" w:pos="1121" w:val="left"/>
        </w:tabs>
        <w:numPr>
          <w:ilvl w:val="1"/>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 shall make best efforts to ensure that (i) each separate Account established for each Customer shall qualify for deposit insurance and (ii) all deposits shall remain insured by the Federal Deposit Insurance Corporation (“FDIC”) in accordance with Applicable Law; provided, however, Client acknowledges that any decision regarding deposit insurance applicability rests solely with the FDIC;</w:t>
      </w:r>
    </w:p>
    <w:p>
      <w:pPr>
        <w:spacing w:after="0" w:line="176" w:lineRule="exact"/>
        <w:rPr>
          <w:rFonts w:ascii="Times New Roman" w:cs="Times New Roman" w:eastAsia="Times New Roman" w:hAnsi="Times New Roman"/>
          <w:sz w:val="22"/>
          <w:szCs w:val="22"/>
          <w:color w:val="auto"/>
        </w:rPr>
      </w:pPr>
    </w:p>
    <w:p>
      <w:pPr>
        <w:ind w:right="20" w:firstLine="656"/>
        <w:spacing w:after="0" w:line="271" w:lineRule="auto"/>
        <w:tabs>
          <w:tab w:leader="none" w:pos="1163" w:val="left"/>
        </w:tabs>
        <w:numPr>
          <w:ilvl w:val="1"/>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 shall maintain the minimum capital ratios required to be a well-capitalized institution, as defined under the prompt corrective actions provisions of the Federal Deposit Insurance Act; and</w:t>
      </w:r>
    </w:p>
    <w:p>
      <w:pPr>
        <w:spacing w:after="0" w:line="157" w:lineRule="exact"/>
        <w:rPr>
          <w:rFonts w:ascii="Times New Roman" w:cs="Times New Roman" w:eastAsia="Times New Roman" w:hAnsi="Times New Roman"/>
          <w:sz w:val="22"/>
          <w:szCs w:val="22"/>
          <w:color w:val="auto"/>
        </w:rPr>
      </w:pPr>
    </w:p>
    <w:p>
      <w:pPr>
        <w:jc w:val="both"/>
        <w:ind w:firstLine="656"/>
        <w:spacing w:after="0" w:line="250" w:lineRule="auto"/>
        <w:tabs>
          <w:tab w:leader="none" w:pos="1218" w:val="left"/>
        </w:tabs>
        <w:numPr>
          <w:ilvl w:val="1"/>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 shall comply with its privacy policy and Applicable Law in connection with the Program. Bank’s privacy policy or other applicable policies shall include a response program whereby Bank shall take appropriate actions to address incidents of unauthorized access to Customer Information, including notification to Client and affected Customers (to the extent that such communication with affected Customers is required by Applicable Law) as soon as possible following any such incident. Bank will notify Client promptly upon Bank’s receipt of information regarding an actual or suspected data security breach impacting Customer Information, whether the same is experienced directly by Bank or by Bank’s third party service providers, and Bank will contractually require its third party service providers with access to Customer Information to do the same.</w:t>
      </w:r>
    </w:p>
    <w:p>
      <w:pPr>
        <w:spacing w:after="0" w:line="182"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2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PROGRAM FEES AND COMPENSATION</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8.0 </w:t>
      </w:r>
      <w:r>
        <w:rPr>
          <w:rFonts w:ascii="Times New Roman" w:cs="Times New Roman" w:eastAsia="Times New Roman" w:hAnsi="Times New Roman"/>
          <w:sz w:val="22"/>
          <w:szCs w:val="22"/>
          <w:u w:val="single" w:color="auto"/>
          <w:color w:val="auto"/>
        </w:rPr>
        <w:t>Program Fees</w:t>
      </w:r>
      <w:r>
        <w:rPr>
          <w:rFonts w:ascii="Times New Roman" w:cs="Times New Roman" w:eastAsia="Times New Roman" w:hAnsi="Times New Roman"/>
          <w:sz w:val="22"/>
          <w:szCs w:val="22"/>
          <w:color w:val="auto"/>
        </w:rPr>
        <w:t xml:space="preserve">. All Program Revenues shall accrue to the benefit of the Bank. In consideration of Client’s Program Management services under this Agreement, Bank shall pay Client a Program Management Fee for the provision of its services as set forth in an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 xml:space="preserve"> or any mutually agreed upon Program or services Addendum.</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Master Services Agreement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AND PROPRIETARY</w:t>
      </w:r>
    </w:p>
    <w:p>
      <w:pPr>
        <w:sectPr>
          <w:pgSz w:w="11900" w:h="16838" w:orient="portrait"/>
          <w:cols w:equalWidth="0" w:num="1">
            <w:col w:w="11240"/>
          </w:cols>
          <w:pgMar w:left="320" w:top="124" w:right="339" w:bottom="1440" w:gutter="0" w:footer="0" w:header="0"/>
        </w:sectPr>
      </w:pPr>
    </w:p>
    <w:bookmarkStart w:id="462" w:name="page463"/>
    <w:bookmarkEnd w:id="462"/>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9.</w:t>
      </w:r>
      <w:r>
        <w:rPr>
          <w:sz w:val="20"/>
          <w:szCs w:val="20"/>
          <w:color w:val="auto"/>
        </w:rPr>
        <w:tab/>
      </w:r>
      <w:r>
        <w:rPr>
          <w:rFonts w:ascii="Times New Roman" w:cs="Times New Roman" w:eastAsia="Times New Roman" w:hAnsi="Times New Roman"/>
          <w:sz w:val="21"/>
          <w:szCs w:val="21"/>
          <w:b w:val="1"/>
          <w:bCs w:val="1"/>
          <w:color w:val="auto"/>
        </w:rPr>
        <w:t>TERM AND TERMINATION</w:t>
      </w:r>
    </w:p>
    <w:p>
      <w:pPr>
        <w:spacing w:after="0" w:line="21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9.1</w:t>
      </w:r>
      <w:r>
        <w:rPr>
          <w:sz w:val="20"/>
          <w:szCs w:val="20"/>
          <w:color w:val="auto"/>
        </w:rPr>
        <w:tab/>
      </w:r>
      <w:r>
        <w:rPr>
          <w:rFonts w:ascii="Times New Roman" w:cs="Times New Roman" w:eastAsia="Times New Roman" w:hAnsi="Times New Roman"/>
          <w:sz w:val="21"/>
          <w:szCs w:val="21"/>
          <w:u w:val="single" w:color="auto"/>
          <w:color w:val="auto"/>
        </w:rPr>
        <w:t>Termination of Agreement Without Cause</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56"/>
        <w:spacing w:after="0"/>
        <w:tabs>
          <w:tab w:leader="none" w:pos="1109" w:val="left"/>
        </w:tabs>
        <w:numPr>
          <w:ilvl w:val="0"/>
          <w:numId w:val="2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of this Agreement shall commence from the Effective Date as stated therein and shall continue for five (5) years (the “</w:t>
      </w:r>
      <w:r>
        <w:rPr>
          <w:rFonts w:ascii="Times New Roman" w:cs="Times New Roman" w:eastAsia="Times New Roman" w:hAnsi="Times New Roman"/>
          <w:sz w:val="22"/>
          <w:szCs w:val="22"/>
          <w:b w:val="1"/>
          <w:bCs w:val="1"/>
          <w:color w:val="auto"/>
        </w:rPr>
        <w:t>Initial Term</w:t>
      </w:r>
      <w:r>
        <w:rPr>
          <w:rFonts w:ascii="Times New Roman" w:cs="Times New Roman" w:eastAsia="Times New Roman" w:hAnsi="Times New Roman"/>
          <w:sz w:val="22"/>
          <w:szCs w:val="22"/>
          <w:color w:val="auto"/>
        </w:rPr>
        <w:t>”), unless terminated earlier as provided below. After the Initial Term, this Agreement shall automatically extend for additional one-year periods (each a “</w:t>
      </w:r>
      <w:r>
        <w:rPr>
          <w:rFonts w:ascii="Times New Roman" w:cs="Times New Roman" w:eastAsia="Times New Roman" w:hAnsi="Times New Roman"/>
          <w:sz w:val="22"/>
          <w:szCs w:val="22"/>
          <w:b w:val="1"/>
          <w:bCs w:val="1"/>
          <w:color w:val="auto"/>
        </w:rPr>
        <w:t>Renewal Term”)</w:t>
      </w:r>
      <w:r>
        <w:rPr>
          <w:rFonts w:ascii="Times New Roman" w:cs="Times New Roman" w:eastAsia="Times New Roman" w:hAnsi="Times New Roman"/>
          <w:sz w:val="22"/>
          <w:szCs w:val="22"/>
          <w:color w:val="auto"/>
        </w:rPr>
        <w:t xml:space="preserve"> unless a Party provides the other Party with a notice of non-renewal three hundred and sixty-five (365) days prior to the expiration of the then current Term. Such Initial Term together with any Renewal Term shall collectively be referred to as the “</w:t>
      </w: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w:t>
      </w:r>
    </w:p>
    <w:p>
      <w:pPr>
        <w:spacing w:after="0" w:line="185" w:lineRule="exact"/>
        <w:rPr>
          <w:rFonts w:ascii="Times New Roman" w:cs="Times New Roman" w:eastAsia="Times New Roman" w:hAnsi="Times New Roman"/>
          <w:sz w:val="22"/>
          <w:szCs w:val="22"/>
          <w:color w:val="auto"/>
        </w:rPr>
      </w:pPr>
    </w:p>
    <w:p>
      <w:pPr>
        <w:jc w:val="both"/>
        <w:ind w:firstLine="656"/>
        <w:spacing w:after="0" w:line="228" w:lineRule="auto"/>
        <w:tabs>
          <w:tab w:leader="none" w:pos="1134" w:val="left"/>
        </w:tabs>
        <w:numPr>
          <w:ilvl w:val="0"/>
          <w:numId w:val="2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9.3, below, and no earlier than the thirteenth (13</w:t>
      </w:r>
      <w:r>
        <w:rPr>
          <w:rFonts w:ascii="Times New Roman" w:cs="Times New Roman" w:eastAsia="Times New Roman" w:hAnsi="Times New Roman"/>
          <w:sz w:val="28"/>
          <w:szCs w:val="28"/>
          <w:b w:val="1"/>
          <w:bCs w:val="1"/>
          <w:color w:val="auto"/>
          <w:vertAlign w:val="superscript"/>
        </w:rPr>
        <w:t>th</w:t>
      </w:r>
      <w:r>
        <w:rPr>
          <w:rFonts w:ascii="Times New Roman" w:cs="Times New Roman" w:eastAsia="Times New Roman" w:hAnsi="Times New Roman"/>
          <w:sz w:val="22"/>
          <w:szCs w:val="22"/>
          <w:color w:val="auto"/>
        </w:rPr>
        <w:t>) month following commencement of the Initial Term, Client shall have the right to provide Bank with notice of its intent to terminate this Agreement without cause, which termination shall not be effective until at least three hundred and sixty-five (365) days following Bank’s receipt thereof.</w:t>
      </w:r>
    </w:p>
    <w:p>
      <w:pPr>
        <w:spacing w:after="0" w:line="18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9.2</w:t>
      </w:r>
      <w:r>
        <w:rPr>
          <w:sz w:val="20"/>
          <w:szCs w:val="20"/>
          <w:color w:val="auto"/>
        </w:rPr>
        <w:tab/>
      </w:r>
      <w:r>
        <w:rPr>
          <w:rFonts w:ascii="Times New Roman" w:cs="Times New Roman" w:eastAsia="Times New Roman" w:hAnsi="Times New Roman"/>
          <w:sz w:val="21"/>
          <w:szCs w:val="21"/>
          <w:u w:val="single" w:color="auto"/>
          <w:color w:val="auto"/>
        </w:rPr>
        <w:t>Termination for Cause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1120" w:hanging="464"/>
        <w:spacing w:after="0"/>
        <w:tabs>
          <w:tab w:leader="none" w:pos="1120" w:val="left"/>
        </w:tabs>
        <w:numPr>
          <w:ilvl w:val="0"/>
          <w:numId w:val="2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 Party shall have the right to terminate this Agreement for cause:</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44" w:lineRule="auto"/>
        <w:tabs>
          <w:tab w:leader="none" w:pos="1741" w:val="left"/>
        </w:tabs>
        <w:numPr>
          <w:ilvl w:val="1"/>
          <w:numId w:val="2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material breach of any duty or obligation under this Agreement (so long as such breach is not due to the actions or inaction of the terminating Party), but only if the breach continues for a period of [***] after the breaching Party receives written notice from the non-breaching Party specifying the breach. In the event such breach is not cured during the period, then this Agreement may be terminated.</w:t>
      </w:r>
    </w:p>
    <w:p>
      <w:pPr>
        <w:spacing w:after="0" w:line="172"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2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Either Party may immediately terminate this Agreement for cause upon written notice to the other in the event of the</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following:</w:t>
      </w:r>
    </w:p>
    <w:p>
      <w:pPr>
        <w:spacing w:after="0" w:line="182" w:lineRule="exact"/>
        <w:rPr>
          <w:rFonts w:ascii="Times New Roman" w:cs="Times New Roman" w:eastAsia="Times New Roman" w:hAnsi="Times New Roman"/>
          <w:sz w:val="21"/>
          <w:szCs w:val="21"/>
          <w:color w:val="auto"/>
        </w:rPr>
      </w:pPr>
    </w:p>
    <w:p>
      <w:pPr>
        <w:jc w:val="both"/>
        <w:ind w:left="660" w:firstLine="644"/>
        <w:spacing w:after="0" w:line="250" w:lineRule="auto"/>
        <w:tabs>
          <w:tab w:leader="none" w:pos="1740" w:val="left"/>
        </w:tabs>
        <w:numPr>
          <w:ilvl w:val="1"/>
          <w:numId w:val="2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Discovery that any financial statement, representation, warranty, statement or certificate furnished to it by the other Party in connection with or arising out of this Agreement is materially adverse to the terminating Party and intentionally untrue as of the date made or delivered.</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43" w:lineRule="auto"/>
        <w:tabs>
          <w:tab w:leader="none" w:pos="1820" w:val="left"/>
        </w:tabs>
        <w:numPr>
          <w:ilvl w:val="1"/>
          <w:numId w:val="2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commencement by the other Party of any proceeding or filing of any petition seeking relief under Title 11 of the United States Code or any other Federal, state or foreign bankruptcy, insolvency, liquidation or similar law, application for or consenting to the appointment of a receiver, trustee, custodian, sequestrator or similar official for such Party or for a substantial part of its property or assets; a general assignment for the benefit of creditors, or taking corporate action for the purpose of effecting any of the foregoing.</w:t>
      </w:r>
    </w:p>
    <w:p>
      <w:pPr>
        <w:spacing w:after="0" w:line="177" w:lineRule="exact"/>
        <w:rPr>
          <w:rFonts w:ascii="Times New Roman" w:cs="Times New Roman" w:eastAsia="Times New Roman" w:hAnsi="Times New Roman"/>
          <w:sz w:val="22"/>
          <w:szCs w:val="22"/>
          <w:color w:val="auto"/>
        </w:rPr>
      </w:pPr>
    </w:p>
    <w:p>
      <w:pPr>
        <w:jc w:val="both"/>
        <w:ind w:left="660" w:firstLine="644"/>
        <w:spacing w:after="0" w:line="244" w:lineRule="auto"/>
        <w:tabs>
          <w:tab w:leader="none" w:pos="1857" w:val="left"/>
        </w:tabs>
        <w:numPr>
          <w:ilvl w:val="1"/>
          <w:numId w:val="2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commencement by any person against the other Party of an involuntary proceeding or the other Party is the subject of an involuntary petition in a court of competent jurisdiction seeking: relief in respect of the other Party, or of a substantial part of its property or assets under Title 11 of the United States Code or any other Federal, state or foreign bankruptcy, insolvency, receivership or similar law; the appointment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Master Services Agreement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AND PROPRIETARY</w:t>
      </w:r>
    </w:p>
    <w:p>
      <w:pPr>
        <w:sectPr>
          <w:pgSz w:w="11900" w:h="16838" w:orient="portrait"/>
          <w:cols w:equalWidth="0" w:num="1">
            <w:col w:w="11240"/>
          </w:cols>
          <w:pgMar w:left="320" w:top="124" w:right="339" w:bottom="1440" w:gutter="0" w:footer="0" w:header="0"/>
        </w:sectPr>
      </w:pPr>
    </w:p>
    <w:bookmarkStart w:id="463" w:name="page464"/>
    <w:bookmarkEnd w:id="463"/>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60" w:right="20"/>
        <w:spacing w:after="0" w:line="260" w:lineRule="auto"/>
        <w:rPr>
          <w:sz w:val="20"/>
          <w:szCs w:val="20"/>
          <w:color w:val="auto"/>
        </w:rPr>
      </w:pPr>
      <w:r>
        <w:rPr>
          <w:rFonts w:ascii="Times New Roman" w:cs="Times New Roman" w:eastAsia="Times New Roman" w:hAnsi="Times New Roman"/>
          <w:sz w:val="21"/>
          <w:szCs w:val="21"/>
          <w:color w:val="auto"/>
        </w:rPr>
        <w:t>receiver, trustee, custodian, sequestrator or similar office for the other Party or for a substantial part of its property or assets; or the winding up or liquidation, of the other Party, if such proceeding or petition shall continue un-dismissed for</w:t>
      </w:r>
    </w:p>
    <w:p>
      <w:pPr>
        <w:ind w:left="1180" w:hanging="524"/>
        <w:spacing w:after="0"/>
        <w:tabs>
          <w:tab w:leader="none" w:pos="1180" w:val="left"/>
        </w:tabs>
        <w:numPr>
          <w:ilvl w:val="0"/>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an order or decree approving or ordering any of the foregoing shall continue unstayed and in effect for [***].</w:t>
      </w:r>
    </w:p>
    <w:p>
      <w:pPr>
        <w:spacing w:after="0" w:line="182" w:lineRule="exact"/>
        <w:rPr>
          <w:rFonts w:ascii="Times New Roman" w:cs="Times New Roman" w:eastAsia="Times New Roman" w:hAnsi="Times New Roman"/>
          <w:sz w:val="22"/>
          <w:szCs w:val="22"/>
          <w:color w:val="auto"/>
        </w:rPr>
      </w:pPr>
    </w:p>
    <w:p>
      <w:pPr>
        <w:ind w:left="660" w:firstLine="644"/>
        <w:spacing w:after="0" w:line="271" w:lineRule="auto"/>
        <w:tabs>
          <w:tab w:leader="none" w:pos="1890" w:val="left"/>
        </w:tabs>
        <w:numPr>
          <w:ilvl w:val="1"/>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any change to or enactment of any Applicable Law or Rules which would render any portion of the Program illegal, or otherwise have a material adverse effect upon the Program.</w:t>
      </w:r>
    </w:p>
    <w:p>
      <w:pPr>
        <w:spacing w:after="0" w:line="144" w:lineRule="exact"/>
        <w:rPr>
          <w:rFonts w:ascii="Times New Roman" w:cs="Times New Roman" w:eastAsia="Times New Roman" w:hAnsi="Times New Roman"/>
          <w:sz w:val="22"/>
          <w:szCs w:val="22"/>
          <w:color w:val="auto"/>
        </w:rPr>
      </w:pPr>
    </w:p>
    <w:p>
      <w:pPr>
        <w:ind w:left="660" w:right="20" w:firstLine="644"/>
        <w:spacing w:after="0" w:line="258" w:lineRule="auto"/>
        <w:tabs>
          <w:tab w:leader="none" w:pos="1800" w:val="left"/>
        </w:tabs>
        <w:numPr>
          <w:ilvl w:val="1"/>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violation by the other Party of any Rules or Applicable Law in connection with the performance of this Agreement.</w:t>
      </w:r>
    </w:p>
    <w:p>
      <w:pPr>
        <w:spacing w:after="0" w:line="171" w:lineRule="exact"/>
        <w:rPr>
          <w:rFonts w:ascii="Times New Roman" w:cs="Times New Roman" w:eastAsia="Times New Roman" w:hAnsi="Times New Roman"/>
          <w:sz w:val="22"/>
          <w:szCs w:val="22"/>
          <w:color w:val="auto"/>
        </w:rPr>
      </w:pPr>
    </w:p>
    <w:p>
      <w:pPr>
        <w:ind w:left="660" w:firstLine="644"/>
        <w:spacing w:after="0" w:line="258" w:lineRule="auto"/>
        <w:tabs>
          <w:tab w:leader="none" w:pos="1876" w:val="left"/>
        </w:tabs>
        <w:numPr>
          <w:ilvl w:val="1"/>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direction to the terminating Party from any Regulatory Authority or Network for such Party to cease to materially limit performance of such Party’s obligations under this Agreement</w:t>
      </w:r>
    </w:p>
    <w:p>
      <w:pPr>
        <w:spacing w:after="0" w:line="172" w:lineRule="exact"/>
        <w:rPr>
          <w:sz w:val="20"/>
          <w:szCs w:val="20"/>
          <w:color w:val="auto"/>
        </w:rPr>
      </w:pPr>
    </w:p>
    <w:p>
      <w:pPr>
        <w:ind w:left="1280" w:hanging="624"/>
        <w:spacing w:after="0"/>
        <w:tabs>
          <w:tab w:leader="none" w:pos="1280" w:val="left"/>
        </w:tabs>
        <w:numPr>
          <w:ilvl w:val="0"/>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 may immediately terminate this Agreement for cause upon written notice to Client in the event of the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w:t>
      </w:r>
    </w:p>
    <w:p>
      <w:pPr>
        <w:spacing w:after="0" w:line="182" w:lineRule="exact"/>
        <w:rPr>
          <w:rFonts w:ascii="Times New Roman" w:cs="Times New Roman" w:eastAsia="Times New Roman" w:hAnsi="Times New Roman"/>
          <w:sz w:val="22"/>
          <w:szCs w:val="22"/>
          <w:color w:val="auto"/>
        </w:rPr>
      </w:pPr>
    </w:p>
    <w:p>
      <w:pPr>
        <w:jc w:val="both"/>
        <w:ind w:left="660" w:firstLine="644"/>
        <w:spacing w:after="0" w:line="258" w:lineRule="auto"/>
        <w:tabs>
          <w:tab w:leader="none" w:pos="1749" w:val="left"/>
        </w:tabs>
        <w:numPr>
          <w:ilvl w:val="1"/>
          <w:numId w:val="3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Bank’s management or board of directors reasonably determines that the continued performance by the Bank of its obligations under this Agreement is materially not consistent with safe and sound banking practices; provided, however, upon such determination, Bank shall provide notice, to the extent permitted by Applicable Law, to Client of such determination and a reasonably detailed basis therefor, and shall work in good-faith with Client to resolve Bank’s concerns prior to terminating the Agreement to the extent consistent with the Bank’s safety and soundness.</w:t>
      </w:r>
    </w:p>
    <w:p>
      <w:pPr>
        <w:spacing w:after="0" w:line="160" w:lineRule="exact"/>
        <w:rPr>
          <w:rFonts w:ascii="Times New Roman" w:cs="Times New Roman" w:eastAsia="Times New Roman" w:hAnsi="Times New Roman"/>
          <w:sz w:val="21"/>
          <w:szCs w:val="21"/>
          <w:color w:val="auto"/>
        </w:rPr>
      </w:pPr>
    </w:p>
    <w:p>
      <w:pPr>
        <w:ind w:left="660" w:firstLine="644"/>
        <w:spacing w:after="0" w:line="271" w:lineRule="auto"/>
        <w:tabs>
          <w:tab w:leader="none" w:pos="1920" w:val="left"/>
        </w:tabs>
        <w:numPr>
          <w:ilvl w:val="1"/>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 receives direction from any Regulatory Authority to cease or materially limit performance of the obligations under this Agreement.</w:t>
      </w:r>
    </w:p>
    <w:p>
      <w:pPr>
        <w:spacing w:after="0" w:line="144"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Client may terminate this Agreement for cause upon written notice to Bank in the event of the following:</w:t>
      </w:r>
    </w:p>
    <w:p>
      <w:pPr>
        <w:spacing w:after="0" w:line="206"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774" w:val="left"/>
        </w:tabs>
        <w:numPr>
          <w:ilvl w:val="1"/>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Change of Control of Bank as defined herein. For purposes of this Agreement, a “Change of Control” shall mean, with respect to the other Party, any transaction or series of transactions (as a result of a tender offer, merger, consolidation, reorganization, recapitalization, stock acquisition or otherwise) that results in:</w:t>
      </w:r>
    </w:p>
    <w:p>
      <w:pPr>
        <w:spacing w:after="0" w:line="181" w:lineRule="exact"/>
        <w:rPr>
          <w:rFonts w:ascii="Times New Roman" w:cs="Times New Roman" w:eastAsia="Times New Roman" w:hAnsi="Times New Roman"/>
          <w:sz w:val="22"/>
          <w:szCs w:val="22"/>
          <w:color w:val="auto"/>
        </w:rPr>
      </w:pPr>
    </w:p>
    <w:p>
      <w:pPr>
        <w:jc w:val="both"/>
        <w:ind w:left="1300" w:firstLine="652"/>
        <w:spacing w:after="0" w:line="239" w:lineRule="auto"/>
        <w:tabs>
          <w:tab w:leader="none" w:pos="2541" w:val="left"/>
        </w:tabs>
        <w:numPr>
          <w:ilvl w:val="2"/>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Person or “group” (within the meaning of Section 13(d)(3) of the Securities Exchange Act of 1934, as amended, and the rules and regulations promulgated thereunder acquiring, directly or indirectly, a majority of the combined voting power of the outstanding securities of such other Party (or its Controlling Parent (as defined below), if there is one) entitled to vote generally in the election of directors (or any equivalent governing body); </w:t>
      </w:r>
      <w:r>
        <w:rPr>
          <w:rFonts w:ascii="Times New Roman" w:cs="Times New Roman" w:eastAsia="Times New Roman" w:hAnsi="Times New Roman"/>
          <w:sz w:val="22"/>
          <w:szCs w:val="22"/>
          <w:u w:val="single" w:color="auto"/>
          <w:color w:val="auto"/>
        </w:rPr>
        <w:t>provided, however</w:t>
      </w:r>
      <w:r>
        <w:rPr>
          <w:rFonts w:ascii="Times New Roman" w:cs="Times New Roman" w:eastAsia="Times New Roman" w:hAnsi="Times New Roman"/>
          <w:sz w:val="22"/>
          <w:szCs w:val="22"/>
          <w:color w:val="auto"/>
        </w:rPr>
        <w:t>, that any merger or consolidation of Bank with and into any of Client’s direct or indirect subsidiaries or parent companies or direct or indirect subsidiaries of such parent company, shall not constitute a “Change of Control” hereunder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Master Services Agreement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AND PROPRIETARY</w:t>
      </w:r>
    </w:p>
    <w:p>
      <w:pPr>
        <w:sectPr>
          <w:pgSz w:w="11900" w:h="16838" w:orient="portrait"/>
          <w:cols w:equalWidth="0" w:num="1">
            <w:col w:w="11240"/>
          </w:cols>
          <w:pgMar w:left="320" w:top="124" w:right="339" w:bottom="1440" w:gutter="0" w:footer="0" w:header="0"/>
        </w:sectPr>
      </w:pPr>
    </w:p>
    <w:bookmarkStart w:id="464" w:name="page465"/>
    <w:bookmarkEnd w:id="464"/>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left="1300"/>
        <w:spacing w:after="0" w:line="244" w:lineRule="auto"/>
        <w:rPr>
          <w:sz w:val="20"/>
          <w:szCs w:val="20"/>
          <w:color w:val="auto"/>
        </w:rPr>
      </w:pPr>
      <w:r>
        <w:rPr>
          <w:rFonts w:ascii="Times New Roman" w:cs="Times New Roman" w:eastAsia="Times New Roman" w:hAnsi="Times New Roman"/>
          <w:sz w:val="22"/>
          <w:szCs w:val="22"/>
          <w:color w:val="auto"/>
        </w:rPr>
        <w:t>Controlling Parent prior to such merger or consolidation shall, after giving effect to such merger or consolidation, own and control, directly or indirectly and beneficially and of record, not less than a majority of the combined voting power of the outstanding securities of the surviving entity from such merger or consolidation entitled to vote generally in the election of directors (or equivalent governing body);</w:t>
      </w:r>
    </w:p>
    <w:p>
      <w:pPr>
        <w:spacing w:after="0" w:line="186" w:lineRule="exact"/>
        <w:rPr>
          <w:sz w:val="20"/>
          <w:szCs w:val="20"/>
          <w:color w:val="auto"/>
        </w:rPr>
      </w:pPr>
    </w:p>
    <w:p>
      <w:pPr>
        <w:ind w:left="1300" w:firstLine="652"/>
        <w:spacing w:after="0" w:line="258" w:lineRule="auto"/>
        <w:tabs>
          <w:tab w:leader="none" w:pos="2491" w:val="left"/>
        </w:tabs>
        <w:numPr>
          <w:ilvl w:val="2"/>
          <w:numId w:val="3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lease, license, exchange, conveyance, transfer or other disposition of all or substantially all of the assets of Bank (or its Controlling Parent, if there is one), or</w:t>
      </w:r>
    </w:p>
    <w:p>
      <w:pPr>
        <w:spacing w:after="0" w:line="158" w:lineRule="exact"/>
        <w:rPr>
          <w:rFonts w:ascii="Times New Roman" w:cs="Times New Roman" w:eastAsia="Times New Roman" w:hAnsi="Times New Roman"/>
          <w:sz w:val="22"/>
          <w:szCs w:val="22"/>
          <w:color w:val="auto"/>
        </w:rPr>
      </w:pPr>
    </w:p>
    <w:p>
      <w:pPr>
        <w:jc w:val="both"/>
        <w:ind w:left="1300" w:firstLine="652"/>
        <w:spacing w:after="0" w:line="241" w:lineRule="auto"/>
        <w:tabs>
          <w:tab w:leader="none" w:pos="2511" w:val="left"/>
        </w:tabs>
        <w:numPr>
          <w:ilvl w:val="2"/>
          <w:numId w:val="3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Controlling Parent (if there is one) ceases to own, directly or indirectly and beneficially and of record, a majority of the combined voting power of the outstanding securities of Bank entitled to vote generally in the election of directors (or any equivalent governing body). “Controlling Parent” means, with respect to Bank, the ultimate Person (if any) that owns and controls as of the Effective Date, directly or indirectly, and beneficially and of record, a majority of the combined voting power of the outstanding securities of Bank entitled to vote generally in the election of directors (or equivalent governing body);</w:t>
      </w:r>
    </w:p>
    <w:p>
      <w:pPr>
        <w:spacing w:after="0" w:line="190" w:lineRule="exact"/>
        <w:rPr>
          <w:rFonts w:ascii="Times New Roman" w:cs="Times New Roman" w:eastAsia="Times New Roman" w:hAnsi="Times New Roman"/>
          <w:sz w:val="22"/>
          <w:szCs w:val="22"/>
          <w:color w:val="auto"/>
        </w:rPr>
      </w:pPr>
    </w:p>
    <w:p>
      <w:pPr>
        <w:jc w:val="both"/>
        <w:ind w:left="660" w:firstLine="644"/>
        <w:spacing w:after="0" w:line="244" w:lineRule="auto"/>
        <w:tabs>
          <w:tab w:leader="none" w:pos="1867" w:val="left"/>
        </w:tabs>
        <w:numPr>
          <w:ilvl w:val="1"/>
          <w:numId w:val="3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the issuance of any order involving Bank that materially and adversely impacts the Program or Client, provided that such action, proceeding, investigation or inquiry in not the direct result of an act or inaction of Client, including but not limited to any formal cease and desist order, consent order, censure or other action of a Regulatory Authority.</w:t>
      </w:r>
    </w:p>
    <w:p>
      <w:pPr>
        <w:spacing w:after="0" w:line="172" w:lineRule="exact"/>
        <w:rPr>
          <w:rFonts w:ascii="Times New Roman" w:cs="Times New Roman" w:eastAsia="Times New Roman" w:hAnsi="Times New Roman"/>
          <w:sz w:val="22"/>
          <w:szCs w:val="22"/>
          <w:color w:val="auto"/>
        </w:rPr>
      </w:pPr>
    </w:p>
    <w:p>
      <w:pPr>
        <w:jc w:val="both"/>
        <w:ind w:firstLine="656"/>
        <w:spacing w:after="0" w:line="244" w:lineRule="auto"/>
        <w:tabs>
          <w:tab w:leader="none" w:pos="1149" w:val="left"/>
        </w:tabs>
        <w:numPr>
          <w:ilvl w:val="0"/>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Client reasonably determines that Bank’s financial condition materially and adversely impacts the Bank’s ability to support Client’s Programs, and such financial condition is not improved within [***] following receipt of written notice to Bank of Client’s determination thereof, Client may terminate this Agreement upon one hundred eighty (180) days’ prior written notice to Bank.</w:t>
      </w:r>
    </w:p>
    <w:p>
      <w:pPr>
        <w:spacing w:after="0" w:line="18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9.3</w:t>
      </w:r>
      <w:r>
        <w:rPr>
          <w:sz w:val="20"/>
          <w:szCs w:val="20"/>
          <w:color w:val="auto"/>
        </w:rPr>
        <w:tab/>
      </w:r>
      <w:r>
        <w:rPr>
          <w:rFonts w:ascii="Times New Roman" w:cs="Times New Roman" w:eastAsia="Times New Roman" w:hAnsi="Times New Roman"/>
          <w:sz w:val="21"/>
          <w:szCs w:val="21"/>
          <w:u w:val="single" w:color="auto"/>
          <w:color w:val="auto"/>
        </w:rPr>
        <w:t xml:space="preserve">Payments Upon Termination </w:t>
      </w:r>
      <w:r>
        <w:rPr>
          <w:rFonts w:ascii="Times New Roman" w:cs="Times New Roman" w:eastAsia="Times New Roman" w:hAnsi="Times New Roman"/>
          <w:sz w:val="21"/>
          <w:szCs w:val="21"/>
          <w:color w:val="auto"/>
        </w:rPr>
        <w:t>The Parties agree that, in the event Client terminates this Agreement without cause during the</w:t>
      </w:r>
    </w:p>
    <w:p>
      <w:pPr>
        <w:spacing w:after="0" w:line="14" w:lineRule="exact"/>
        <w:rPr>
          <w:sz w:val="20"/>
          <w:szCs w:val="20"/>
          <w:color w:val="auto"/>
        </w:rPr>
      </w:pPr>
    </w:p>
    <w:p>
      <w:pPr>
        <w:jc w:val="both"/>
        <w:ind w:firstLine="8"/>
        <w:spacing w:after="0" w:line="249" w:lineRule="auto"/>
        <w:tabs>
          <w:tab w:leader="none" w:pos="532" w:val="left"/>
        </w:tabs>
        <w:numPr>
          <w:ilvl w:val="0"/>
          <w:numId w:val="3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accordance with Section 9.1(b), or in the event Bank terminates this Agreement under Section 9.2(a) or Sections 9.2(b) (i), 9.2(b)(iii) or 9.2(b)(v)-(vi), during the [***] Client shall pay Bank, [***]. The Parties further agree that, in the event Client terminates this Agreement without cause during [***], Client shall pay [***]. Client further agrees that in the event Client terminates this Agreement pursuant to Section 9.2(d)(i) during [***], Client shall pay [***] Bank acknowledges and agrees that if it terminates this Agreement pursuant to Section 9.2(a) or Sections 9.2(b)(i), 9.2(b)(iii) or 9.2(b)(v)-(vi): (i) its exclusive remedy for any breach related to such termination is as set forth in this Section 9.3, and (ii) it waives any claims or causes of action against Client relating to such termination or breach of this Agreement. Each Party recognizes and acknowledges that the fees set forth in this Section 9.3 are not intended as a forfeiture or penalty but are intended to constitute liquidated damages to the Bank.</w:t>
      </w:r>
    </w:p>
    <w:p>
      <w:pPr>
        <w:spacing w:after="0" w:line="17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9.4 Notwithstanding anything to the contrary in this Agreement, any monthly fees paid by Client to Bank for the continued receipt of recurring ACH credits, forwarding deposits to a</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Master Services Agreement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AND PROPRIETARY</w:t>
      </w:r>
    </w:p>
    <w:p>
      <w:pPr>
        <w:sectPr>
          <w:pgSz w:w="11900" w:h="16838" w:orient="portrait"/>
          <w:cols w:equalWidth="0" w:num="1">
            <w:col w:w="11240"/>
          </w:cols>
          <w:pgMar w:left="320" w:top="124" w:right="339" w:bottom="1440" w:gutter="0" w:footer="0" w:header="0"/>
        </w:sectPr>
      </w:pPr>
    </w:p>
    <w:bookmarkStart w:id="465" w:name="page466"/>
    <w:bookmarkEnd w:id="465"/>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Successor Bank, and provision of instructions for Notification of Change, as may be set forth in an Addendum to this Agreement, shall be credited towards the monthly fees paid by Client under Section 9.3. In the event of any Termination for Cause by Client, except for any termination by Client pursuant to Section 9.2(d) Client shall be liable only to pay Bank [***].</w:t>
      </w:r>
    </w:p>
    <w:p>
      <w:pPr>
        <w:spacing w:after="0" w:line="182"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2"/>
          <w:szCs w:val="22"/>
          <w:b w:val="1"/>
          <w:bCs w:val="1"/>
          <w:color w:val="auto"/>
        </w:rPr>
        <w:t>10.</w:t>
      </w:r>
      <w:r>
        <w:rPr>
          <w:sz w:val="20"/>
          <w:szCs w:val="20"/>
          <w:color w:val="auto"/>
        </w:rPr>
        <w:tab/>
      </w:r>
      <w:r>
        <w:rPr>
          <w:rFonts w:ascii="Times New Roman" w:cs="Times New Roman" w:eastAsia="Times New Roman" w:hAnsi="Times New Roman"/>
          <w:sz w:val="21"/>
          <w:szCs w:val="21"/>
          <w:b w:val="1"/>
          <w:bCs w:val="1"/>
          <w:color w:val="auto"/>
        </w:rPr>
        <w:t>ACCOUNT TRANSFER OPTION AND WIND DOWN PERIOD</w:t>
      </w:r>
    </w:p>
    <w:p>
      <w:pPr>
        <w:spacing w:after="0" w:line="22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10.1 </w:t>
      </w:r>
      <w:r>
        <w:rPr>
          <w:rFonts w:ascii="Times New Roman" w:cs="Times New Roman" w:eastAsia="Times New Roman" w:hAnsi="Times New Roman"/>
          <w:sz w:val="22"/>
          <w:szCs w:val="22"/>
          <w:u w:val="single" w:color="auto"/>
          <w:color w:val="auto"/>
        </w:rPr>
        <w:t>Account Transfer Option</w:t>
      </w:r>
      <w:r>
        <w:rPr>
          <w:rFonts w:ascii="Times New Roman" w:cs="Times New Roman" w:eastAsia="Times New Roman" w:hAnsi="Times New Roman"/>
          <w:sz w:val="22"/>
          <w:szCs w:val="22"/>
          <w:color w:val="auto"/>
        </w:rPr>
        <w:t>. Each Program, as set forth in an Addendum to this Agreement, may give Client the right to purchase the applicable Accounts and Program upon termination of such Addendum and direct the transfer of such Accounts and Program to a successor qualified financial institution (a “Successor Bank”) (the “Account Transfer Option”). Details of such Account Transfer Option shall be set forth in the applicable Addendum, and shall set forth the rights and obligations of the Parties in the event that Client exercises such Account Transfer Option, including but not limited to a mutually agreed upon wind down period (the “Wind Down Period”)</w:t>
      </w:r>
    </w:p>
    <w:p>
      <w:pPr>
        <w:spacing w:after="0" w:line="181"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color w:val="auto"/>
        </w:rPr>
        <w:t>10.2</w:t>
      </w:r>
      <w:r>
        <w:rPr>
          <w:sz w:val="20"/>
          <w:szCs w:val="20"/>
          <w:color w:val="auto"/>
        </w:rPr>
        <w:tab/>
      </w:r>
      <w:r>
        <w:rPr>
          <w:rFonts w:ascii="Times New Roman" w:cs="Times New Roman" w:eastAsia="Times New Roman" w:hAnsi="Times New Roman"/>
          <w:sz w:val="21"/>
          <w:szCs w:val="21"/>
          <w:u w:val="single" w:color="auto"/>
          <w:color w:val="auto"/>
        </w:rPr>
        <w:t>Wind Down</w:t>
      </w:r>
    </w:p>
    <w:p>
      <w:pPr>
        <w:spacing w:after="0" w:line="193"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Upon termination or expiration of this Agreement, or in the event that the Parties agree upon a Wind Down Period pursuant to Section 10.1 and the applicable Addendum, and provided that the Parties have obtained all required Regulatory Authority and Network approvals, as applicable, then the Parties shall use commercially reasonable efforts to negotiate in good faith and mutually agree upon a wind down plan (the “Wind-Down Plan”) that is:</w:t>
      </w:r>
    </w:p>
    <w:p>
      <w:pPr>
        <w:spacing w:after="0" w:line="179" w:lineRule="exact"/>
        <w:rPr>
          <w:sz w:val="20"/>
          <w:szCs w:val="20"/>
          <w:color w:val="auto"/>
        </w:rPr>
      </w:pPr>
    </w:p>
    <w:p>
      <w:pPr>
        <w:jc w:val="both"/>
        <w:ind w:firstLine="656"/>
        <w:spacing w:after="0" w:line="257" w:lineRule="auto"/>
        <w:tabs>
          <w:tab w:leader="none" w:pos="1107" w:val="left"/>
        </w:tabs>
        <w:numPr>
          <w:ilvl w:val="0"/>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structured to minimize Customer disruption, avoid Customer attrition, and prevent any interruption of the Program services or degradation in the quality of Program services during the Wind Down Period, which shall be as long as necessary to protect and transfer all of Confidential Information including all Customer information;</w:t>
      </w:r>
    </w:p>
    <w:p>
      <w:pPr>
        <w:spacing w:after="0" w:line="186" w:lineRule="exact"/>
        <w:rPr>
          <w:rFonts w:ascii="Times New Roman" w:cs="Times New Roman" w:eastAsia="Times New Roman" w:hAnsi="Times New Roman"/>
          <w:sz w:val="22"/>
          <w:szCs w:val="22"/>
          <w:color w:val="auto"/>
        </w:rPr>
      </w:pPr>
    </w:p>
    <w:p>
      <w:pPr>
        <w:jc w:val="both"/>
        <w:ind w:firstLine="656"/>
        <w:spacing w:after="0" w:line="257" w:lineRule="auto"/>
        <w:tabs>
          <w:tab w:leader="none" w:pos="1254" w:val="left"/>
        </w:tabs>
        <w:numPr>
          <w:ilvl w:val="0"/>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specifies which employees, subcontractors, agents and personnel of Client and Bank and other resources shall perform the Wind Down Plan services and all tasks and resources necessary to effect such disengagement as efficiently as possible and in a manner consistent with any election by Client to transfer the Accounts to a Successor Bank;</w:t>
      </w:r>
    </w:p>
    <w:p>
      <w:pPr>
        <w:spacing w:after="0" w:line="172"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specifies a timetable and process for effecting such disengagement in:</w:t>
      </w:r>
    </w:p>
    <w:p>
      <w:pPr>
        <w:spacing w:after="0" w:line="219" w:lineRule="exact"/>
        <w:rPr>
          <w:rFonts w:ascii="Times New Roman" w:cs="Times New Roman" w:eastAsia="Times New Roman" w:hAnsi="Times New Roman"/>
          <w:sz w:val="22"/>
          <w:szCs w:val="22"/>
          <w:color w:val="auto"/>
        </w:rPr>
      </w:pPr>
    </w:p>
    <w:p>
      <w:pPr>
        <w:ind w:left="2380" w:hanging="428"/>
        <w:spacing w:after="0"/>
        <w:tabs>
          <w:tab w:leader="none" w:pos="2380" w:val="left"/>
        </w:tabs>
        <w:numPr>
          <w:ilvl w:val="1"/>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safe, sound and efficient manner,</w:t>
      </w:r>
    </w:p>
    <w:p>
      <w:pPr>
        <w:spacing w:after="0" w:line="233" w:lineRule="exact"/>
        <w:rPr>
          <w:rFonts w:ascii="Times New Roman" w:cs="Times New Roman" w:eastAsia="Times New Roman" w:hAnsi="Times New Roman"/>
          <w:sz w:val="22"/>
          <w:szCs w:val="22"/>
          <w:color w:val="auto"/>
        </w:rPr>
      </w:pPr>
    </w:p>
    <w:p>
      <w:pPr>
        <w:ind w:left="2600" w:hanging="648"/>
        <w:spacing w:after="0" w:line="271" w:lineRule="auto"/>
        <w:tabs>
          <w:tab w:leader="none" w:pos="2597" w:val="left"/>
        </w:tabs>
        <w:numPr>
          <w:ilvl w:val="1"/>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manner reasonably intended to minimize Account attrition and provide a seamless Customer experiences, including conversion of tranches of Accounts on a staggered basis, and</w:t>
      </w:r>
    </w:p>
    <w:p>
      <w:pPr>
        <w:spacing w:after="0" w:line="157" w:lineRule="exact"/>
        <w:rPr>
          <w:rFonts w:ascii="Times New Roman" w:cs="Times New Roman" w:eastAsia="Times New Roman" w:hAnsi="Times New Roman"/>
          <w:sz w:val="22"/>
          <w:szCs w:val="22"/>
          <w:color w:val="auto"/>
        </w:rPr>
      </w:pPr>
    </w:p>
    <w:p>
      <w:pPr>
        <w:ind w:left="2600" w:hanging="648"/>
        <w:spacing w:after="0" w:line="271" w:lineRule="auto"/>
        <w:tabs>
          <w:tab w:leader="none" w:pos="2495" w:val="left"/>
        </w:tabs>
        <w:numPr>
          <w:ilvl w:val="1"/>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compliance with Applicable Law, including the process and timing for providing and/or obtaining all necessary regulatory notices and approval; and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Master Services Agreement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AND PROPRIETARY</w:t>
      </w:r>
    </w:p>
    <w:p>
      <w:pPr>
        <w:sectPr>
          <w:pgSz w:w="11900" w:h="16838" w:orient="portrait"/>
          <w:cols w:equalWidth="0" w:num="1">
            <w:col w:w="11240"/>
          </w:cols>
          <w:pgMar w:left="320" w:top="124" w:right="339" w:bottom="1440" w:gutter="0" w:footer="0" w:header="0"/>
        </w:sectPr>
      </w:pPr>
    </w:p>
    <w:bookmarkStart w:id="466" w:name="page467"/>
    <w:bookmarkEnd w:id="466"/>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656"/>
        <w:spacing w:after="0" w:line="241" w:lineRule="auto"/>
        <w:tabs>
          <w:tab w:leader="none" w:pos="1362" w:val="left"/>
        </w:tabs>
        <w:numPr>
          <w:ilvl w:val="1"/>
          <w:numId w:val="3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sets forth a communication plan for communicating with Customers regarding the disengagement matters contemplated by the Wind-Down Plan, and neither Party shall communicate with Customers regarding such matters other than as contemplated by the Wind-Down Plan, except that neither Party shall be permitted to prohibit the other Party from sending a communication that is required pursuant to Applicable Law; provided that the communicating Party shall provide the other Party with as much advance notice as reasonably possible prior to issuance of any such legally required communication or notice promptly following such action if advance notice is not permitted by Applicable Law.</w:t>
      </w:r>
    </w:p>
    <w:p>
      <w:pPr>
        <w:spacing w:after="0" w:line="176"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1"/>
          <w:numId w:val="3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Wind-Down Plan arises from Bank terminating for cause under the Agreement, then in addition to items (a) –</w:t>
      </w:r>
    </w:p>
    <w:p>
      <w:pPr>
        <w:spacing w:after="0" w:line="39" w:lineRule="exact"/>
        <w:rPr>
          <w:rFonts w:ascii="Times New Roman" w:cs="Times New Roman" w:eastAsia="Times New Roman" w:hAnsi="Times New Roman"/>
          <w:sz w:val="21"/>
          <w:szCs w:val="21"/>
          <w:color w:val="auto"/>
        </w:rPr>
      </w:pPr>
    </w:p>
    <w:p>
      <w:pPr>
        <w:jc w:val="both"/>
        <w:ind w:firstLine="8"/>
        <w:spacing w:after="0" w:line="237" w:lineRule="auto"/>
        <w:tabs>
          <w:tab w:leader="none" w:pos="323" w:val="left"/>
        </w:tabs>
        <w:numPr>
          <w:ilvl w:val="0"/>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 the Wind-Down plan shall also include all necessary steps to effect the transfer to Bank of control of the applicable Program. Without in any way limiting the foregoing, upon expiration or any termination of this Agreement, in whole or in part, Bank will, at Client’s request, continue to allow Client to access and use the Program after the date of such termination or expiration to effectuate an orderly transition from the Program services. During such period, the then-existing fees will continue to be in effect and the terms of this Agreement shall survive and continue to govern the Parties’ rights and obligations with respect to the Program.</w:t>
      </w:r>
    </w:p>
    <w:p>
      <w:pPr>
        <w:spacing w:after="0" w:line="17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10.3 Following termination or expiration of this Agreement and expiration of the Wind Down Period, each Party shall (i) return, or destroy in the event it is not commercially practicable to return, all property belonging to the other Parties (including Confidential Information not reasonably necessary to operate any Program) which is in its possession or control at the time of termination, and (ii) discontinue the use of and return, or destroy in the event it is not commercially practicable to return, to the other Parties, or at the request of the other Parties destroy, all written and printed Program Materials bearing the other Parties’ name and logo. Nothing herein will require Bank to return anything arising from or relating to the Programs, other than property that is defined hereunder as Client Confidential Information, or other than property that relates exclusively to a Program that is being transferred to a Successor Bank. Without limiting the aforesaid, the Parties agree that Bank shall be entitled to retain all information required by Applicable Law, Regulatory Authority, and/or Bank’s safety and soundness standards.</w:t>
      </w:r>
    </w:p>
    <w:p>
      <w:pPr>
        <w:spacing w:after="0" w:line="180" w:lineRule="exact"/>
        <w:rPr>
          <w:sz w:val="20"/>
          <w:szCs w:val="20"/>
          <w:color w:val="auto"/>
        </w:rPr>
      </w:pPr>
    </w:p>
    <w:p>
      <w:pPr>
        <w:ind w:left="480" w:hanging="472"/>
        <w:spacing w:after="0"/>
        <w:tabs>
          <w:tab w:leader="none" w:pos="480" w:val="left"/>
        </w:tabs>
        <w:numPr>
          <w:ilvl w:val="0"/>
          <w:numId w:val="3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CONFIDENTIALITY</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The term “Confidential Information” shall mean this Agreement and all proprietary information, data, trade secrets, business information and other information of any kind whatsoever which (a) a Party (“Discloser”) discloses, in writing, orally or visually, to the other Party (“Recipient”) or to which Recipient obtains access in connection with the negotiation and performance of this Agreement, and which (b) relates to (i) the Discloser, (ii) in the case of Client, Bank and its customers and or associates, or (iii) Customers who have made Sensitive Customer Information available to Bank and/or Client. “Sensitive Customer Information” shall include “non-public personal information” as defined in the Gramm-Leach-Bliley Act and implementing regulations; including, without limitation, a Customer’s name, address, or telephone number in conjunction with the Customer’s social security number, driver’s license number, account number, credit or debit card number, or a personal identification number or password that would permit access to the Customer’s account, or any combination of components of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Master Services Agreement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AND PROPRIETARY</w:t>
      </w:r>
    </w:p>
    <w:p>
      <w:pPr>
        <w:sectPr>
          <w:pgSz w:w="11900" w:h="16838" w:orient="portrait"/>
          <w:cols w:equalWidth="0" w:num="1">
            <w:col w:w="11240"/>
          </w:cols>
          <w:pgMar w:left="320" w:top="124" w:right="339" w:bottom="1440" w:gutter="0" w:footer="0" w:header="0"/>
        </w:sectPr>
      </w:pPr>
    </w:p>
    <w:bookmarkStart w:id="467" w:name="page468"/>
    <w:bookmarkEnd w:id="467"/>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information that would allow someone to log onto or access a Customer’s account, such as a username and password, password and account number, Transaction information regarding the Account, or any other information provided to Bank or Client by a Customer in connection with the Program.</w:t>
      </w:r>
    </w:p>
    <w:p>
      <w:pPr>
        <w:spacing w:after="0" w:line="16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 xml:space="preserve">11.2 </w:t>
      </w:r>
      <w:r>
        <w:rPr>
          <w:rFonts w:ascii="Times New Roman" w:cs="Times New Roman" w:eastAsia="Times New Roman" w:hAnsi="Times New Roman"/>
          <w:sz w:val="22"/>
          <w:szCs w:val="22"/>
          <w:u w:val="single" w:color="auto"/>
          <w:color w:val="auto"/>
        </w:rPr>
        <w:t>Sensitive Customer Information</w:t>
      </w:r>
      <w:r>
        <w:rPr>
          <w:rFonts w:ascii="Times New Roman" w:cs="Times New Roman" w:eastAsia="Times New Roman" w:hAnsi="Times New Roman"/>
          <w:sz w:val="22"/>
          <w:szCs w:val="22"/>
          <w:color w:val="auto"/>
        </w:rPr>
        <w:t>. Client acknowledges that Bank has a legal responsibility to its customers to keep Sensitive Customer Information strictly confidential in accordance with Applicable Law. Bank acknowledges that Client has a responsibility to do likewise. In addition to the other requirements set forth in this section regarding Confidential Information, Sensitive Customer Information shall also be subject to the additional restrictions set forth in this subsection. The Recipient shall not disclose or use Sensitive Customer Information other than to carry out the purposes for which the Discloser or one of its affiliates disclosed such Sensitive Customer Information to Recipient. Recipient shall not disclose to a third-party or otherwise use any Sensitive Customer Information unless the Customer’s permission has been secured, to the Discloser’s reasonable satisfaction, through a means that complies with 15 U.S.C. §§ 6801-09 and applicable regulations, or the disclosure is otherwise permitted by Applicable Law. In the absence of the permission of the Customer, Recipient shall not disclose any Sensitive Customer Information other than on a “need to know basis and then only to: (a) affiliates of Discloser; (b)its employees or officers; (c) affiliates of Recipient provided that such affiliates shall be restricted in use and re-disclosure of the Sensitive Customer Information to the same extent as Recipient; (d) to carefully selected subcontractors provided that such subcontractors shall have entered into a confidentiality agreement no less restrictive than the terms hereof; (e) to independent contractors, agents, and consultants hired or engaged by Recipient, provided that all such persons are subject to a confidentiality agreement which shall be no less restrictive than the provisions of this section; or (f) pursuant to the exceptions set forth in 15 U.S.C. 68021 and accompanying regulations which disclosures are made in the ordinary course of business. The restrictions set forth herein shall apply during the term and after the termination of this Agreement. For the purposes of this section, Customers shall be customers of Bank.</w:t>
      </w:r>
    </w:p>
    <w:p>
      <w:pPr>
        <w:spacing w:after="0" w:line="18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 xml:space="preserve">11.3 </w:t>
      </w:r>
      <w:r>
        <w:rPr>
          <w:rFonts w:ascii="Times New Roman" w:cs="Times New Roman" w:eastAsia="Times New Roman" w:hAnsi="Times New Roman"/>
          <w:sz w:val="22"/>
          <w:szCs w:val="22"/>
          <w:u w:val="single" w:color="auto"/>
          <w:color w:val="auto"/>
        </w:rPr>
        <w:t>Compliance with Privacy Laws</w:t>
      </w:r>
      <w:r>
        <w:rPr>
          <w:rFonts w:ascii="Times New Roman" w:cs="Times New Roman" w:eastAsia="Times New Roman" w:hAnsi="Times New Roman"/>
          <w:sz w:val="22"/>
          <w:szCs w:val="22"/>
          <w:color w:val="auto"/>
        </w:rPr>
        <w:t>. Each Party shall comply with Applicable Law with regard to privacy of Sensitive Customer Information.</w:t>
      </w:r>
    </w:p>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 xml:space="preserve">11.4 </w:t>
      </w:r>
      <w:r>
        <w:rPr>
          <w:rFonts w:ascii="Times New Roman" w:cs="Times New Roman" w:eastAsia="Times New Roman" w:hAnsi="Times New Roman"/>
          <w:sz w:val="22"/>
          <w:szCs w:val="22"/>
          <w:u w:val="single" w:color="auto"/>
          <w:color w:val="auto"/>
        </w:rPr>
        <w:t>Use of Confidential Information</w:t>
      </w:r>
      <w:r>
        <w:rPr>
          <w:rFonts w:ascii="Times New Roman" w:cs="Times New Roman" w:eastAsia="Times New Roman" w:hAnsi="Times New Roman"/>
          <w:sz w:val="22"/>
          <w:szCs w:val="22"/>
          <w:color w:val="auto"/>
        </w:rPr>
        <w:t>. Neither Party shall use the Confidential Information of the other Party, except as specifically permitted in this Agreement.</w:t>
      </w:r>
    </w:p>
    <w:p>
      <w:pPr>
        <w:spacing w:after="0" w:line="17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11.5 </w:t>
      </w:r>
      <w:r>
        <w:rPr>
          <w:rFonts w:ascii="Times New Roman" w:cs="Times New Roman" w:eastAsia="Times New Roman" w:hAnsi="Times New Roman"/>
          <w:sz w:val="22"/>
          <w:szCs w:val="22"/>
          <w:u w:val="single" w:color="auto"/>
          <w:color w:val="auto"/>
        </w:rPr>
        <w:t>Disclosure to Employees and Agents</w:t>
      </w:r>
      <w:r>
        <w:rPr>
          <w:rFonts w:ascii="Times New Roman" w:cs="Times New Roman" w:eastAsia="Times New Roman" w:hAnsi="Times New Roman"/>
          <w:sz w:val="22"/>
          <w:szCs w:val="22"/>
          <w:color w:val="auto"/>
        </w:rPr>
        <w:t>. Client, as Recipient, hereby agrees on behalf of itself and its employees, officers, affiliates and subcontractors that Confidential Information will not be disclosed or made available to any person for any reason whatsoever, other than other than on a “need to know basis” and then only to: (a) its employees and officers; (b) subcontractors and other third-Parties specifically permitted under this Agreement, provided that all such persons are subject to a confidentiality agreement which shall be no less restrictive than the provisions of this section; (c) independent contractors, agents, and consultants hired or engaged by Bank, provided that all such persons are subject to a confidentiality agreement which shall be no less restrictive than the provisions of this section; and (d) as required by law or as otherwise permitted by this Agreement, either during the term of this Agreement or after the termination of this Agreement. Bank, as Recipient, hereby agrees on behalf of itself and its employees, officers, affiliates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Master Services Agreement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AND PROPRIETARY</w:t>
      </w:r>
    </w:p>
    <w:p>
      <w:pPr>
        <w:sectPr>
          <w:pgSz w:w="11900" w:h="16838" w:orient="portrait"/>
          <w:cols w:equalWidth="0" w:num="1">
            <w:col w:w="11240"/>
          </w:cols>
          <w:pgMar w:left="320" w:top="124" w:right="339" w:bottom="1440" w:gutter="0" w:footer="0" w:header="0"/>
        </w:sectPr>
      </w:pPr>
    </w:p>
    <w:bookmarkStart w:id="468" w:name="page469"/>
    <w:bookmarkEnd w:id="468"/>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subcontractors that Confidential Information will not be disclosed or made available to any person for any reason whatsoever, other than on a “need to know basis” and then only to: (a) individuals that have been approved by Client; or (b) as required by law or as otherwise permitted by this Agreement, either during the term of this Agreement or after the termination of this Agreement. Prior to any disclosure of Confidential Information as required by law, the Recipient shall (i) notify the Discloser of any, actual or threatened legal compulsion of disclosure, and any actual legal obligation of disclosure immediately upon becoming so obligated, and (ii) cooperate with the Discloser’s reasonable, lawful efforts to resist, limit or delay disclosure. Nothing in this section shall require any notice or other action by Bank in connection with request or demands for Confidential Information with request by any Regulatory Authority.</w:t>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 xml:space="preserve">11.6 </w:t>
      </w:r>
      <w:r>
        <w:rPr>
          <w:rFonts w:ascii="Times New Roman" w:cs="Times New Roman" w:eastAsia="Times New Roman" w:hAnsi="Times New Roman"/>
          <w:sz w:val="21"/>
          <w:szCs w:val="21"/>
          <w:u w:val="single" w:color="auto"/>
          <w:color w:val="auto"/>
        </w:rPr>
        <w:t>Information Security</w:t>
      </w:r>
      <w:r>
        <w:rPr>
          <w:rFonts w:ascii="Times New Roman" w:cs="Times New Roman" w:eastAsia="Times New Roman" w:hAnsi="Times New Roman"/>
          <w:sz w:val="21"/>
          <w:szCs w:val="21"/>
          <w:color w:val="auto"/>
        </w:rPr>
        <w:t>. Each Party warrants that it has established an information security program which contains appropriate measures designed to (i) ensure the security and confidentiality of Sensitive Customer Information; (ii) protect against any unanticipated threats or hazards to the security or integrity of such information; and (iii) protect against the unauthorized access to or use of such information that could result in substantial harm or inconvenience to any customer. In the event a Party discovers any unauthorized access to any Sensitive Customer Information, such Party shall take appropriate actions to address such unauthorized access, including but not limited to promptly notifying the other Party of any such incident.</w:t>
      </w:r>
    </w:p>
    <w:p>
      <w:pPr>
        <w:spacing w:after="0" w:line="16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11.7 </w:t>
      </w:r>
      <w:r>
        <w:rPr>
          <w:rFonts w:ascii="Times New Roman" w:cs="Times New Roman" w:eastAsia="Times New Roman" w:hAnsi="Times New Roman"/>
          <w:sz w:val="22"/>
          <w:szCs w:val="22"/>
          <w:u w:val="single" w:color="auto"/>
          <w:color w:val="auto"/>
        </w:rPr>
        <w:t>Return/Destruction of Materials</w:t>
      </w:r>
      <w:r>
        <w:rPr>
          <w:rFonts w:ascii="Times New Roman" w:cs="Times New Roman" w:eastAsia="Times New Roman" w:hAnsi="Times New Roman"/>
          <w:sz w:val="22"/>
          <w:szCs w:val="22"/>
          <w:color w:val="auto"/>
        </w:rPr>
        <w:t>. Upon the termination of this Agreement, or at any time upon the request of a Party, the other Party shall return or at the requesting Party’s election, destroy, all Confidential Information, including Customer Information, in the possession of such Party or in the possession of any third party over which such Party has or may exercise control.</w:t>
      </w:r>
    </w:p>
    <w:p>
      <w:pPr>
        <w:spacing w:after="0" w:line="17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11.8 </w:t>
      </w:r>
      <w:r>
        <w:rPr>
          <w:rFonts w:ascii="Times New Roman" w:cs="Times New Roman" w:eastAsia="Times New Roman" w:hAnsi="Times New Roman"/>
          <w:sz w:val="22"/>
          <w:szCs w:val="22"/>
          <w:u w:val="single" w:color="auto"/>
          <w:color w:val="auto"/>
        </w:rPr>
        <w:t>Exceptions</w:t>
      </w:r>
      <w:r>
        <w:rPr>
          <w:rFonts w:ascii="Times New Roman" w:cs="Times New Roman" w:eastAsia="Times New Roman" w:hAnsi="Times New Roman"/>
          <w:sz w:val="22"/>
          <w:szCs w:val="22"/>
          <w:color w:val="auto"/>
        </w:rPr>
        <w:t>. With the exception of the obligations related to Customer Information, the obligations of confidentiality in this section shall not apply to any information which a Party rightfully has in its possession when disclosed to it by the other Party, information which a Party independently develops, information which is or becomes known to the public other than by breach of this section or information rightfully received by a Party from a third party without the obligation of confidentiality.</w:t>
      </w:r>
    </w:p>
    <w:p>
      <w:pPr>
        <w:spacing w:after="0" w:line="17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11.9 </w:t>
      </w:r>
      <w:r>
        <w:rPr>
          <w:rFonts w:ascii="Times New Roman" w:cs="Times New Roman" w:eastAsia="Times New Roman" w:hAnsi="Times New Roman"/>
          <w:sz w:val="22"/>
          <w:szCs w:val="22"/>
          <w:u w:val="single" w:color="auto"/>
          <w:color w:val="auto"/>
        </w:rPr>
        <w:t>Media Releases</w:t>
      </w:r>
      <w:r>
        <w:rPr>
          <w:rFonts w:ascii="Times New Roman" w:cs="Times New Roman" w:eastAsia="Times New Roman" w:hAnsi="Times New Roman"/>
          <w:sz w:val="22"/>
          <w:szCs w:val="22"/>
          <w:color w:val="auto"/>
        </w:rPr>
        <w:t>. All media releases, public announcements and public disclosures by either Party, or their representatives, employees or agents, relating to this Agreement or the name or logo of Client, Bank, any Bank affiliate or supplier, including, without limitation, promotional or marketing material, but not including any disclosure required by legal, accounting or regulatory requirements beyond the reasonable control of the releasing Party, shall be coordinated with and approved by the other Party in writing prior to the release thereof.</w:t>
      </w:r>
    </w:p>
    <w:p>
      <w:pPr>
        <w:spacing w:after="0" w:line="18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11.10 </w:t>
      </w:r>
      <w:r>
        <w:rPr>
          <w:rFonts w:ascii="Times New Roman" w:cs="Times New Roman" w:eastAsia="Times New Roman" w:hAnsi="Times New Roman"/>
          <w:sz w:val="22"/>
          <w:szCs w:val="22"/>
          <w:u w:val="single" w:color="auto"/>
          <w:color w:val="auto"/>
        </w:rPr>
        <w:t>Non-Disparagement</w:t>
      </w:r>
      <w:r>
        <w:rPr>
          <w:rFonts w:ascii="Times New Roman" w:cs="Times New Roman" w:eastAsia="Times New Roman" w:hAnsi="Times New Roman"/>
          <w:sz w:val="22"/>
          <w:szCs w:val="22"/>
          <w:color w:val="auto"/>
        </w:rPr>
        <w:t>. Each Party covenants and agrees that it, or their representatives, employees or agents will not directly or indirectly, verbally or in writing, make statements to any third party which detract from or reflect adversely on the other Party’s reputation or its business, services, or products, or defame or make disparaging statements regarding the other Party’s business, service or products, or its directors, officers, employees or agents. Disparaging statements shall be defined as any statement, whether expressed as fact or opinion, that a reasonable person would consider impugning or call into question in a negative manner the business or personal ethics, reputation, character or integrity of the other Party or its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Master Services Agreement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AND PROPRIETARY</w:t>
      </w:r>
    </w:p>
    <w:p>
      <w:pPr>
        <w:sectPr>
          <w:pgSz w:w="11900" w:h="16838" w:orient="portrait"/>
          <w:cols w:equalWidth="0" w:num="1">
            <w:col w:w="11240"/>
          </w:cols>
          <w:pgMar w:left="320" w:top="124" w:right="339" w:bottom="1440" w:gutter="0" w:footer="0" w:header="0"/>
        </w:sectPr>
      </w:pPr>
    </w:p>
    <w:bookmarkStart w:id="469" w:name="page470"/>
    <w:bookmarkEnd w:id="469"/>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officers, employees, or agents, or impugn or call into question in a negative manner the quality of the other Party’s products, services or practices. This Agreement does not preclude the Parties from making statements that may be required by legal process, Applicable Law, or any Regulatory Authority with jurisdiction over the parties.</w:t>
      </w:r>
    </w:p>
    <w:p>
      <w:pPr>
        <w:spacing w:after="0" w:line="164" w:lineRule="exact"/>
        <w:rPr>
          <w:sz w:val="20"/>
          <w:szCs w:val="20"/>
          <w:color w:val="auto"/>
        </w:rPr>
      </w:pPr>
    </w:p>
    <w:p>
      <w:pPr>
        <w:ind w:left="500" w:hanging="492"/>
        <w:spacing w:after="0"/>
        <w:tabs>
          <w:tab w:leader="none" w:pos="500" w:val="left"/>
        </w:tabs>
        <w:numPr>
          <w:ilvl w:val="0"/>
          <w:numId w:val="3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DATA OWNERSHIP</w:t>
      </w:r>
    </w:p>
    <w:p>
      <w:pPr>
        <w:spacing w:after="0" w:line="22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12.1 </w:t>
      </w:r>
      <w:r>
        <w:rPr>
          <w:rFonts w:ascii="Times New Roman" w:cs="Times New Roman" w:eastAsia="Times New Roman" w:hAnsi="Times New Roman"/>
          <w:sz w:val="22"/>
          <w:szCs w:val="22"/>
          <w:u w:val="single" w:color="auto"/>
          <w:color w:val="auto"/>
        </w:rPr>
        <w:t>Pre-Application</w:t>
      </w:r>
      <w:r>
        <w:rPr>
          <w:rFonts w:ascii="Times New Roman" w:cs="Times New Roman" w:eastAsia="Times New Roman" w:hAnsi="Times New Roman"/>
          <w:sz w:val="22"/>
          <w:szCs w:val="22"/>
          <w:color w:val="auto"/>
        </w:rPr>
        <w:t xml:space="preserve"> Information. The Parties acknowledge and agree that prior to a Customer submitting an application to Bank for an Account, all information collected by Client from such Customer, including nonpublic personal information as defined under the Gramm-Leach-Bliley Act (“Customer Personal Information), is information of Client, subject to Client’s privacy policy and procedures.</w:t>
      </w:r>
    </w:p>
    <w:p>
      <w:pPr>
        <w:spacing w:after="0" w:line="17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12.2 </w:t>
      </w:r>
      <w:r>
        <w:rPr>
          <w:rFonts w:ascii="Times New Roman" w:cs="Times New Roman" w:eastAsia="Times New Roman" w:hAnsi="Times New Roman"/>
          <w:sz w:val="22"/>
          <w:szCs w:val="22"/>
          <w:u w:val="single" w:color="auto"/>
          <w:color w:val="auto"/>
        </w:rPr>
        <w:t>Account Application Information</w:t>
      </w:r>
      <w:r>
        <w:rPr>
          <w:rFonts w:ascii="Times New Roman" w:cs="Times New Roman" w:eastAsia="Times New Roman" w:hAnsi="Times New Roman"/>
          <w:sz w:val="22"/>
          <w:szCs w:val="22"/>
          <w:color w:val="auto"/>
        </w:rPr>
        <w:t>. Once a Customer submits an application for an Account to Bank, all Customer Personal Information submitted on such application is jointly owned by Bank and Client, and may be used for each Party’s own separate purposes pursuant to such Party’s individual privacy policy and consistent with the limitations on such use set forth in this Agreement, so long as the Customer is provided a disclosure to such effect prior to any Customer Personal Information being provided by Customer on an Account application. In the event that Customer Personal Information is collected without providing such disclosure, such Customer Personal Information shall be the sole property of Bank, and Client shall only use such Customer Personal Information in connection with performing its obligations under the Agreement and as otherwise directed or permitted by Bank in writing. Bank shall consider in good-faith any request by Client for Bank to share Customer Personal Information with Client for Client’s purposes unrelated to this Agreement in accordance with Applicable Law.</w:t>
      </w:r>
    </w:p>
    <w:p>
      <w:pPr>
        <w:spacing w:after="0" w:line="19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 xml:space="preserve">12.3 </w:t>
      </w:r>
      <w:r>
        <w:rPr>
          <w:rFonts w:ascii="Times New Roman" w:cs="Times New Roman" w:eastAsia="Times New Roman" w:hAnsi="Times New Roman"/>
          <w:sz w:val="22"/>
          <w:szCs w:val="22"/>
          <w:u w:val="single" w:color="auto"/>
          <w:color w:val="auto"/>
        </w:rPr>
        <w:t>Account Transaction Information</w:t>
      </w:r>
      <w:r>
        <w:rPr>
          <w:rFonts w:ascii="Times New Roman" w:cs="Times New Roman" w:eastAsia="Times New Roman" w:hAnsi="Times New Roman"/>
          <w:sz w:val="22"/>
          <w:szCs w:val="22"/>
          <w:color w:val="auto"/>
        </w:rPr>
        <w:t>. Except as otherwise provided herein, Bank shall solely own any information derived from a Customer’s use of an Account, including, but not limited to, any Account transaction information and Account balance information (“Account Information”). For the avoidance of doubt, Account Information shall not include other information that constitutes Customer Personal Information. Client shall only use Account Information for the purposes of performing its obligations under the Agreement and as otherwise directed or permitted by Bank in writing. Notwithstanding the foregoing, Bank acknowledges and agrees that each Customer is also a customer on Client’s platform, and Client may request a Customer to provide the Customer’s affirmative authorization to allow Client to use such Customer’s Account Information for Client’s specified purpose(s) unrelated to the Agreement. If the Customer so affirmatively authorizes such use of the Customer’s Account Information, Client may use such Customer’s Account Information for Client’s own purposes unrelated to the Agreement. Notwithstanding anything to the contrary herein, the Parties acknowledge that Customer Personal Information or Account Information shall not be deemed to include publicly available information or such other non-personally identifiable information a party has otherwise obtained outside of this Agreement.</w:t>
      </w:r>
    </w:p>
    <w:p>
      <w:pPr>
        <w:spacing w:after="0" w:line="18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12.4 </w:t>
      </w:r>
      <w:r>
        <w:rPr>
          <w:rFonts w:ascii="Times New Roman" w:cs="Times New Roman" w:eastAsia="Times New Roman" w:hAnsi="Times New Roman"/>
          <w:sz w:val="22"/>
          <w:szCs w:val="22"/>
          <w:u w:val="single" w:color="auto"/>
          <w:color w:val="auto"/>
        </w:rPr>
        <w:t>Bank Use of Customer Personal Information</w:t>
      </w:r>
      <w:r>
        <w:rPr>
          <w:rFonts w:ascii="Times New Roman" w:cs="Times New Roman" w:eastAsia="Times New Roman" w:hAnsi="Times New Roman"/>
          <w:sz w:val="22"/>
          <w:szCs w:val="22"/>
          <w:color w:val="auto"/>
        </w:rPr>
        <w:t>. Bank acknowledges and agrees that Bank may not use or share Customer Personal Information for any purpose other than in connection with the Agreement and Bank’s responsibilities and obligations related to the Program and Accounts. Following Bank’s sale of an Account or after termination or expiration of the Agreement, Bank</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Master Services Agreement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AND PROPRIETARY</w:t>
      </w:r>
    </w:p>
    <w:p>
      <w:pPr>
        <w:sectPr>
          <w:pgSz w:w="11900" w:h="16838" w:orient="portrait"/>
          <w:cols w:equalWidth="0" w:num="1">
            <w:col w:w="11240"/>
          </w:cols>
          <w:pgMar w:left="320" w:top="124" w:right="339" w:bottom="1440" w:gutter="0" w:footer="0" w:header="0"/>
        </w:sectPr>
      </w:pPr>
    </w:p>
    <w:bookmarkStart w:id="470" w:name="page471"/>
    <w:bookmarkEnd w:id="470"/>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2"/>
          <w:szCs w:val="22"/>
          <w:color w:val="auto"/>
        </w:rPr>
        <w:t>shall not sell, distribute or otherwise directly or indirectly use or store Customer Personal Information (except as may be required by Applicable Law or Regulatory Authority). For the avoidance of doubt and without limiting the generality of the foregoing, Bank acknowledges Bank may not use or share Customer Personal Information for the purposes of soliciting Customers for any non-Program; provided, however, nothing in this Section 12.4 shall prevent Bank from soliciting consumers for Bank-issued products using information obtained independently of the Agreement.</w:t>
      </w:r>
    </w:p>
    <w:p>
      <w:pPr>
        <w:spacing w:after="0" w:line="173" w:lineRule="exact"/>
        <w:rPr>
          <w:sz w:val="20"/>
          <w:szCs w:val="20"/>
          <w:color w:val="auto"/>
        </w:rPr>
      </w:pPr>
    </w:p>
    <w:p>
      <w:pPr>
        <w:ind w:left="500" w:hanging="492"/>
        <w:spacing w:after="0"/>
        <w:tabs>
          <w:tab w:leader="none" w:pos="500" w:val="left"/>
        </w:tabs>
        <w:numPr>
          <w:ilvl w:val="0"/>
          <w:numId w:val="3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INSURANCE</w:t>
      </w:r>
    </w:p>
    <w:p>
      <w:pPr>
        <w:spacing w:after="0" w:line="21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13.1 At all times during the term of this Agreement, Client shall secure and maintain at its sole cost and expense the following minimum insurance coverage with financially sound and nationally reputable insurers with a minimum of A.M. Best Financial Strength Rating of A and Financial Size Rating of X. The requirements for such insurance coverage are as follows:</w:t>
      </w:r>
    </w:p>
    <w:p>
      <w:pPr>
        <w:spacing w:after="0" w:line="181" w:lineRule="exact"/>
        <w:rPr>
          <w:sz w:val="20"/>
          <w:szCs w:val="20"/>
          <w:color w:val="auto"/>
        </w:rPr>
      </w:pPr>
    </w:p>
    <w:p>
      <w:pPr>
        <w:jc w:val="both"/>
        <w:ind w:firstLine="656"/>
        <w:spacing w:after="0" w:line="237" w:lineRule="auto"/>
        <w:tabs>
          <w:tab w:leader="none" w:pos="1106" w:val="left"/>
        </w:tabs>
        <w:numPr>
          <w:ilvl w:val="0"/>
          <w:numId w:val="3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Client shall ensure that Bank and the Bancorp, Inc., the parent company of Bank, are at all times named as additional insured’s on a primary basis under the Client’s Cyber Liability, Professional Liability and Commercial General Liability insurance with no Insured versus Insured exclusion relating to claims brought by The Bancorp, Inc. and/or Bank against Client. Client shall ensure that The Bancorp, Inc. and Bank are at all times named as loss payees under the Crime insurance. If any insurance is written on a Claims-Made form, the retroactive date shall be prior to the Effective Date and shall remain in force for a minimum of [***] after the expiration or termination of this Agreement. Coverage territory shall include claims brought in the United States and worldwide, if applicable. Each policy shall include a provision providing 30 days advance written notice to Bank of any material change or cancellation in coverage or limits. Client agrees to provide Bank with a Certificate of Insurance evidencing such required insurance upon Bank’s request. Upon Bank’s request, Client agrees to provide copies of the required insurance policies. Client agrees to maintain other types of insurance and/or additional amounts as is reasonable within the industry providing comparable coverages. Client shall require permitted subcontractors and clients of Client to maintain similar insurance as Client is required to maintain hereunder. Except for workers’ compensation, Client agrees to waive, and will require its insurers to waive, </w:t>
      </w: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22"/>
          <w:szCs w:val="22"/>
          <w:color w:val="auto"/>
        </w:rPr>
        <w:t>ll rights of subrogation against Bank. Client agrees that its deductible or retention under each insurance policy or policies shall not exceed a total of [***].</w:t>
      </w:r>
    </w:p>
    <w:p>
      <w:pPr>
        <w:spacing w:after="0" w:line="188"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3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Client shall secure and maintain the following minimum insurance coverages:</w:t>
      </w:r>
    </w:p>
    <w:p>
      <w:pPr>
        <w:spacing w:after="0" w:line="206" w:lineRule="exact"/>
        <w:rPr>
          <w:rFonts w:ascii="Times New Roman" w:cs="Times New Roman" w:eastAsia="Times New Roman" w:hAnsi="Times New Roman"/>
          <w:sz w:val="22"/>
          <w:szCs w:val="22"/>
          <w:color w:val="auto"/>
        </w:rPr>
      </w:pPr>
    </w:p>
    <w:p>
      <w:pPr>
        <w:ind w:left="2380" w:hanging="428"/>
        <w:spacing w:after="0"/>
        <w:tabs>
          <w:tab w:leader="none" w:pos="2380" w:val="left"/>
        </w:tabs>
        <w:numPr>
          <w:ilvl w:val="1"/>
          <w:numId w:val="3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Professional Liability (Error and Omissions) [***] per occurrence/ [***] aggregate)</w:t>
      </w:r>
    </w:p>
    <w:p>
      <w:pPr>
        <w:spacing w:after="0" w:line="219" w:lineRule="exact"/>
        <w:rPr>
          <w:rFonts w:ascii="Times New Roman" w:cs="Times New Roman" w:eastAsia="Times New Roman" w:hAnsi="Times New Roman"/>
          <w:sz w:val="22"/>
          <w:szCs w:val="22"/>
          <w:color w:val="auto"/>
        </w:rPr>
      </w:pPr>
    </w:p>
    <w:p>
      <w:pPr>
        <w:ind w:left="2440" w:hanging="488"/>
        <w:spacing w:after="0"/>
        <w:tabs>
          <w:tab w:leader="none" w:pos="2440" w:val="left"/>
        </w:tabs>
        <w:numPr>
          <w:ilvl w:val="1"/>
          <w:numId w:val="3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 General Liability ([***] per occurrence/ [***] aggregate)</w:t>
      </w:r>
    </w:p>
    <w:p>
      <w:pPr>
        <w:spacing w:after="0" w:line="206" w:lineRule="exact"/>
        <w:rPr>
          <w:rFonts w:ascii="Times New Roman" w:cs="Times New Roman" w:eastAsia="Times New Roman" w:hAnsi="Times New Roman"/>
          <w:sz w:val="22"/>
          <w:szCs w:val="22"/>
          <w:color w:val="auto"/>
        </w:rPr>
      </w:pPr>
    </w:p>
    <w:p>
      <w:pPr>
        <w:ind w:left="2480" w:hanging="528"/>
        <w:spacing w:after="0"/>
        <w:tabs>
          <w:tab w:leader="none" w:pos="2480" w:val="left"/>
        </w:tabs>
        <w:numPr>
          <w:ilvl w:val="1"/>
          <w:numId w:val="3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Workers’ Compensation as required by Applicable Law</w:t>
      </w:r>
    </w:p>
    <w:p>
      <w:pPr>
        <w:spacing w:after="0" w:line="215"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3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Cyber Liability ([***] per </w:t>
      </w:r>
      <w:r>
        <w:rPr>
          <w:rFonts w:ascii="Times New Roman" w:cs="Times New Roman" w:eastAsia="Times New Roman" w:hAnsi="Times New Roman"/>
          <w:sz w:val="22"/>
          <w:szCs w:val="22"/>
          <w:b w:val="1"/>
          <w:bCs w:val="1"/>
          <w:color w:val="auto"/>
        </w:rPr>
        <w:t>o</w:t>
      </w:r>
      <w:r>
        <w:rPr>
          <w:rFonts w:ascii="Times New Roman" w:cs="Times New Roman" w:eastAsia="Times New Roman" w:hAnsi="Times New Roman"/>
          <w:sz w:val="22"/>
          <w:szCs w:val="22"/>
          <w:color w:val="auto"/>
        </w:rPr>
        <w:t>ccurrence/[***] aggregate) which shall include:</w:t>
      </w:r>
    </w:p>
    <w:p>
      <w:pPr>
        <w:spacing w:after="0" w:line="210" w:lineRule="exact"/>
        <w:rPr>
          <w:rFonts w:ascii="Times New Roman" w:cs="Times New Roman" w:eastAsia="Times New Roman" w:hAnsi="Times New Roman"/>
          <w:sz w:val="22"/>
          <w:szCs w:val="22"/>
          <w:color w:val="auto"/>
        </w:rPr>
      </w:pPr>
    </w:p>
    <w:p>
      <w:pPr>
        <w:ind w:left="2380" w:hanging="428"/>
        <w:spacing w:after="0"/>
        <w:tabs>
          <w:tab w:leader="none" w:pos="2380" w:val="left"/>
        </w:tabs>
        <w:numPr>
          <w:ilvl w:val="1"/>
          <w:numId w:val="3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Security and Privacy Breach Coverage,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Master Services Agreement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AND PROPRIETARY</w:t>
      </w:r>
    </w:p>
    <w:p>
      <w:pPr>
        <w:sectPr>
          <w:pgSz w:w="11900" w:h="16838" w:orient="portrait"/>
          <w:cols w:equalWidth="0" w:num="1">
            <w:col w:w="11240"/>
          </w:cols>
          <w:pgMar w:left="320" w:top="124" w:right="339" w:bottom="1440" w:gutter="0" w:footer="0" w:header="0"/>
        </w:sectPr>
      </w:pPr>
    </w:p>
    <w:bookmarkStart w:id="471" w:name="page472"/>
    <w:bookmarkEnd w:id="471"/>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440" w:hanging="488"/>
        <w:spacing w:after="0"/>
        <w:tabs>
          <w:tab w:leader="none" w:pos="2440" w:val="left"/>
        </w:tabs>
        <w:numPr>
          <w:ilvl w:val="0"/>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Media Coverage;</w:t>
      </w:r>
    </w:p>
    <w:p>
      <w:pPr>
        <w:spacing w:after="0" w:line="219" w:lineRule="exact"/>
        <w:rPr>
          <w:rFonts w:ascii="Times New Roman" w:cs="Times New Roman" w:eastAsia="Times New Roman" w:hAnsi="Times New Roman"/>
          <w:sz w:val="22"/>
          <w:szCs w:val="22"/>
          <w:color w:val="auto"/>
        </w:rPr>
      </w:pPr>
    </w:p>
    <w:p>
      <w:pPr>
        <w:ind w:left="2500" w:hanging="548"/>
        <w:spacing w:after="0"/>
        <w:tabs>
          <w:tab w:leader="none" w:pos="2500" w:val="left"/>
        </w:tabs>
        <w:numPr>
          <w:ilvl w:val="0"/>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Network Interruption Coverage including:</w:t>
      </w:r>
    </w:p>
    <w:p>
      <w:pPr>
        <w:spacing w:after="0" w:line="219" w:lineRule="exact"/>
        <w:rPr>
          <w:rFonts w:ascii="Times New Roman" w:cs="Times New Roman" w:eastAsia="Times New Roman" w:hAnsi="Times New Roman"/>
          <w:sz w:val="22"/>
          <w:szCs w:val="22"/>
          <w:color w:val="auto"/>
        </w:rPr>
      </w:pPr>
    </w:p>
    <w:p>
      <w:pPr>
        <w:ind w:left="2980" w:hanging="380"/>
        <w:spacing w:after="0"/>
        <w:tabs>
          <w:tab w:leader="none" w:pos="2980" w:val="left"/>
        </w:tabs>
        <w:numPr>
          <w:ilvl w:val="1"/>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Extra Expenses that would not have been incurred by for a cyber security breach; and</w:t>
      </w:r>
    </w:p>
    <w:p>
      <w:pPr>
        <w:spacing w:after="0" w:line="233" w:lineRule="exact"/>
        <w:rPr>
          <w:rFonts w:ascii="Times New Roman" w:cs="Times New Roman" w:eastAsia="Times New Roman" w:hAnsi="Times New Roman"/>
          <w:sz w:val="22"/>
          <w:szCs w:val="22"/>
          <w:color w:val="auto"/>
        </w:rPr>
      </w:pPr>
    </w:p>
    <w:p>
      <w:pPr>
        <w:ind w:left="2980" w:hanging="380"/>
        <w:spacing w:after="0"/>
        <w:tabs>
          <w:tab w:leader="none" w:pos="2980" w:val="left"/>
        </w:tabs>
        <w:numPr>
          <w:ilvl w:val="1"/>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income losses resulting from a cyber breach (e.g. denial of service).</w:t>
      </w:r>
    </w:p>
    <w:p>
      <w:pPr>
        <w:spacing w:after="0" w:line="219" w:lineRule="exact"/>
        <w:rPr>
          <w:rFonts w:ascii="Times New Roman" w:cs="Times New Roman" w:eastAsia="Times New Roman" w:hAnsi="Times New Roman"/>
          <w:sz w:val="22"/>
          <w:szCs w:val="22"/>
          <w:color w:val="auto"/>
        </w:rPr>
      </w:pPr>
    </w:p>
    <w:p>
      <w:pPr>
        <w:ind w:left="2480" w:hanging="528"/>
        <w:spacing w:after="0"/>
        <w:tabs>
          <w:tab w:leader="none" w:pos="2480" w:val="left"/>
        </w:tabs>
        <w:numPr>
          <w:ilvl w:val="0"/>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Crisis Management Coverage including:</w:t>
      </w:r>
    </w:p>
    <w:p>
      <w:pPr>
        <w:spacing w:after="0" w:line="219" w:lineRule="exact"/>
        <w:rPr>
          <w:rFonts w:ascii="Times New Roman" w:cs="Times New Roman" w:eastAsia="Times New Roman" w:hAnsi="Times New Roman"/>
          <w:sz w:val="22"/>
          <w:szCs w:val="22"/>
          <w:color w:val="auto"/>
        </w:rPr>
      </w:pPr>
    </w:p>
    <w:p>
      <w:pPr>
        <w:ind w:left="2980" w:hanging="380"/>
        <w:spacing w:after="0"/>
        <w:tabs>
          <w:tab w:leader="none" w:pos="2980" w:val="left"/>
        </w:tabs>
        <w:numPr>
          <w:ilvl w:val="1"/>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Forensic Costs;</w:t>
      </w:r>
    </w:p>
    <w:p>
      <w:pPr>
        <w:spacing w:after="0" w:line="219" w:lineRule="exact"/>
        <w:rPr>
          <w:rFonts w:ascii="Times New Roman" w:cs="Times New Roman" w:eastAsia="Times New Roman" w:hAnsi="Times New Roman"/>
          <w:sz w:val="22"/>
          <w:szCs w:val="22"/>
          <w:color w:val="auto"/>
        </w:rPr>
      </w:pPr>
    </w:p>
    <w:p>
      <w:pPr>
        <w:ind w:left="2980" w:hanging="380"/>
        <w:spacing w:after="0"/>
        <w:tabs>
          <w:tab w:leader="none" w:pos="2980" w:val="left"/>
        </w:tabs>
        <w:numPr>
          <w:ilvl w:val="1"/>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Public Relations Expenses;</w:t>
      </w:r>
    </w:p>
    <w:p>
      <w:pPr>
        <w:spacing w:after="0" w:line="219" w:lineRule="exact"/>
        <w:rPr>
          <w:rFonts w:ascii="Times New Roman" w:cs="Times New Roman" w:eastAsia="Times New Roman" w:hAnsi="Times New Roman"/>
          <w:sz w:val="22"/>
          <w:szCs w:val="22"/>
          <w:color w:val="auto"/>
        </w:rPr>
      </w:pPr>
    </w:p>
    <w:p>
      <w:pPr>
        <w:ind w:left="2980" w:hanging="380"/>
        <w:spacing w:after="0"/>
        <w:tabs>
          <w:tab w:leader="none" w:pos="2980" w:val="left"/>
        </w:tabs>
        <w:numPr>
          <w:ilvl w:val="1"/>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Privacy Notification Expenses; and</w:t>
      </w:r>
    </w:p>
    <w:p>
      <w:pPr>
        <w:spacing w:after="0" w:line="233" w:lineRule="exact"/>
        <w:rPr>
          <w:rFonts w:ascii="Times New Roman" w:cs="Times New Roman" w:eastAsia="Times New Roman" w:hAnsi="Times New Roman"/>
          <w:sz w:val="22"/>
          <w:szCs w:val="22"/>
          <w:color w:val="auto"/>
        </w:rPr>
      </w:pPr>
    </w:p>
    <w:p>
      <w:pPr>
        <w:ind w:left="2980" w:hanging="380"/>
        <w:spacing w:after="0"/>
        <w:tabs>
          <w:tab w:leader="none" w:pos="2980" w:val="left"/>
        </w:tabs>
        <w:numPr>
          <w:ilvl w:val="1"/>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Credit Monitoring Expenses.</w:t>
      </w:r>
    </w:p>
    <w:p>
      <w:pPr>
        <w:spacing w:after="0" w:line="219" w:lineRule="exact"/>
        <w:rPr>
          <w:rFonts w:ascii="Times New Roman" w:cs="Times New Roman" w:eastAsia="Times New Roman" w:hAnsi="Times New Roman"/>
          <w:sz w:val="22"/>
          <w:szCs w:val="22"/>
          <w:color w:val="auto"/>
        </w:rPr>
      </w:pPr>
    </w:p>
    <w:p>
      <w:pPr>
        <w:ind w:left="2980" w:hanging="380"/>
        <w:spacing w:after="0"/>
        <w:tabs>
          <w:tab w:leader="none" w:pos="2980" w:val="left"/>
        </w:tabs>
        <w:numPr>
          <w:ilvl w:val="1"/>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Regulatory Proceedings Coverage; and</w:t>
      </w:r>
    </w:p>
    <w:p>
      <w:pPr>
        <w:spacing w:after="0" w:line="219" w:lineRule="exact"/>
        <w:rPr>
          <w:rFonts w:ascii="Times New Roman" w:cs="Times New Roman" w:eastAsia="Times New Roman" w:hAnsi="Times New Roman"/>
          <w:sz w:val="22"/>
          <w:szCs w:val="22"/>
          <w:color w:val="auto"/>
        </w:rPr>
      </w:pPr>
    </w:p>
    <w:p>
      <w:pPr>
        <w:ind w:left="2980" w:hanging="380"/>
        <w:spacing w:after="0"/>
        <w:tabs>
          <w:tab w:leader="none" w:pos="2980" w:val="left"/>
        </w:tabs>
        <w:numPr>
          <w:ilvl w:val="1"/>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PCI Fines &amp; Penalties Coverage.</w:t>
      </w:r>
    </w:p>
    <w:p>
      <w:pPr>
        <w:spacing w:after="0" w:line="216"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22"/>
          <w:szCs w:val="22"/>
          <w:color w:val="auto"/>
        </w:rPr>
        <w:t xml:space="preserve">13.2 </w:t>
      </w:r>
      <w:r>
        <w:rPr>
          <w:rFonts w:ascii="Times New Roman" w:cs="Times New Roman" w:eastAsia="Times New Roman" w:hAnsi="Times New Roman"/>
          <w:sz w:val="22"/>
          <w:szCs w:val="22"/>
          <w:u w:val="single" w:color="auto"/>
          <w:color w:val="auto"/>
        </w:rPr>
        <w:t>Subcontractors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Client shall cause its third parties approved by Bank to maintain appropriate insurance coverages based on the scope and nature of the services provided by such third parties.</w:t>
      </w:r>
    </w:p>
    <w:p>
      <w:pPr>
        <w:spacing w:after="0" w:line="149" w:lineRule="exact"/>
        <w:rPr>
          <w:sz w:val="20"/>
          <w:szCs w:val="20"/>
          <w:color w:val="auto"/>
        </w:rPr>
      </w:pPr>
    </w:p>
    <w:p>
      <w:pPr>
        <w:ind w:left="500" w:hanging="492"/>
        <w:spacing w:after="0"/>
        <w:tabs>
          <w:tab w:leader="none" w:pos="500" w:val="left"/>
        </w:tabs>
        <w:numPr>
          <w:ilvl w:val="0"/>
          <w:numId w:val="3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LIMITATION OF LIABILITY</w:t>
      </w:r>
    </w:p>
    <w:p>
      <w:pPr>
        <w:spacing w:after="0" w:line="23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14.1 </w:t>
      </w:r>
      <w:r>
        <w:rPr>
          <w:rFonts w:ascii="Times New Roman" w:cs="Times New Roman" w:eastAsia="Times New Roman" w:hAnsi="Times New Roman"/>
          <w:sz w:val="22"/>
          <w:szCs w:val="22"/>
          <w:u w:val="single" w:color="auto"/>
          <w:color w:val="auto"/>
        </w:rPr>
        <w:t>No Special Damages</w:t>
      </w:r>
      <w:r>
        <w:rPr>
          <w:rFonts w:ascii="Times New Roman" w:cs="Times New Roman" w:eastAsia="Times New Roman" w:hAnsi="Times New Roman"/>
          <w:sz w:val="22"/>
          <w:szCs w:val="22"/>
          <w:color w:val="auto"/>
        </w:rPr>
        <w:t>. UNLESS OTHERWISE AGREED, IN NO EVENT SHALL EITHER PARTY BE LIABLE TO THE OTHER WHETHER IN CONTRACT, TORT, EQUITY OR OTHERWISE FOR ANY INDIRECT, INCIDENTAL, CONSEQUENTIAL, SPECIAL, PUNITIVE OR EXEMPLARY DAMAGES, INCLUDING, BUT NOT LIMITED TO, LOST PROFITS, EVEN IF SUCH PARTY HAS KNOWLEDGE OF THE POSSIBILITY OF SUCH DAMAGES ARISING FROM OR RELATED TO THIS AGREEMENT PROVIDED, HOWEVER, THAT THE LIMITATIONS SET FORTH IN THIS SECTION SHALL NOT APPLY TO OR IN ANY WAY LIMIT THE INDEMNITY OBLIGATIONS UNDER THIS AGREEMENT.</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14.2 </w:t>
      </w:r>
      <w:r>
        <w:rPr>
          <w:rFonts w:ascii="Times New Roman" w:cs="Times New Roman" w:eastAsia="Times New Roman" w:hAnsi="Times New Roman"/>
          <w:sz w:val="22"/>
          <w:szCs w:val="22"/>
          <w:u w:val="single" w:color="auto"/>
          <w:color w:val="auto"/>
        </w:rPr>
        <w:t>Disclaimers of Warranties</w:t>
      </w:r>
      <w:r>
        <w:rPr>
          <w:rFonts w:ascii="Times New Roman" w:cs="Times New Roman" w:eastAsia="Times New Roman" w:hAnsi="Times New Roman"/>
          <w:sz w:val="22"/>
          <w:szCs w:val="22"/>
          <w:color w:val="auto"/>
        </w:rPr>
        <w:t>. EACH OF BANK AND CLIENT SPECIFICALLY DISCLAIMS ALL WARRANTIES OF ANY KIND, EXPRESS OR IMPLIED, ARISING OUT OF OR RELATED TO THIS AGREEMENT, INCLUDING WITHOUT LIMITATION, ANY WARRANTY OF MARKETABILITY, FITNESS FOR A PARTICULAR PURPOSE OR NON-INFRINGEMENT, AND IMPLIED WARRANTIES ARISING FROM COURSE OF DEALING OR COURSE OF PERFORMANCE, EACH OF WHICH IS HEREBY EXCLUDED BY AGREEMENT OF THE PARTIES.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Master Services Agreement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AND PROPRIETARY</w:t>
      </w:r>
    </w:p>
    <w:p>
      <w:pPr>
        <w:sectPr>
          <w:pgSz w:w="11900" w:h="16838" w:orient="portrait"/>
          <w:cols w:equalWidth="0" w:num="1">
            <w:col w:w="11240"/>
          </w:cols>
          <w:pgMar w:left="320" w:top="124" w:right="339" w:bottom="1440" w:gutter="0" w:footer="0" w:header="0"/>
        </w:sectPr>
      </w:pPr>
    </w:p>
    <w:bookmarkStart w:id="472" w:name="page473"/>
    <w:bookmarkEnd w:id="472"/>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00" w:hanging="492"/>
        <w:spacing w:after="0"/>
        <w:tabs>
          <w:tab w:leader="none" w:pos="500" w:val="left"/>
        </w:tabs>
        <w:numPr>
          <w:ilvl w:val="0"/>
          <w:numId w:val="3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DISPUTES</w:t>
      </w:r>
    </w:p>
    <w:p>
      <w:pPr>
        <w:spacing w:after="0" w:line="21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 xml:space="preserve">15.1 </w:t>
      </w:r>
      <w:r>
        <w:rPr>
          <w:rFonts w:ascii="Times New Roman" w:cs="Times New Roman" w:eastAsia="Times New Roman" w:hAnsi="Times New Roman"/>
          <w:sz w:val="22"/>
          <w:szCs w:val="22"/>
          <w:u w:val="single" w:color="auto"/>
          <w:color w:val="auto"/>
        </w:rPr>
        <w:t>Duty to Notify</w:t>
      </w:r>
      <w:r>
        <w:rPr>
          <w:rFonts w:ascii="Times New Roman" w:cs="Times New Roman" w:eastAsia="Times New Roman" w:hAnsi="Times New Roman"/>
          <w:sz w:val="22"/>
          <w:szCs w:val="22"/>
          <w:color w:val="auto"/>
        </w:rPr>
        <w:t>. In the event of any dispute, controversy, or claim between the Parties arising out of or relating to this Agreement or the construction, interpretation, performance, breach, termination, enforceability or validity thereof (hereinafter, a “Dispute”), the Party raising such Dispute shall notify the other promptly and no later than [***] from the date of its discovery of the Dispute. In the case of a Dispute relating to amounts paid under an Addendum or similar matter, the failure of a Party to notify the other Party of such Dispute within [***] from the date of its receipt shall result in such matter being deemed undisputed and accepted by the Party attempting to raise such Dispute.</w:t>
      </w:r>
    </w:p>
    <w:p>
      <w:pPr>
        <w:spacing w:after="0" w:line="19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15.2 </w:t>
      </w:r>
      <w:r>
        <w:rPr>
          <w:rFonts w:ascii="Times New Roman" w:cs="Times New Roman" w:eastAsia="Times New Roman" w:hAnsi="Times New Roman"/>
          <w:sz w:val="22"/>
          <w:szCs w:val="22"/>
          <w:u w:val="single" w:color="auto"/>
          <w:color w:val="auto"/>
        </w:rPr>
        <w:t>Cooperation to Resolve Disputes</w:t>
      </w:r>
      <w:r>
        <w:rPr>
          <w:rFonts w:ascii="Times New Roman" w:cs="Times New Roman" w:eastAsia="Times New Roman" w:hAnsi="Times New Roman"/>
          <w:sz w:val="22"/>
          <w:szCs w:val="22"/>
          <w:color w:val="auto"/>
        </w:rPr>
        <w:t>. The Parties shall cooperate and attempt in good faith to resolve any Dispute promptly by negotiating between persons who have authority to settle the Dispute and who are at a higher level of management than the persons with direct responsibility for administration and performance of the provisions or obligations of this Agreement that are the subject of the Dispute.</w:t>
      </w:r>
    </w:p>
    <w:p>
      <w:pPr>
        <w:spacing w:after="0" w:line="17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 xml:space="preserve">15.3 </w:t>
      </w:r>
      <w:r>
        <w:rPr>
          <w:rFonts w:ascii="Times New Roman" w:cs="Times New Roman" w:eastAsia="Times New Roman" w:hAnsi="Times New Roman"/>
          <w:sz w:val="21"/>
          <w:szCs w:val="21"/>
          <w:u w:val="single" w:color="auto"/>
          <w:color w:val="auto"/>
        </w:rPr>
        <w:t>Arbitration</w:t>
      </w:r>
      <w:r>
        <w:rPr>
          <w:rFonts w:ascii="Times New Roman" w:cs="Times New Roman" w:eastAsia="Times New Roman" w:hAnsi="Times New Roman"/>
          <w:sz w:val="21"/>
          <w:szCs w:val="21"/>
          <w:color w:val="auto"/>
        </w:rPr>
        <w:t>. Any Dispute which cannot otherwise be resolved as provided in paragraph Sections 15.1 or 15.2 above shall be resolved by arbitration conducted in accordance with the commercial arbitration rules of the American Arbitration Association, and judgment upon the award rendered by the arbitral tribunal may be entered in any court having jurisdiction thereof. The arbitration tribunal shall consist of a single arbitrator mutually agreed upon by the Parties, or in the absence of such agreement within [***] from the first referral of the dispute to the American Arbitration Association, designated by the American Arbitration Asso</w:t>
      </w:r>
      <w:r>
        <w:rPr>
          <w:rFonts w:ascii="Times New Roman" w:cs="Times New Roman" w:eastAsia="Times New Roman" w:hAnsi="Times New Roman"/>
          <w:sz w:val="21"/>
          <w:szCs w:val="21"/>
          <w:b w:val="1"/>
          <w:bCs w:val="1"/>
          <w:color w:val="auto"/>
        </w:rPr>
        <w:t>c</w:t>
      </w:r>
      <w:r>
        <w:rPr>
          <w:rFonts w:ascii="Times New Roman" w:cs="Times New Roman" w:eastAsia="Times New Roman" w:hAnsi="Times New Roman"/>
          <w:sz w:val="21"/>
          <w:szCs w:val="21"/>
          <w:color w:val="auto"/>
        </w:rPr>
        <w:t>iation. The place of arbitration shall be Wilmington, Delaware, unless the Parties shall have agreed to another location within [***] from the first referral of the dispute to the American Arbitration Association. The arbitral award shall be final and binding, the Parties waive any right to appeal the arbitral award; to the extent a right to appeal may be lawfully waived. Each Party retains the right to seek judicial assistance: (i) to compel arbitration, (ii) to obtain interim measures of protection prior to or pending arbitration, (iii) to seek injunctive relief in the courts of any jurisdiction as may be necessary and appropriate to protect the unauthorized disclosure of its proprietary or confidential information, and (iv) to enforce any decision of the arbitrator, including the final award. In no event shall either Party be entitled to punitive, exemplary or similar damages.</w:t>
      </w:r>
    </w:p>
    <w:p>
      <w:pPr>
        <w:spacing w:after="0" w:line="16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 xml:space="preserve">15.4 </w:t>
      </w:r>
      <w:r>
        <w:rPr>
          <w:rFonts w:ascii="Times New Roman" w:cs="Times New Roman" w:eastAsia="Times New Roman" w:hAnsi="Times New Roman"/>
          <w:sz w:val="22"/>
          <w:szCs w:val="22"/>
          <w:u w:val="single" w:color="auto"/>
          <w:color w:val="auto"/>
        </w:rPr>
        <w:t>Confidentiality of Proceedings</w:t>
      </w:r>
      <w:r>
        <w:rPr>
          <w:rFonts w:ascii="Times New Roman" w:cs="Times New Roman" w:eastAsia="Times New Roman" w:hAnsi="Times New Roman"/>
          <w:sz w:val="22"/>
          <w:szCs w:val="22"/>
          <w:color w:val="auto"/>
        </w:rPr>
        <w:t>. The arbitration proceedings contemplated by this section shall be as confidential and private as permitted by law, provided however that Bank is permitted to disclose the proceedings to accountants, legal counsel and professional advisors. To that end, the Parties shall not disclose the existence, content or results of any proceedings conducted in accordance with this section, and materials submitted in connection with such proceedings shall not be admissible in any other proceeding, provided, however, that this confidentiality provision shall not prevent a petition to vacate or enforce an arbitral award, and shall not bar disclosures required by any laws or regulations.</w:t>
      </w:r>
    </w:p>
    <w:p>
      <w:pPr>
        <w:spacing w:after="0" w:line="173" w:lineRule="exact"/>
        <w:rPr>
          <w:sz w:val="20"/>
          <w:szCs w:val="20"/>
          <w:color w:val="auto"/>
        </w:rPr>
      </w:pPr>
    </w:p>
    <w:p>
      <w:pPr>
        <w:ind w:left="500" w:hanging="492"/>
        <w:spacing w:after="0"/>
        <w:tabs>
          <w:tab w:leader="none" w:pos="500" w:val="left"/>
        </w:tabs>
        <w:numPr>
          <w:ilvl w:val="0"/>
          <w:numId w:val="3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INDEMNIFICATION</w:t>
      </w:r>
    </w:p>
    <w:p>
      <w:pPr>
        <w:spacing w:after="0" w:line="22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color w:val="auto"/>
        </w:rPr>
        <w:t>16.1</w:t>
      </w:r>
      <w:r>
        <w:rPr>
          <w:sz w:val="20"/>
          <w:szCs w:val="20"/>
          <w:color w:val="auto"/>
        </w:rPr>
        <w:tab/>
      </w:r>
      <w:r>
        <w:rPr>
          <w:rFonts w:ascii="Times New Roman" w:cs="Times New Roman" w:eastAsia="Times New Roman" w:hAnsi="Times New Roman"/>
          <w:sz w:val="21"/>
          <w:szCs w:val="21"/>
          <w:u w:val="single" w:color="auto"/>
          <w:color w:val="auto"/>
        </w:rPr>
        <w:t>Indemnification</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Master Services Agreement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AND PROPRIETARY</w:t>
      </w:r>
    </w:p>
    <w:p>
      <w:pPr>
        <w:sectPr>
          <w:pgSz w:w="11900" w:h="16838" w:orient="portrait"/>
          <w:cols w:equalWidth="0" w:num="1">
            <w:col w:w="11240"/>
          </w:cols>
          <w:pgMar w:left="320" w:top="124" w:right="339" w:bottom="1440" w:gutter="0" w:footer="0" w:header="0"/>
        </w:sectPr>
      </w:pPr>
    </w:p>
    <w:bookmarkStart w:id="473" w:name="page474"/>
    <w:bookmarkEnd w:id="473"/>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656"/>
        <w:spacing w:after="0" w:line="238" w:lineRule="auto"/>
        <w:tabs>
          <w:tab w:leader="none" w:pos="1196" w:val="left"/>
        </w:tabs>
        <w:numPr>
          <w:ilvl w:val="0"/>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Client covenants and agrees to indemnify and hold harmless Bank, its parent, subsidiaries or affiliates, and their respective officers, directors, employees and permitted assigns, as such, against any direct losses or expenses arising from any legal action, claim, demand or proceedings brought against any of them as a result of any misrepresentation, breach of warranty, Customer claim, or failure to fulfill a covenant of this Agreement on the part of Client, any act or omission of Client or its providers which violates any by-laws, Rules, or Applicable Law, any claim relating to obligations owed to or by Client or any third party retained by it, or any claim by a Customer or prospective Customer relating to the Program; provided, that this provision shall not apply if such claim arises out of (i) an act of fraud, embezzlement or criminal activity by Bank or its representatives, (ii) gross negligence, willful misconduct or bad faith by Bank or its representatives, or (iii) the failure of Bank or its representatives to comply with, or to perform its obligations under, this Agreement.</w:t>
      </w:r>
    </w:p>
    <w:p>
      <w:pPr>
        <w:spacing w:after="0" w:line="199" w:lineRule="exact"/>
        <w:rPr>
          <w:rFonts w:ascii="Times New Roman" w:cs="Times New Roman" w:eastAsia="Times New Roman" w:hAnsi="Times New Roman"/>
          <w:sz w:val="22"/>
          <w:szCs w:val="22"/>
          <w:color w:val="auto"/>
        </w:rPr>
      </w:pPr>
    </w:p>
    <w:p>
      <w:pPr>
        <w:jc w:val="both"/>
        <w:ind w:firstLine="656"/>
        <w:spacing w:after="0" w:line="238" w:lineRule="auto"/>
        <w:tabs>
          <w:tab w:leader="none" w:pos="1142" w:val="left"/>
        </w:tabs>
        <w:numPr>
          <w:ilvl w:val="0"/>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 covenants and agrees to indemnify and hold harmless Client and its parent, subsidiaries or affiliates, and their respective officers, directors, employees, and permitted assigns, as such, against any direct, losses or expenses arising from any third party legal action, claim, demand, or proceedings brought against any of them as a result of any misrepresentation, breach of warranty, or failure to fulfill a covenant of this Agreement on the part of Bank (including any Customer claim arising therefrom), any act or omission of Bank or its providers which violates any law, by-laws or Applicable Law, or any claim relating to obligations owed to or by Bank or any third party retained by it (except to the extent that Client has agreed to fulfill such obligation under this Agreement), provided, that this provision shall not apply if such claim arises out of (i) an act of fraud, embezzlement or criminal activity by Client or its representatives, (ii) gross negligence, willful misconduct or bad faith by Client or its representatives, or (iii) the failure of Client or its representatives to comply with, or to perform its obligations under, this Agreement.</w:t>
      </w:r>
    </w:p>
    <w:p>
      <w:pPr>
        <w:spacing w:after="0" w:line="177" w:lineRule="exact"/>
        <w:rPr>
          <w:rFonts w:ascii="Times New Roman" w:cs="Times New Roman" w:eastAsia="Times New Roman" w:hAnsi="Times New Roman"/>
          <w:sz w:val="22"/>
          <w:szCs w:val="22"/>
          <w:color w:val="auto"/>
        </w:rPr>
      </w:pPr>
    </w:p>
    <w:p>
      <w:pPr>
        <w:jc w:val="both"/>
        <w:ind w:firstLine="656"/>
        <w:spacing w:after="0" w:line="250" w:lineRule="auto"/>
        <w:tabs>
          <w:tab w:leader="none" w:pos="1111" w:val="left"/>
        </w:tabs>
        <w:numPr>
          <w:ilvl w:val="0"/>
          <w:numId w:val="3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claim or demand is asserted against any Party or Parties (individually or collectively, the “Indemnified Party”) by any person who is not a Party to this Agreement in respect of which the Indemnified Party may be entitled to indemnification under the provisions of subsections (a) or (b) above, written notice of such claim or demand shall promptly be given to any Party or Parties (individually or collectively, the “Indemnifying Party”) from whom indemnification may be sought. The Indemnifying Party shall have the right, by notifying the Indemnified Party within [***] of its receipt of the notice of the claim or demand, to assume the entire control (subject to the right of the Indemnified Party to Participate at the Indemnified Party’s expense and with counsel of the Indemnified Party’s choice) of the defense, compromise or settlement of the matter, including, at the Indemnifying Party’s expense, employment of counsel of the Indemnifying Party’s choice. Any counsel retained by the Indemnifying Party for such purposes shall be reasonably acceptable to the Indemnified Party. The Indemnifying Party shall institute and maintain any such defense diligently and reasonably and shall keep the Indemnified Party fully advised as to the status thereof. If the Indemnifying Party gives notice to any Indemnified Party that the Indemnifying Party will assume control of the defense, compromise or settlement of the matter the Indemnifying Party will be deemed to have waived all defenses to the claims for indemnification by the Indemnified Party with respect to that matter. The Indemnified Party shall have the right to employ its own counsel if the Indemnified Party so elects to assume such defense, but the fees and expense of such counsel shall be at the Indemnified Party’s expense, unless (i) the employment of such counsel shall have been authorized in writing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Master Services Agreement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AND PROPRIETARY</w:t>
      </w:r>
    </w:p>
    <w:p>
      <w:pPr>
        <w:sectPr>
          <w:pgSz w:w="11900" w:h="16838" w:orient="portrait"/>
          <w:cols w:equalWidth="0" w:num="1">
            <w:col w:w="11240"/>
          </w:cols>
          <w:pgMar w:left="320" w:top="124" w:right="339" w:bottom="1440" w:gutter="0" w:footer="0" w:header="0"/>
        </w:sectPr>
      </w:pPr>
    </w:p>
    <w:bookmarkStart w:id="474" w:name="page475"/>
    <w:bookmarkEnd w:id="474"/>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22"/>
          <w:szCs w:val="22"/>
          <w:color w:val="auto"/>
        </w:rPr>
        <w:t>Indemnifying Party; (ii) such Indemnified Party shall have reasonably concluded that the interests of such parties are conflicting such that it would be inappropriate for the same counsel to represent both parties or shall have reasonably concluded that the ability of the parties to prevail in the defense of any claim are improved if separate counsel represents the Indemnified Party (in which case the Indemnifying Party shall not have the right to direct the defense of such action on behalf of the Indemnified Party), and in either of such events such reasonable fees and expenses shall be borne by the Indemnifying Party; and (iii) the Indemnifying Party shall have reasonably concluded that it is necessary to institute separate litigation, whether in the same or another court, in order to defend the claims asserted against it; or (iv) the Indemnifying Party shall have not employed counsel reasonably acceptable to the Indemnified Party to take charge of the defense or such action after electing to assume the defense thereof. Any damages to the assets or business of the Indemnified Party caused by a failure of the Indemnifying Party to defend, compromise or settle a claim or demand in a reasonable and expeditious manner, after the indemnifying Party has given notice that it will assume control of the defense, compromise or settlement of the matter, shall be included in the damages for which the Indemnifying Party shall be obligated to indemnify the Indemnified Party.</w:t>
      </w:r>
    </w:p>
    <w:p>
      <w:pPr>
        <w:spacing w:after="0" w:line="168" w:lineRule="exact"/>
        <w:rPr>
          <w:sz w:val="20"/>
          <w:szCs w:val="20"/>
          <w:color w:val="auto"/>
        </w:rPr>
      </w:pPr>
    </w:p>
    <w:p>
      <w:pPr>
        <w:ind w:right="2060" w:firstLine="656"/>
        <w:spacing w:after="0" w:line="429" w:lineRule="auto"/>
        <w:tabs>
          <w:tab w:leader="none" w:pos="1112" w:val="left"/>
        </w:tabs>
        <w:numPr>
          <w:ilvl w:val="0"/>
          <w:numId w:val="3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provisions of this Section 16.1 shall survive termination or expiration of this Agreement. 16.2 </w:t>
      </w:r>
      <w:r>
        <w:rPr>
          <w:rFonts w:ascii="Times New Roman" w:cs="Times New Roman" w:eastAsia="Times New Roman" w:hAnsi="Times New Roman"/>
          <w:sz w:val="22"/>
          <w:szCs w:val="22"/>
          <w:u w:val="single" w:color="auto"/>
          <w:color w:val="auto"/>
        </w:rPr>
        <w:t>Disclosure</w:t>
      </w:r>
      <w:r>
        <w:rPr>
          <w:rFonts w:ascii="Times New Roman" w:cs="Times New Roman" w:eastAsia="Times New Roman" w:hAnsi="Times New Roman"/>
          <w:sz w:val="22"/>
          <w:szCs w:val="22"/>
          <w:color w:val="auto"/>
        </w:rPr>
        <w:t>.</w:t>
      </w:r>
    </w:p>
    <w:p>
      <w:pPr>
        <w:jc w:val="both"/>
        <w:ind w:firstLine="656"/>
        <w:spacing w:after="0" w:line="244" w:lineRule="auto"/>
        <w:tabs>
          <w:tab w:leader="none" w:pos="1128" w:val="left"/>
        </w:tabs>
        <w:numPr>
          <w:ilvl w:val="0"/>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shall promptly notify the other of any action, suit, proceeding, facts and circumstances, and the threat of reasonable prospect of same, which might give rise to any indemnification hereunder or which might materially and adversely affect either Party’s ability to perform this Agreement.</w:t>
      </w:r>
    </w:p>
    <w:p>
      <w:pPr>
        <w:spacing w:after="0" w:line="159" w:lineRule="exact"/>
        <w:rPr>
          <w:rFonts w:ascii="Times New Roman" w:cs="Times New Roman" w:eastAsia="Times New Roman" w:hAnsi="Times New Roman"/>
          <w:sz w:val="22"/>
          <w:szCs w:val="22"/>
          <w:color w:val="auto"/>
        </w:rPr>
      </w:pPr>
    </w:p>
    <w:p>
      <w:pPr>
        <w:jc w:val="both"/>
        <w:ind w:firstLine="656"/>
        <w:spacing w:after="0" w:line="232" w:lineRule="auto"/>
        <w:tabs>
          <w:tab w:leader="none" w:pos="1165" w:val="left"/>
        </w:tabs>
        <w:numPr>
          <w:ilvl w:val="0"/>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represents and warrants to the other that it has no knowledge of any pending or threatened suit, action, arbitration or other proceedings of a legal, administrative or regulatory nature, or any governmental investigation, against it or any of its affiliates or any officer, director, or employee which has not been previously disclosed in writing and which would materially and adversely affect its financial condition, or its ability to perform this Agreement. The provisions of this Section 16.2 shall survive termination or expiration of this Agreement.</w:t>
      </w:r>
    </w:p>
    <w:p>
      <w:pPr>
        <w:spacing w:after="0" w:line="177" w:lineRule="exact"/>
        <w:rPr>
          <w:sz w:val="20"/>
          <w:szCs w:val="20"/>
          <w:color w:val="auto"/>
        </w:rPr>
      </w:pPr>
    </w:p>
    <w:p>
      <w:pPr>
        <w:ind w:left="500" w:hanging="492"/>
        <w:spacing w:after="0"/>
        <w:tabs>
          <w:tab w:leader="none" w:pos="500" w:val="left"/>
        </w:tabs>
        <w:numPr>
          <w:ilvl w:val="0"/>
          <w:numId w:val="3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SET-OFF AND OTHER BANK REMEDIES</w:t>
      </w:r>
    </w:p>
    <w:p>
      <w:pPr>
        <w:spacing w:after="0" w:line="210"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22"/>
          <w:szCs w:val="22"/>
          <w:color w:val="auto"/>
        </w:rPr>
        <w:t>In the event of any failure by Client to perform any of its obligations hereunder or under any Addendum hereto, Bank shall have all rights and remedies available to it at law or in equity except as otherwise provided herein. Without limiting the generality of the foregoing, Client acknowledges that Bank shall have a contractual and statutory right of set-off against, any and all Program Accounts or other accounts, Program Revenues, funds, monies, and other properties of Client at Bank or which come into possession of Bank including, without limitation, any fees payable by Bank to Client pursuant to this Agreement, for the purpose of satisfying the obligations of Client hereunder. Client agrees that none of Client’s deposits at Bank shall be considered “special” deposits unavailable for set-off by Bank unless Bank has specifically so agreed in a separate writing. Client further agrees that the rights and remedies of Bank described herein are in addition to all other rights which Bank may have at law or equity. The Parties acknowledge and</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Master Services Agreement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AND PROPRIETARY</w:t>
      </w:r>
    </w:p>
    <w:p>
      <w:pPr>
        <w:sectPr>
          <w:pgSz w:w="11900" w:h="16838" w:orient="portrait"/>
          <w:cols w:equalWidth="0" w:num="1">
            <w:col w:w="11240"/>
          </w:cols>
          <w:pgMar w:left="320" w:top="123" w:right="339" w:bottom="1440" w:gutter="0" w:footer="0" w:header="0"/>
        </w:sectPr>
      </w:pPr>
    </w:p>
    <w:bookmarkStart w:id="475" w:name="page476"/>
    <w:bookmarkEnd w:id="475"/>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agree that all Customer Funds shall be held in trust for the benefit of the Customers, and that neither Bank nor Client shall have an equitable interest in Customer Funds and such Customer Funds will not be used for any other purpose, including set-off.</w:t>
      </w:r>
    </w:p>
    <w:p>
      <w:pPr>
        <w:spacing w:after="0" w:line="141" w:lineRule="exact"/>
        <w:rPr>
          <w:sz w:val="20"/>
          <w:szCs w:val="20"/>
          <w:color w:val="auto"/>
        </w:rPr>
      </w:pPr>
    </w:p>
    <w:p>
      <w:pPr>
        <w:ind w:left="500" w:hanging="492"/>
        <w:spacing w:after="0"/>
        <w:tabs>
          <w:tab w:leader="none" w:pos="500" w:val="left"/>
        </w:tabs>
        <w:numPr>
          <w:ilvl w:val="0"/>
          <w:numId w:val="3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 PROVISIONS</w:t>
      </w:r>
    </w:p>
    <w:p>
      <w:pPr>
        <w:spacing w:after="0" w:line="210"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color w:val="auto"/>
        </w:rPr>
        <w:t>18.1</w:t>
      </w:r>
      <w:r>
        <w:rPr>
          <w:sz w:val="20"/>
          <w:szCs w:val="20"/>
          <w:color w:val="auto"/>
        </w:rPr>
        <w:tab/>
      </w:r>
      <w:r>
        <w:rPr>
          <w:rFonts w:ascii="Times New Roman" w:cs="Times New Roman" w:eastAsia="Times New Roman" w:hAnsi="Times New Roman"/>
          <w:sz w:val="21"/>
          <w:szCs w:val="21"/>
          <w:u w:val="single" w:color="auto"/>
          <w:color w:val="auto"/>
        </w:rPr>
        <w:t>Intellectual Property</w:t>
      </w:r>
      <w:r>
        <w:rPr>
          <w:rFonts w:ascii="Times New Roman" w:cs="Times New Roman" w:eastAsia="Times New Roman" w:hAnsi="Times New Roman"/>
          <w:sz w:val="21"/>
          <w:szCs w:val="21"/>
          <w:color w:val="auto"/>
        </w:rPr>
        <w:t>.</w:t>
      </w:r>
    </w:p>
    <w:p>
      <w:pPr>
        <w:spacing w:after="0" w:line="193" w:lineRule="exact"/>
        <w:rPr>
          <w:sz w:val="20"/>
          <w:szCs w:val="20"/>
          <w:color w:val="auto"/>
        </w:rPr>
      </w:pPr>
    </w:p>
    <w:p>
      <w:pPr>
        <w:jc w:val="both"/>
        <w:ind w:firstLine="656"/>
        <w:spacing w:after="0" w:line="235" w:lineRule="auto"/>
        <w:tabs>
          <w:tab w:leader="none" w:pos="1125" w:val="left"/>
        </w:tabs>
        <w:numPr>
          <w:ilvl w:val="0"/>
          <w:numId w:val="3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 acknowledges and agrees that any copyright, patent, trademark and other proprietary right, title and interest in and to any product, service or business process relating thereto that is provided by Client (collectively, “Client IP”) are and will remain the exclusive property of Client. Bank acknowledges that it does not acquire any ownership rights in and to Client IP, and nothing contained in this Agreement shall be construed as granting, by implication, estoppel or otherwise, any assignment, transfer or license to Bank of such right, title and interest.</w:t>
      </w:r>
    </w:p>
    <w:p>
      <w:pPr>
        <w:spacing w:after="0" w:line="165" w:lineRule="exact"/>
        <w:rPr>
          <w:rFonts w:ascii="Times New Roman" w:cs="Times New Roman" w:eastAsia="Times New Roman" w:hAnsi="Times New Roman"/>
          <w:sz w:val="22"/>
          <w:szCs w:val="22"/>
          <w:color w:val="auto"/>
        </w:rPr>
      </w:pPr>
    </w:p>
    <w:p>
      <w:pPr>
        <w:jc w:val="both"/>
        <w:ind w:firstLine="656"/>
        <w:spacing w:after="0" w:line="235" w:lineRule="auto"/>
        <w:tabs>
          <w:tab w:leader="none" w:pos="1121" w:val="left"/>
        </w:tabs>
        <w:numPr>
          <w:ilvl w:val="0"/>
          <w:numId w:val="3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Client acknowledges and agrees that any copyright, patent, trademark and other proprietary right, title and interest in and to the Program and any product, service or business process relating thereto that is provided by Bank (collectively, “Bank IP”) are and will remain the exclusive property of Bank. Client acknowledges that it does not acquire any ownership rights in and to Bank IP, and nothing contained in this Agreement shall be construed as granting, by implication, estoppel or otherwise, any assignment, transfer or license to Client of such right, title and interest.</w:t>
      </w:r>
    </w:p>
    <w:p>
      <w:pPr>
        <w:spacing w:after="0" w:line="16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18.2 </w:t>
      </w:r>
      <w:r>
        <w:rPr>
          <w:rFonts w:ascii="Times New Roman" w:cs="Times New Roman" w:eastAsia="Times New Roman" w:hAnsi="Times New Roman"/>
          <w:sz w:val="22"/>
          <w:szCs w:val="22"/>
          <w:u w:val="single" w:color="auto"/>
          <w:color w:val="auto"/>
        </w:rPr>
        <w:t>Legal Compliance</w:t>
      </w:r>
      <w:r>
        <w:rPr>
          <w:rFonts w:ascii="Times New Roman" w:cs="Times New Roman" w:eastAsia="Times New Roman" w:hAnsi="Times New Roman"/>
          <w:sz w:val="22"/>
          <w:szCs w:val="22"/>
          <w:color w:val="auto"/>
        </w:rPr>
        <w:t>. Each Party represents and warrants to the other that it is familiar with the requirements of all Applicable Law, including consumer protection laws applicable to it which relate to the Program and its obligations hereunder, and agrees that it will comply, in all material respects, with all such laws and regulations and all other Applicable Laws and regulations relating to its activities under this Agreement, now and in the future. The provisions of this Section 18.2 shall not, however, alter the responsibilities of the Parties to ensure compliance with respect to various aspects of the Program as detailed in separate sections of this Agreement and in accordance with Applicable Law.</w:t>
      </w:r>
    </w:p>
    <w:p>
      <w:pPr>
        <w:spacing w:after="0" w:line="18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18.3 </w:t>
      </w:r>
      <w:r>
        <w:rPr>
          <w:rFonts w:ascii="Times New Roman" w:cs="Times New Roman" w:eastAsia="Times New Roman" w:hAnsi="Times New Roman"/>
          <w:sz w:val="22"/>
          <w:szCs w:val="22"/>
          <w:u w:val="single" w:color="auto"/>
          <w:color w:val="auto"/>
        </w:rPr>
        <w:t>Relationship of Parties</w:t>
      </w:r>
      <w:r>
        <w:rPr>
          <w:rFonts w:ascii="Times New Roman" w:cs="Times New Roman" w:eastAsia="Times New Roman" w:hAnsi="Times New Roman"/>
          <w:sz w:val="22"/>
          <w:szCs w:val="22"/>
          <w:color w:val="auto"/>
        </w:rPr>
        <w:t>. Bank and Client agree they are independent contractors to each other in performing their respective obligations hereunder. Nothing in this Agreement or in the working relationship being established and developed hereunder shall be deemed, nor shall it cause, Bank and Client to be treated as partners, joint ventures, or otherwise as joint associates for profit.</w:t>
      </w:r>
    </w:p>
    <w:p>
      <w:pPr>
        <w:spacing w:after="0" w:line="1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 xml:space="preserve">18.4 </w:t>
      </w:r>
      <w:r>
        <w:rPr>
          <w:rFonts w:ascii="Times New Roman" w:cs="Times New Roman" w:eastAsia="Times New Roman" w:hAnsi="Times New Roman"/>
          <w:sz w:val="22"/>
          <w:szCs w:val="22"/>
          <w:u w:val="single" w:color="auto"/>
          <w:color w:val="auto"/>
        </w:rPr>
        <w:t>No Exclusivity</w:t>
      </w:r>
      <w:r>
        <w:rPr>
          <w:rFonts w:ascii="Times New Roman" w:cs="Times New Roman" w:eastAsia="Times New Roman" w:hAnsi="Times New Roman"/>
          <w:sz w:val="22"/>
          <w:szCs w:val="22"/>
          <w:color w:val="auto"/>
        </w:rPr>
        <w:t>. Nothing in this Agreement shall prohibit Bank or Client from operating any other programs in addition to the Programs governed by the terms of this Agreement.</w:t>
      </w:r>
    </w:p>
    <w:p>
      <w:pPr>
        <w:spacing w:after="0" w:line="14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18.5 </w:t>
      </w:r>
      <w:r>
        <w:rPr>
          <w:rFonts w:ascii="Times New Roman" w:cs="Times New Roman" w:eastAsia="Times New Roman" w:hAnsi="Times New Roman"/>
          <w:sz w:val="22"/>
          <w:szCs w:val="22"/>
          <w:u w:val="single" w:color="auto"/>
          <w:color w:val="auto"/>
        </w:rPr>
        <w:t>Regulatory Examinations and Financial Information</w:t>
      </w:r>
      <w:r>
        <w:rPr>
          <w:rFonts w:ascii="Times New Roman" w:cs="Times New Roman" w:eastAsia="Times New Roman" w:hAnsi="Times New Roman"/>
          <w:sz w:val="22"/>
          <w:szCs w:val="22"/>
          <w:color w:val="auto"/>
        </w:rPr>
        <w:t>. Client agrees to submit to any examination which may be required by any Regulatory Authority with audit and examination authority over Bank, to the fullest extent of such Regulatory Authority. Client shall also provide to Bank any information, which may be required by any Regulatory Authority in connection with their audit or review of Bank or the Program and shall reasonably cooperate with such Regulatory Authority in connection with any audit or review of Bank. Client shall also acknowledge the right</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Master Services Agreement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AND PROPRIETARY</w:t>
      </w:r>
    </w:p>
    <w:p>
      <w:pPr>
        <w:sectPr>
          <w:pgSz w:w="11900" w:h="16838" w:orient="portrait"/>
          <w:cols w:equalWidth="0" w:num="1">
            <w:col w:w="11240"/>
          </w:cols>
          <w:pgMar w:left="320" w:top="123" w:right="339" w:bottom="1440" w:gutter="0" w:footer="0" w:header="0"/>
        </w:sectPr>
      </w:pPr>
    </w:p>
    <w:bookmarkStart w:id="476" w:name="page477"/>
    <w:bookmarkEnd w:id="476"/>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of Bank and any Regulatory Authority to audit the books and records of any Processor or other third party service provider involved in the Program. Client shall furnish Bank, at Client’s expense and upon Bank’s written request, quarterly financial statements in the form required by Client’s Board of Directors and Applicable Law. In the event that Client has audited financial statements, Client shall provide Bank such audited financial statements on an annual basis. Client shall also provide such other information as Regulatory Authorities, or the Network may from time-t</w:t>
      </w:r>
      <w:r>
        <w:rPr>
          <w:rFonts w:ascii="Times New Roman" w:cs="Times New Roman" w:eastAsia="Times New Roman" w:hAnsi="Times New Roman"/>
          <w:sz w:val="22"/>
          <w:szCs w:val="22"/>
          <w:b w:val="1"/>
          <w:bCs w:val="1"/>
          <w:color w:val="auto"/>
        </w:rPr>
        <w:t>o</w:t>
      </w:r>
      <w:r>
        <w:rPr>
          <w:rFonts w:ascii="Times New Roman" w:cs="Times New Roman" w:eastAsia="Times New Roman" w:hAnsi="Times New Roman"/>
          <w:sz w:val="22"/>
          <w:szCs w:val="22"/>
          <w:color w:val="auto"/>
        </w:rPr>
        <w:t>-time reasonably request with respect to the financial condition of Client and such other information as Bank may from time to time reasonably request with respect to third Parties contracted with Client in connection with the Program.</w:t>
      </w:r>
    </w:p>
    <w:p>
      <w:pPr>
        <w:spacing w:after="0" w:line="19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18.6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governed by the internal laws, and not by the laws regarding conflicts of laws, of the State of Delaware. Any dispute between the Parties regarding this Agreement shall be venued in the state or federal district courts located in Delaware. Each Party hereby submits to the jurisdiction of the courts of such state, and waives any objection to venue with respect to actions brought in such courts.</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18.7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In the event that any part of this Agreement is deemed by a court, Regulatory Authority, or other public or private tribunal of competent jurisdiction to be invalid or unenforceable, such provision shall be deemed to have been omitted from this Agreement. The remainder of this Agreement shall remain in full force and effect, and shall be modified to any extent necessary to give such force and effect to the remaining provisions, but only to such extent.</w:t>
      </w:r>
    </w:p>
    <w:p>
      <w:pPr>
        <w:spacing w:after="0" w:line="18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 xml:space="preserve">18.8 </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xml:space="preserve">. All representations and warranties herein, as well as the provisions of Section </w:t>
      </w:r>
      <w:r>
        <w:rPr>
          <w:rFonts w:ascii="Times New Roman" w:cs="Times New Roman" w:eastAsia="Times New Roman" w:hAnsi="Times New Roman"/>
          <w:sz w:val="22"/>
          <w:szCs w:val="22"/>
          <w:b w:val="1"/>
          <w:bCs w:val="1"/>
          <w:color w:val="auto"/>
        </w:rPr>
        <w:t>1</w:t>
      </w:r>
      <w:r>
        <w:rPr>
          <w:rFonts w:ascii="Times New Roman" w:cs="Times New Roman" w:eastAsia="Times New Roman" w:hAnsi="Times New Roman"/>
          <w:sz w:val="22"/>
          <w:szCs w:val="22"/>
          <w:color w:val="auto"/>
        </w:rPr>
        <w:t>1 (Confidentiality), Section 10 (Wind Down Period), Section 14 (Limitation of Liability), Section 16 (Indemnification), Section 17 (Set-off and Other Bank Remedies), and this Section 18 (General Provisions), and any other provisions which by their nature may reasonably be expected to survive any termination or expiration of this Agreement, shall survive termination or expiration of this Agreement.</w:t>
      </w:r>
    </w:p>
    <w:p>
      <w:pPr>
        <w:spacing w:after="0" w:line="17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 xml:space="preserve">18.9 </w:t>
      </w:r>
      <w:r>
        <w:rPr>
          <w:rFonts w:ascii="Times New Roman" w:cs="Times New Roman" w:eastAsia="Times New Roman" w:hAnsi="Times New Roman"/>
          <w:sz w:val="22"/>
          <w:szCs w:val="22"/>
          <w:u w:val="single" w:color="auto"/>
          <w:color w:val="auto"/>
        </w:rPr>
        <w:t>Successors and Third Parties</w:t>
      </w:r>
      <w:r>
        <w:rPr>
          <w:rFonts w:ascii="Times New Roman" w:cs="Times New Roman" w:eastAsia="Times New Roman" w:hAnsi="Times New Roman"/>
          <w:sz w:val="22"/>
          <w:szCs w:val="22"/>
          <w:color w:val="auto"/>
        </w:rPr>
        <w:t>. Except as limited by Section 18.10, this Agreement and the rights and obligations hereunder shall bind, and inure to the benefit of the Parties and their successors and permitted assigns.</w:t>
      </w:r>
    </w:p>
    <w:p>
      <w:pPr>
        <w:spacing w:after="0" w:line="14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2"/>
          <w:szCs w:val="22"/>
          <w:color w:val="auto"/>
        </w:rPr>
        <w:t xml:space="preserve">18.10 </w:t>
      </w:r>
      <w:r>
        <w:rPr>
          <w:rFonts w:ascii="Times New Roman" w:cs="Times New Roman" w:eastAsia="Times New Roman" w:hAnsi="Times New Roman"/>
          <w:sz w:val="22"/>
          <w:szCs w:val="22"/>
          <w:u w:val="single" w:color="auto"/>
          <w:color w:val="auto"/>
        </w:rPr>
        <w:t>Assignments</w:t>
      </w:r>
      <w:r>
        <w:rPr>
          <w:rFonts w:ascii="Times New Roman" w:cs="Times New Roman" w:eastAsia="Times New Roman" w:hAnsi="Times New Roman"/>
          <w:sz w:val="22"/>
          <w:szCs w:val="22"/>
          <w:color w:val="auto"/>
        </w:rPr>
        <w:t>. The rights and obligations of each Party under this Agreement are personal and may not be assigned either voluntarily or by operation of law, without prior written consent from the other Party; provided, however, that such rights and obligations may be assigned to a wholly owned subsidiary of a Party upon 30 days’ notice to the other Party and, upon the other Party’s election, the assignor enters into an agreement where the assignor guarantees to the other Party the assignee’s obligations under this Agreement</w:t>
      </w:r>
    </w:p>
    <w:p>
      <w:pPr>
        <w:spacing w:after="0" w:line="1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2"/>
          <w:szCs w:val="22"/>
          <w:color w:val="auto"/>
        </w:rPr>
        <w:t xml:space="preserve">18.11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requests and approvals required by this Agreement shall be in writing addressed/directed to the other Party at the address and facsimile set forth below, or at such other address of which the notifying Party hereafter receives notice in conformity with this section. All such notices, requests, and approvals shall be deemed given upon the earlier of receipt of facsimile transmission during the normal business day or actual receipt thereof. All such notices, requests and approvals shall be addressed to the attention of:</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Master Services Agreement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AND PROPRIETARY</w:t>
      </w:r>
    </w:p>
    <w:p>
      <w:pPr>
        <w:sectPr>
          <w:pgSz w:w="11900" w:h="16838" w:orient="portrait"/>
          <w:cols w:equalWidth="0" w:num="1">
            <w:col w:w="11240"/>
          </w:cols>
          <w:pgMar w:left="320" w:top="123" w:right="339" w:bottom="1440" w:gutter="0" w:footer="0" w:header="0"/>
        </w:sectPr>
      </w:pPr>
    </w:p>
    <w:bookmarkStart w:id="477" w:name="page478"/>
    <w:bookmarkEnd w:id="477"/>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360" w:type="dxa"/>
        <w:tblCellMar>
          <w:top w:w="0" w:type="dxa"/>
          <w:left w:w="0" w:type="dxa"/>
          <w:bottom w:w="0" w:type="dxa"/>
          <w:right w:w="0" w:type="dxa"/>
        </w:tblCellMar>
      </w:tblPr>
      <w:tr>
        <w:trPr>
          <w:trHeight w:val="257"/>
        </w:trPr>
        <w:tc>
          <w:tcPr>
            <w:tcW w:w="212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Bank to:</w:t>
            </w:r>
          </w:p>
        </w:tc>
        <w:tc>
          <w:tcPr>
            <w:tcW w:w="374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The Bancorp Bank, N.A.</w:t>
            </w:r>
          </w:p>
        </w:tc>
      </w:tr>
      <w:tr>
        <w:trPr>
          <w:trHeight w:val="256"/>
        </w:trPr>
        <w:tc>
          <w:tcPr>
            <w:tcW w:w="2120" w:type="dxa"/>
            <w:vAlign w:val="bottom"/>
          </w:tcPr>
          <w:p>
            <w:pPr>
              <w:spacing w:after="0"/>
              <w:rPr>
                <w:sz w:val="22"/>
                <w:szCs w:val="22"/>
                <w:color w:val="auto"/>
              </w:rPr>
            </w:pPr>
          </w:p>
        </w:tc>
        <w:tc>
          <w:tcPr>
            <w:tcW w:w="3740" w:type="dxa"/>
            <w:vAlign w:val="bottom"/>
          </w:tcPr>
          <w:p>
            <w:pPr>
              <w:ind w:left="800"/>
              <w:spacing w:after="0"/>
              <w:rPr>
                <w:sz w:val="20"/>
                <w:szCs w:val="20"/>
                <w:color w:val="auto"/>
              </w:rPr>
            </w:pPr>
            <w:r>
              <w:rPr>
                <w:rFonts w:ascii="Times New Roman" w:cs="Times New Roman" w:eastAsia="Times New Roman" w:hAnsi="Times New Roman"/>
                <w:sz w:val="22"/>
                <w:szCs w:val="22"/>
                <w:color w:val="auto"/>
                <w:w w:val="97"/>
              </w:rPr>
              <w:t>Attention: Contract Administrator</w:t>
            </w:r>
          </w:p>
        </w:tc>
      </w:tr>
      <w:tr>
        <w:trPr>
          <w:trHeight w:val="270"/>
        </w:trPr>
        <w:tc>
          <w:tcPr>
            <w:tcW w:w="2120" w:type="dxa"/>
            <w:vAlign w:val="bottom"/>
          </w:tcPr>
          <w:p>
            <w:pPr>
              <w:spacing w:after="0"/>
              <w:rPr>
                <w:sz w:val="23"/>
                <w:szCs w:val="23"/>
                <w:color w:val="auto"/>
              </w:rPr>
            </w:pPr>
          </w:p>
        </w:tc>
        <w:tc>
          <w:tcPr>
            <w:tcW w:w="374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6100 S. Old Village Place</w:t>
            </w:r>
          </w:p>
        </w:tc>
      </w:tr>
      <w:tr>
        <w:trPr>
          <w:trHeight w:val="257"/>
        </w:trPr>
        <w:tc>
          <w:tcPr>
            <w:tcW w:w="2120" w:type="dxa"/>
            <w:vAlign w:val="bottom"/>
          </w:tcPr>
          <w:p>
            <w:pPr>
              <w:spacing w:after="0"/>
              <w:rPr>
                <w:sz w:val="22"/>
                <w:szCs w:val="22"/>
                <w:color w:val="auto"/>
              </w:rPr>
            </w:pPr>
          </w:p>
        </w:tc>
        <w:tc>
          <w:tcPr>
            <w:tcW w:w="374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Sioux Falls, SD 57108</w:t>
            </w:r>
          </w:p>
        </w:tc>
      </w:tr>
      <w:tr>
        <w:trPr>
          <w:trHeight w:val="282"/>
        </w:trPr>
        <w:tc>
          <w:tcPr>
            <w:tcW w:w="2120" w:type="dxa"/>
            <w:vAlign w:val="bottom"/>
          </w:tcPr>
          <w:p>
            <w:pPr>
              <w:spacing w:after="0"/>
              <w:rPr>
                <w:sz w:val="24"/>
                <w:szCs w:val="24"/>
                <w:color w:val="auto"/>
              </w:rPr>
            </w:pPr>
          </w:p>
        </w:tc>
        <w:tc>
          <w:tcPr>
            <w:tcW w:w="374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Facsimile Number: [***]</w:t>
            </w:r>
          </w:p>
        </w:tc>
      </w:tr>
      <w:tr>
        <w:trPr>
          <w:trHeight w:val="501"/>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With a copy to:</w:t>
            </w:r>
          </w:p>
        </w:tc>
        <w:tc>
          <w:tcPr>
            <w:tcW w:w="374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The Bancorp, Inc.</w:t>
            </w:r>
          </w:p>
        </w:tc>
      </w:tr>
      <w:tr>
        <w:trPr>
          <w:trHeight w:val="256"/>
        </w:trPr>
        <w:tc>
          <w:tcPr>
            <w:tcW w:w="2120" w:type="dxa"/>
            <w:vAlign w:val="bottom"/>
          </w:tcPr>
          <w:p>
            <w:pPr>
              <w:spacing w:after="0"/>
              <w:rPr>
                <w:sz w:val="22"/>
                <w:szCs w:val="22"/>
                <w:color w:val="auto"/>
              </w:rPr>
            </w:pPr>
          </w:p>
        </w:tc>
        <w:tc>
          <w:tcPr>
            <w:tcW w:w="374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Attention: Legal Department</w:t>
            </w:r>
          </w:p>
        </w:tc>
      </w:tr>
      <w:tr>
        <w:trPr>
          <w:trHeight w:val="270"/>
        </w:trPr>
        <w:tc>
          <w:tcPr>
            <w:tcW w:w="2120" w:type="dxa"/>
            <w:vAlign w:val="bottom"/>
          </w:tcPr>
          <w:p>
            <w:pPr>
              <w:spacing w:after="0"/>
              <w:rPr>
                <w:sz w:val="23"/>
                <w:szCs w:val="23"/>
                <w:color w:val="auto"/>
              </w:rPr>
            </w:pPr>
          </w:p>
        </w:tc>
        <w:tc>
          <w:tcPr>
            <w:tcW w:w="374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123 North Third Street</w:t>
            </w:r>
          </w:p>
        </w:tc>
      </w:tr>
      <w:tr>
        <w:trPr>
          <w:trHeight w:val="257"/>
        </w:trPr>
        <w:tc>
          <w:tcPr>
            <w:tcW w:w="2120" w:type="dxa"/>
            <w:vAlign w:val="bottom"/>
          </w:tcPr>
          <w:p>
            <w:pPr>
              <w:spacing w:after="0"/>
              <w:rPr>
                <w:sz w:val="22"/>
                <w:szCs w:val="22"/>
                <w:color w:val="auto"/>
              </w:rPr>
            </w:pPr>
          </w:p>
        </w:tc>
        <w:tc>
          <w:tcPr>
            <w:tcW w:w="374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Suite 603</w:t>
            </w:r>
          </w:p>
        </w:tc>
      </w:tr>
      <w:tr>
        <w:trPr>
          <w:trHeight w:val="282"/>
        </w:trPr>
        <w:tc>
          <w:tcPr>
            <w:tcW w:w="2120" w:type="dxa"/>
            <w:vAlign w:val="bottom"/>
          </w:tcPr>
          <w:p>
            <w:pPr>
              <w:spacing w:after="0"/>
              <w:rPr>
                <w:sz w:val="24"/>
                <w:szCs w:val="24"/>
                <w:color w:val="auto"/>
              </w:rPr>
            </w:pPr>
          </w:p>
        </w:tc>
        <w:tc>
          <w:tcPr>
            <w:tcW w:w="374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Minneapolis, MN 55401</w:t>
            </w:r>
          </w:p>
        </w:tc>
      </w:tr>
      <w:tr>
        <w:trPr>
          <w:trHeight w:val="501"/>
        </w:trPr>
        <w:tc>
          <w:tcPr>
            <w:tcW w:w="212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Client to:</w:t>
            </w:r>
          </w:p>
        </w:tc>
        <w:tc>
          <w:tcPr>
            <w:tcW w:w="374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Chime Financial Inc.</w:t>
            </w:r>
          </w:p>
        </w:tc>
      </w:tr>
      <w:tr>
        <w:trPr>
          <w:trHeight w:val="256"/>
        </w:trPr>
        <w:tc>
          <w:tcPr>
            <w:tcW w:w="2120" w:type="dxa"/>
            <w:vAlign w:val="bottom"/>
          </w:tcPr>
          <w:p>
            <w:pPr>
              <w:spacing w:after="0"/>
              <w:rPr>
                <w:sz w:val="22"/>
                <w:szCs w:val="22"/>
                <w:color w:val="auto"/>
              </w:rPr>
            </w:pPr>
          </w:p>
        </w:tc>
        <w:tc>
          <w:tcPr>
            <w:tcW w:w="374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Attention: Chris Britt</w:t>
            </w:r>
          </w:p>
        </w:tc>
      </w:tr>
      <w:tr>
        <w:trPr>
          <w:trHeight w:val="270"/>
        </w:trPr>
        <w:tc>
          <w:tcPr>
            <w:tcW w:w="2120" w:type="dxa"/>
            <w:vAlign w:val="bottom"/>
          </w:tcPr>
          <w:p>
            <w:pPr>
              <w:spacing w:after="0"/>
              <w:rPr>
                <w:sz w:val="23"/>
                <w:szCs w:val="23"/>
                <w:color w:val="auto"/>
              </w:rPr>
            </w:pPr>
          </w:p>
        </w:tc>
        <w:tc>
          <w:tcPr>
            <w:tcW w:w="374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101 California</w:t>
            </w:r>
          </w:p>
        </w:tc>
      </w:tr>
      <w:tr>
        <w:trPr>
          <w:trHeight w:val="257"/>
        </w:trPr>
        <w:tc>
          <w:tcPr>
            <w:tcW w:w="2120" w:type="dxa"/>
            <w:vAlign w:val="bottom"/>
          </w:tcPr>
          <w:p>
            <w:pPr>
              <w:spacing w:after="0"/>
              <w:rPr>
                <w:sz w:val="22"/>
                <w:szCs w:val="22"/>
                <w:color w:val="auto"/>
              </w:rPr>
            </w:pPr>
          </w:p>
        </w:tc>
        <w:tc>
          <w:tcPr>
            <w:tcW w:w="374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#500</w:t>
            </w:r>
          </w:p>
        </w:tc>
      </w:tr>
      <w:tr>
        <w:trPr>
          <w:trHeight w:val="282"/>
        </w:trPr>
        <w:tc>
          <w:tcPr>
            <w:tcW w:w="2120" w:type="dxa"/>
            <w:vAlign w:val="bottom"/>
          </w:tcPr>
          <w:p>
            <w:pPr>
              <w:spacing w:after="0"/>
              <w:rPr>
                <w:sz w:val="24"/>
                <w:szCs w:val="24"/>
                <w:color w:val="auto"/>
              </w:rPr>
            </w:pPr>
          </w:p>
        </w:tc>
        <w:tc>
          <w:tcPr>
            <w:tcW w:w="374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San Francisco, CA 94111</w:t>
            </w:r>
          </w:p>
        </w:tc>
      </w:tr>
    </w:tbl>
    <w:p>
      <w:pPr>
        <w:spacing w:after="0" w:line="2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With a copy to (which shall not constitute notice):</w:t>
      </w:r>
    </w:p>
    <w:p>
      <w:pPr>
        <w:spacing w:after="0" w:line="27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Chime Financial Inc.</w:t>
      </w:r>
    </w:p>
    <w:p>
      <w:pPr>
        <w:spacing w:after="0" w:line="28"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4" w:lineRule="exact"/>
        <w:rPr>
          <w:sz w:val="20"/>
          <w:szCs w:val="20"/>
          <w:color w:val="auto"/>
        </w:rPr>
      </w:pPr>
    </w:p>
    <w:p>
      <w:pPr>
        <w:ind w:left="3280" w:right="6700" w:hanging="1"/>
        <w:spacing w:after="0" w:line="261" w:lineRule="auto"/>
        <w:tabs>
          <w:tab w:leader="none" w:pos="3658" w:val="left"/>
        </w:tabs>
        <w:numPr>
          <w:ilvl w:val="0"/>
          <w:numId w:val="3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California #500</w:t>
      </w:r>
    </w:p>
    <w:p>
      <w:pPr>
        <w:spacing w:after="0" w:line="1" w:lineRule="exact"/>
        <w:rPr>
          <w:rFonts w:ascii="Times New Roman" w:cs="Times New Roman" w:eastAsia="Times New Roman" w:hAnsi="Times New Roman"/>
          <w:sz w:val="21"/>
          <w:szCs w:val="21"/>
          <w:color w:val="auto"/>
        </w:rPr>
      </w:pPr>
    </w:p>
    <w:p>
      <w:pPr>
        <w:ind w:left="328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San Francisco, CA 94111</w:t>
      </w:r>
    </w:p>
    <w:p>
      <w:pPr>
        <w:spacing w:after="0" w:line="200" w:lineRule="exact"/>
        <w:rPr>
          <w:sz w:val="20"/>
          <w:szCs w:val="20"/>
          <w:color w:val="auto"/>
        </w:rPr>
      </w:pPr>
    </w:p>
    <w:p>
      <w:pPr>
        <w:spacing w:after="0" w:line="33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18.12 </w:t>
      </w:r>
      <w:r>
        <w:rPr>
          <w:rFonts w:ascii="Times New Roman" w:cs="Times New Roman" w:eastAsia="Times New Roman" w:hAnsi="Times New Roman"/>
          <w:sz w:val="22"/>
          <w:szCs w:val="22"/>
          <w:u w:val="single" w:color="auto"/>
          <w:color w:val="auto"/>
        </w:rPr>
        <w:t>Waivers</w:t>
      </w:r>
      <w:r>
        <w:rPr>
          <w:rFonts w:ascii="Times New Roman" w:cs="Times New Roman" w:eastAsia="Times New Roman" w:hAnsi="Times New Roman"/>
          <w:sz w:val="22"/>
          <w:szCs w:val="22"/>
          <w:color w:val="auto"/>
        </w:rPr>
        <w:t>. Neither Party shall be deemed to have waived any of its rights, power, or remedies hereunder except in writing signed by an authorized agent or representative of the Party to be charged. Either Party may, by an instrument in writing, waive compliance by the other Party with any term or provision of this Agreement on the part of the other Party to be performed or complied with. The waiver by either Party of a breach of any term or provision of this Agreement shall not be construed as a waiver of any subsequent breach.</w:t>
      </w:r>
    </w:p>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 xml:space="preserve">18.13 </w:t>
      </w:r>
      <w:r>
        <w:rPr>
          <w:rFonts w:ascii="Times New Roman" w:cs="Times New Roman" w:eastAsia="Times New Roman" w:hAnsi="Times New Roman"/>
          <w:sz w:val="22"/>
          <w:szCs w:val="22"/>
          <w:u w:val="single" w:color="auto"/>
          <w:color w:val="auto"/>
        </w:rPr>
        <w:t>Entire Agreement; Amendments</w:t>
      </w:r>
      <w:r>
        <w:rPr>
          <w:rFonts w:ascii="Times New Roman" w:cs="Times New Roman" w:eastAsia="Times New Roman" w:hAnsi="Times New Roman"/>
          <w:sz w:val="22"/>
          <w:szCs w:val="22"/>
          <w:color w:val="auto"/>
        </w:rPr>
        <w:t>. This Agreement constitutes the entire Agreement between the Parties and supersedes all prior agreements, understandings, and arrangements, oral or written, between the Parties with respect to the subject matter hereof. This Agreement may not be modified or amended except by an instrument or instruments in writing signed by the Party against whom enforcement of any such modification or amendment is sought.</w:t>
      </w:r>
    </w:p>
    <w:p>
      <w:pPr>
        <w:spacing w:after="0" w:line="17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2"/>
          <w:szCs w:val="22"/>
          <w:color w:val="auto"/>
        </w:rPr>
        <w:t xml:space="preserve">18.14 </w:t>
      </w:r>
      <w:r>
        <w:rPr>
          <w:rFonts w:ascii="Times New Roman" w:cs="Times New Roman" w:eastAsia="Times New Roman" w:hAnsi="Times New Roman"/>
          <w:sz w:val="22"/>
          <w:szCs w:val="22"/>
          <w:u w:val="single" w:color="auto"/>
          <w:color w:val="auto"/>
        </w:rPr>
        <w:t>Counterpar</w:t>
      </w:r>
      <w:r>
        <w:rPr>
          <w:rFonts w:ascii="Times New Roman" w:cs="Times New Roman" w:eastAsia="Times New Roman" w:hAnsi="Times New Roman"/>
          <w:sz w:val="22"/>
          <w:szCs w:val="22"/>
          <w:b w:val="1"/>
          <w:bCs w:val="1"/>
          <w:u w:val="single" w:color="auto"/>
          <w:color w:val="auto"/>
        </w:rPr>
        <w:t>t</w:t>
      </w:r>
      <w:r>
        <w:rPr>
          <w:rFonts w:ascii="Times New Roman" w:cs="Times New Roman" w:eastAsia="Times New Roman" w:hAnsi="Times New Roman"/>
          <w:sz w:val="22"/>
          <w:szCs w:val="22"/>
          <w:u w:val="single" w:color="auto"/>
          <w:color w:val="auto"/>
        </w:rPr>
        <w:t>s</w:t>
      </w:r>
      <w:r>
        <w:rPr>
          <w:rFonts w:ascii="Times New Roman" w:cs="Times New Roman" w:eastAsia="Times New Roman" w:hAnsi="Times New Roman"/>
          <w:sz w:val="22"/>
          <w:szCs w:val="22"/>
          <w:color w:val="auto"/>
        </w:rPr>
        <w:t>. This Agreement may be executed and delivered by the Parties in counterpart, each of which shall be deemed an original and both of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Master Services Agreement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AND PROPRIETARY</w:t>
      </w:r>
    </w:p>
    <w:p>
      <w:pPr>
        <w:sectPr>
          <w:pgSz w:w="11900" w:h="16838" w:orient="portrait"/>
          <w:cols w:equalWidth="0" w:num="1">
            <w:col w:w="11240"/>
          </w:cols>
          <w:pgMar w:left="320" w:top="123" w:right="339" w:bottom="1440" w:gutter="0" w:footer="0" w:header="0"/>
        </w:sectPr>
      </w:pPr>
    </w:p>
    <w:bookmarkStart w:id="478" w:name="page479"/>
    <w:bookmarkEnd w:id="478"/>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18.15 </w:t>
      </w:r>
      <w:r>
        <w:rPr>
          <w:rFonts w:ascii="Times New Roman" w:cs="Times New Roman" w:eastAsia="Times New Roman" w:hAnsi="Times New Roman"/>
          <w:sz w:val="22"/>
          <w:szCs w:val="22"/>
          <w:u w:val="single" w:color="auto"/>
          <w:color w:val="auto"/>
        </w:rPr>
        <w:t>Communication</w:t>
      </w:r>
      <w:r>
        <w:rPr>
          <w:rFonts w:ascii="Times New Roman" w:cs="Times New Roman" w:eastAsia="Times New Roman" w:hAnsi="Times New Roman"/>
          <w:sz w:val="22"/>
          <w:szCs w:val="22"/>
          <w:color w:val="auto"/>
        </w:rPr>
        <w:t>. Client and Bank may rely in good faith on any document, electronic file or other electronic or telephonic communication of any kind, which appears bona fide, submitted by any appropriate person respecting any matters arising hereunder.</w:t>
      </w:r>
    </w:p>
    <w:p>
      <w:pPr>
        <w:spacing w:after="0" w:line="18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18.16 </w:t>
      </w:r>
      <w:r>
        <w:rPr>
          <w:rFonts w:ascii="Times New Roman" w:cs="Times New Roman" w:eastAsia="Times New Roman" w:hAnsi="Times New Roman"/>
          <w:sz w:val="22"/>
          <w:szCs w:val="22"/>
          <w:u w:val="single" w:color="auto"/>
          <w:color w:val="auto"/>
        </w:rPr>
        <w:t>Force Majeure</w:t>
      </w:r>
      <w:r>
        <w:rPr>
          <w:rFonts w:ascii="Times New Roman" w:cs="Times New Roman" w:eastAsia="Times New Roman" w:hAnsi="Times New Roman"/>
          <w:sz w:val="22"/>
          <w:szCs w:val="22"/>
          <w:color w:val="auto"/>
        </w:rPr>
        <w:t>. If a Party is prevented, hindered or unavoidably delayed from or in performing any of its obligations under this Agreement by an event beyond its reasonable control, such as compliance with a law or governmental order, strike of workers, lock-out, labor dispute, Act of God, earthquake, fire flood, war, riot, civil unrest, malicious damage, or other circumstances interrupting the operations of the United States or international banking system (individually and together, a “Force Majeure Event”), that Party shall not be obligated to perform its obligations under this Agreement, but only to the extent that it is actually prevented, hindered, or unavoidably delayed in its performance by such Force Majeure Event; provided, however, that: (i) each Party shall not be excused from implementing disaster recovery and business continuity plan upon the occurrence of the Force Majeure Event, (ii) such Party declaring a Force Majeure Event shall notify the other Party immediately upon the termination of the Force Majeure Event, and (iii) such declaring Party shall make all commercially reasonable efforts to resume performance immediately thereafter. In the event that a Force Majeure Event renders a Party unable to perform its obligations under this Agreement for more than [***] following such Force Majeure Event, the other Party may terminate this Agreement upon written to notice to such Party.</w:t>
      </w:r>
    </w:p>
    <w:p>
      <w:pPr>
        <w:spacing w:after="0" w:line="18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18.17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various captions and section headings in this Agreement are included for convenience only and shall not affect the meaning or interpretation of any provision of this Agreement. References in this Agreement to any section are to such section of this Agreement. To the extent possible, each provision of this Agreement shall be interpreted in such a manner as to be effective and valid under Applicable Law, but if any provision of this Agreement shall be held to be invalid, illegal, or unenforceable, such provision shall be ineffective only to the extent of such invalidity, illegality, or unenforceability, without rendering invalid, illegal, or unenforceable the remainder of such provision or the remaining provisions of this Agreement.</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signatures on the following page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Master Services Agreement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AND PROPRIETARY</w:t>
      </w:r>
    </w:p>
    <w:p>
      <w:pPr>
        <w:sectPr>
          <w:pgSz w:w="11900" w:h="16838" w:orient="portrait"/>
          <w:cols w:equalWidth="0" w:num="1">
            <w:col w:w="11240"/>
          </w:cols>
          <w:pgMar w:left="320" w:top="123" w:right="339" w:bottom="1440" w:gutter="0" w:footer="0" w:header="0"/>
        </w:sectPr>
      </w:pPr>
    </w:p>
    <w:bookmarkStart w:id="479" w:name="page480"/>
    <w:bookmarkEnd w:id="479"/>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IN WITNESS WHEREOF, this Agreement is executed by the Parties’ authorized officers or representatives and shall be effective as of the date first above written.</w:t>
      </w:r>
    </w:p>
    <w:p>
      <w:pPr>
        <w:spacing w:after="0" w:line="200" w:lineRule="exact"/>
        <w:rPr>
          <w:sz w:val="20"/>
          <w:szCs w:val="20"/>
          <w:color w:val="auto"/>
        </w:rPr>
      </w:pPr>
    </w:p>
    <w:tbl>
      <w:tblPr>
        <w:tblLayout w:type="fixed"/>
        <w:tblInd w:w="20" w:type="dxa"/>
        <w:tblCellMar>
          <w:top w:w="0" w:type="dxa"/>
          <w:left w:w="0" w:type="dxa"/>
          <w:bottom w:w="0" w:type="dxa"/>
          <w:right w:w="0" w:type="dxa"/>
        </w:tblCellMar>
      </w:tblPr>
      <w:tr>
        <w:trPr>
          <w:trHeight w:val="286"/>
        </w:trPr>
        <w:tc>
          <w:tcPr>
            <w:tcW w:w="5140" w:type="dxa"/>
            <w:vAlign w:val="bottom"/>
            <w:gridSpan w:val="4"/>
          </w:tcPr>
          <w:p>
            <w:pPr>
              <w:spacing w:after="0"/>
              <w:rPr>
                <w:sz w:val="20"/>
                <w:szCs w:val="20"/>
                <w:color w:val="auto"/>
              </w:rPr>
            </w:pPr>
            <w:r>
              <w:rPr>
                <w:rFonts w:ascii="Times New Roman" w:cs="Times New Roman" w:eastAsia="Times New Roman" w:hAnsi="Times New Roman"/>
                <w:sz w:val="22"/>
                <w:szCs w:val="22"/>
                <w:b w:val="1"/>
                <w:bCs w:val="1"/>
                <w:color w:val="auto"/>
              </w:rPr>
              <w:t>Chime Financial, Inc.</w:t>
            </w:r>
          </w:p>
        </w:tc>
        <w:tc>
          <w:tcPr>
            <w:tcW w:w="6060" w:type="dxa"/>
            <w:vAlign w:val="bottom"/>
            <w:gridSpan w:val="4"/>
          </w:tcPr>
          <w:p>
            <w:pPr>
              <w:ind w:left="880"/>
              <w:spacing w:after="0"/>
              <w:rPr>
                <w:sz w:val="20"/>
                <w:szCs w:val="20"/>
                <w:color w:val="auto"/>
              </w:rPr>
            </w:pPr>
            <w:r>
              <w:rPr>
                <w:rFonts w:ascii="Times New Roman" w:cs="Times New Roman" w:eastAsia="Times New Roman" w:hAnsi="Times New Roman"/>
                <w:sz w:val="22"/>
                <w:szCs w:val="22"/>
                <w:b w:val="1"/>
                <w:bCs w:val="1"/>
                <w:color w:val="auto"/>
              </w:rPr>
              <w:t>The Bancorp Bank, N.A.</w:t>
            </w:r>
          </w:p>
        </w:tc>
      </w:tr>
      <w:tr>
        <w:trPr>
          <w:trHeight w:val="703"/>
        </w:trPr>
        <w:tc>
          <w:tcPr>
            <w:tcW w:w="51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Matthew Newcomb</w:t>
            </w:r>
          </w:p>
        </w:tc>
        <w:tc>
          <w:tcPr>
            <w:tcW w:w="14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By:</w:t>
            </w:r>
          </w:p>
        </w:tc>
        <w:tc>
          <w:tcPr>
            <w:tcW w:w="46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 Ryan Harris</w:t>
            </w:r>
          </w:p>
        </w:tc>
      </w:tr>
      <w:tr>
        <w:trPr>
          <w:trHeight w:val="20"/>
        </w:trPr>
        <w:tc>
          <w:tcPr>
            <w:tcW w:w="5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180" w:type="dxa"/>
            <w:vAlign w:val="bottom"/>
            <w:shd w:val="clear" w:color="auto" w:fill="000000"/>
          </w:tcPr>
          <w:p>
            <w:pPr>
              <w:spacing w:after="0" w:line="20" w:lineRule="exact"/>
              <w:rPr>
                <w:sz w:val="1"/>
                <w:szCs w:val="1"/>
                <w:color w:val="auto"/>
              </w:rPr>
            </w:pPr>
          </w:p>
        </w:tc>
        <w:tc>
          <w:tcPr>
            <w:tcW w:w="146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20" w:type="dxa"/>
            <w:vAlign w:val="bottom"/>
            <w:shd w:val="clear" w:color="auto" w:fill="000000"/>
          </w:tcPr>
          <w:p>
            <w:pPr>
              <w:spacing w:after="0" w:line="20" w:lineRule="exact"/>
              <w:rPr>
                <w:sz w:val="1"/>
                <w:szCs w:val="1"/>
                <w:color w:val="auto"/>
              </w:rPr>
            </w:pPr>
          </w:p>
        </w:tc>
      </w:tr>
      <w:tr>
        <w:trPr>
          <w:trHeight w:val="466"/>
        </w:trPr>
        <w:tc>
          <w:tcPr>
            <w:tcW w:w="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Name:</w:t>
            </w:r>
          </w:p>
        </w:tc>
        <w:tc>
          <w:tcPr>
            <w:tcW w:w="180" w:type="dxa"/>
            <w:vAlign w:val="bottom"/>
          </w:tcPr>
          <w:p>
            <w:pPr>
              <w:spacing w:after="0"/>
              <w:rPr>
                <w:sz w:val="24"/>
                <w:szCs w:val="24"/>
                <w:color w:val="auto"/>
              </w:rPr>
            </w:pPr>
          </w:p>
        </w:tc>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Matthew Newcomb</w:t>
            </w:r>
          </w:p>
        </w:tc>
        <w:tc>
          <w:tcPr>
            <w:tcW w:w="1460" w:type="dxa"/>
            <w:vAlign w:val="bottom"/>
          </w:tcPr>
          <w:p>
            <w:pPr>
              <w:ind w:left="880"/>
              <w:spacing w:after="0"/>
              <w:rPr>
                <w:sz w:val="20"/>
                <w:szCs w:val="20"/>
                <w:color w:val="auto"/>
              </w:rPr>
            </w:pPr>
            <w:r>
              <w:rPr>
                <w:rFonts w:ascii="Times New Roman" w:cs="Times New Roman" w:eastAsia="Times New Roman" w:hAnsi="Times New Roman"/>
                <w:sz w:val="22"/>
                <w:szCs w:val="22"/>
                <w:color w:val="auto"/>
                <w:w w:val="91"/>
              </w:rPr>
              <w:t>Name:</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Ryan Harris</w:t>
            </w:r>
          </w:p>
        </w:tc>
      </w:tr>
      <w:tr>
        <w:trPr>
          <w:trHeight w:val="466"/>
        </w:trPr>
        <w:tc>
          <w:tcPr>
            <w:tcW w:w="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Title:</w:t>
            </w:r>
          </w:p>
        </w:tc>
        <w:tc>
          <w:tcPr>
            <w:tcW w:w="4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CFO</w:t>
            </w:r>
          </w:p>
        </w:tc>
        <w:tc>
          <w:tcPr>
            <w:tcW w:w="14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Title:</w:t>
            </w:r>
          </w:p>
        </w:tc>
        <w:tc>
          <w:tcPr>
            <w:tcW w:w="200" w:type="dxa"/>
            <w:vAlign w:val="bottom"/>
          </w:tcPr>
          <w:p>
            <w:pPr>
              <w:spacing w:after="0"/>
              <w:rPr>
                <w:sz w:val="24"/>
                <w:szCs w:val="24"/>
                <w:color w:val="auto"/>
              </w:rPr>
            </w:pPr>
          </w:p>
        </w:tc>
        <w:tc>
          <w:tcPr>
            <w:tcW w:w="44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2"/>
                <w:szCs w:val="22"/>
                <w:color w:val="auto"/>
              </w:rPr>
              <w:t>EVP, Head of Fintech Solutions</w:t>
            </w:r>
          </w:p>
        </w:tc>
      </w:tr>
    </w:tbl>
    <w:p>
      <w:pPr>
        <w:sectPr>
          <w:pgSz w:w="11900" w:h="16838" w:orient="portrait"/>
          <w:cols w:equalWidth="0" w:num="1">
            <w:col w:w="11240"/>
          </w:cols>
          <w:pgMar w:left="320" w:top="137" w:right="339" w:bottom="1440" w:gutter="0" w:footer="0" w:header="0"/>
        </w:sectPr>
      </w:pPr>
    </w:p>
    <w:bookmarkStart w:id="480" w:name="page481"/>
    <w:bookmarkEnd w:id="480"/>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3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COMPENSATION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0139"/>
          </w:cols>
          <w:pgMar w:left="320" w:top="137" w:right="1440" w:bottom="1440" w:gutter="0" w:footer="0" w:header="0"/>
        </w:sectPr>
      </w:pPr>
    </w:p>
    <w:bookmarkStart w:id="481" w:name="page482"/>
    <w:bookmarkEnd w:id="481"/>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Exhibit A - Schedule 1: Card Transaction Pricing</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0139"/>
          </w:cols>
          <w:pgMar w:left="320" w:top="137" w:right="1440" w:bottom="1440" w:gutter="0" w:footer="0" w:header="0"/>
        </w:sectPr>
      </w:pPr>
    </w:p>
    <w:bookmarkStart w:id="482" w:name="page483"/>
    <w:bookmarkEnd w:id="482"/>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Exhibit A - Schedule 2</w:t>
      </w:r>
      <w:r>
        <w:rPr>
          <w:rFonts w:ascii="Times New Roman" w:cs="Times New Roman" w:eastAsia="Times New Roman" w:hAnsi="Times New Roman"/>
          <w:sz w:val="22"/>
          <w:szCs w:val="22"/>
          <w:color w:val="auto"/>
        </w:rPr>
        <w:t>: ACH Processing Fees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0139"/>
          </w:cols>
          <w:pgMar w:left="320" w:top="137" w:right="1440" w:bottom="1440" w:gutter="0" w:footer="0" w:header="0"/>
        </w:sectPr>
      </w:pPr>
    </w:p>
    <w:bookmarkStart w:id="483" w:name="page484"/>
    <w:bookmarkEnd w:id="483"/>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3779"/>
        <w:spacing w:after="0" w:line="480" w:lineRule="auto"/>
        <w:rPr>
          <w:sz w:val="20"/>
          <w:szCs w:val="20"/>
          <w:color w:val="auto"/>
        </w:rPr>
      </w:pPr>
      <w:r>
        <w:rPr>
          <w:rFonts w:ascii="Times New Roman" w:cs="Times New Roman" w:eastAsia="Times New Roman" w:hAnsi="Times New Roman"/>
          <w:sz w:val="22"/>
          <w:szCs w:val="22"/>
          <w:b w:val="1"/>
          <w:bCs w:val="1"/>
          <w:color w:val="auto"/>
        </w:rPr>
        <w:t>Exhibit A - Schedule 3</w:t>
      </w:r>
      <w:r>
        <w:rPr>
          <w:rFonts w:ascii="Times New Roman" w:cs="Times New Roman" w:eastAsia="Times New Roman" w:hAnsi="Times New Roman"/>
          <w:sz w:val="22"/>
          <w:szCs w:val="22"/>
          <w:color w:val="auto"/>
        </w:rPr>
        <w:t>: Bank Services Fees and Pass-Through Expenses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p>
    <w:p>
      <w:pPr>
        <w:sectPr>
          <w:pgSz w:w="11900" w:h="16838" w:orient="portrait"/>
          <w:cols w:equalWidth="0" w:num="1">
            <w:col w:w="10139"/>
          </w:cols>
          <w:pgMar w:left="320" w:top="137" w:right="1440" w:bottom="1440" w:gutter="0" w:footer="0" w:header="0"/>
        </w:sectPr>
      </w:pPr>
    </w:p>
    <w:bookmarkStart w:id="484" w:name="page485"/>
    <w:bookmarkEnd w:id="484"/>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3279"/>
        <w:spacing w:after="0" w:line="480" w:lineRule="auto"/>
        <w:rPr>
          <w:sz w:val="20"/>
          <w:szCs w:val="20"/>
          <w:color w:val="auto"/>
        </w:rPr>
      </w:pPr>
      <w:r>
        <w:rPr>
          <w:rFonts w:ascii="Times New Roman" w:cs="Times New Roman" w:eastAsia="Times New Roman" w:hAnsi="Times New Roman"/>
          <w:sz w:val="22"/>
          <w:szCs w:val="22"/>
          <w:b w:val="1"/>
          <w:bCs w:val="1"/>
          <w:color w:val="auto"/>
        </w:rPr>
        <w:t>Exhibit A - Schedule 4</w:t>
      </w:r>
      <w:r>
        <w:rPr>
          <w:rFonts w:ascii="Times New Roman" w:cs="Times New Roman" w:eastAsia="Times New Roman" w:hAnsi="Times New Roman"/>
          <w:sz w:val="22"/>
          <w:szCs w:val="22"/>
          <w:color w:val="auto"/>
        </w:rPr>
        <w:t>: Earnings Credits and Discounts on Program Accounts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p>
    <w:p>
      <w:pPr>
        <w:sectPr>
          <w:pgSz w:w="11900" w:h="16838" w:orient="portrait"/>
          <w:cols w:equalWidth="0" w:num="1">
            <w:col w:w="10139"/>
          </w:cols>
          <w:pgMar w:left="320" w:top="137" w:right="1440" w:bottom="1440" w:gutter="0" w:footer="0" w:header="0"/>
        </w:sectPr>
      </w:pPr>
    </w:p>
    <w:bookmarkStart w:id="485" w:name="page486"/>
    <w:bookmarkEnd w:id="485"/>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Exhibit A - Schedule 5</w:t>
      </w:r>
      <w:r>
        <w:rPr>
          <w:rFonts w:ascii="Times New Roman" w:cs="Times New Roman" w:eastAsia="Times New Roman" w:hAnsi="Times New Roman"/>
          <w:sz w:val="22"/>
          <w:szCs w:val="22"/>
          <w:color w:val="auto"/>
        </w:rPr>
        <w:t>: High Yield Savings Program</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0139"/>
          </w:cols>
          <w:pgMar w:left="320" w:top="137" w:right="1440" w:bottom="1440" w:gutter="0" w:footer="0" w:header="0"/>
        </w:sectPr>
      </w:pPr>
    </w:p>
    <w:bookmarkStart w:id="486" w:name="page487"/>
    <w:bookmarkEnd w:id="486"/>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4199"/>
        <w:spacing w:after="0" w:line="480" w:lineRule="auto"/>
        <w:rPr>
          <w:sz w:val="20"/>
          <w:szCs w:val="20"/>
          <w:color w:val="auto"/>
        </w:rPr>
      </w:pPr>
      <w:r>
        <w:rPr>
          <w:rFonts w:ascii="Times New Roman" w:cs="Times New Roman" w:eastAsia="Times New Roman" w:hAnsi="Times New Roman"/>
          <w:sz w:val="22"/>
          <w:szCs w:val="22"/>
          <w:b w:val="1"/>
          <w:bCs w:val="1"/>
          <w:color w:val="auto"/>
        </w:rPr>
        <w:t>Exhibit A - Schedule 6</w:t>
      </w:r>
      <w:r>
        <w:rPr>
          <w:rFonts w:ascii="Times New Roman" w:cs="Times New Roman" w:eastAsia="Times New Roman" w:hAnsi="Times New Roman"/>
          <w:sz w:val="22"/>
          <w:szCs w:val="22"/>
          <w:color w:val="auto"/>
        </w:rPr>
        <w:t>: Bank-funded Credit and Liquidity Products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p>
    <w:p>
      <w:pPr>
        <w:sectPr>
          <w:pgSz w:w="11900" w:h="16838" w:orient="portrait"/>
          <w:cols w:equalWidth="0" w:num="1">
            <w:col w:w="10139"/>
          </w:cols>
          <w:pgMar w:left="320" w:top="137" w:right="1440" w:bottom="1440" w:gutter="0" w:footer="0" w:header="0"/>
        </w:sectPr>
      </w:pPr>
    </w:p>
    <w:bookmarkStart w:id="487" w:name="page488"/>
    <w:bookmarkEnd w:id="487"/>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3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PROGRAM SERVICE LEVEL ADDENDUM</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0139"/>
          </w:cols>
          <w:pgMar w:left="320" w:top="137" w:right="1440" w:bottom="1440" w:gutter="0" w:footer="0" w:header="0"/>
        </w:sectPr>
      </w:pPr>
    </w:p>
    <w:bookmarkStart w:id="488" w:name="page489"/>
    <w:bookmarkEnd w:id="488"/>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PRIVATE LABEL DDA ADDENDUM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MASTER SERVICES AGREEMENT</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This Private Label DDA Addendum (“</w:t>
      </w:r>
      <w:r>
        <w:rPr>
          <w:rFonts w:ascii="Times New Roman" w:cs="Times New Roman" w:eastAsia="Times New Roman" w:hAnsi="Times New Roman"/>
          <w:sz w:val="22"/>
          <w:szCs w:val="22"/>
          <w:b w:val="1"/>
          <w:bCs w:val="1"/>
          <w:color w:val="auto"/>
        </w:rPr>
        <w:t>Addendum</w:t>
      </w:r>
      <w:r>
        <w:rPr>
          <w:rFonts w:ascii="Times New Roman" w:cs="Times New Roman" w:eastAsia="Times New Roman" w:hAnsi="Times New Roman"/>
          <w:sz w:val="22"/>
          <w:szCs w:val="22"/>
          <w:color w:val="auto"/>
        </w:rPr>
        <w:t>”) is made pursuant to the Master Services Agreement dated June 9, 2023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xml:space="preserve">”), between </w:t>
      </w:r>
      <w:r>
        <w:rPr>
          <w:rFonts w:ascii="Times New Roman" w:cs="Times New Roman" w:eastAsia="Times New Roman" w:hAnsi="Times New Roman"/>
          <w:sz w:val="22"/>
          <w:szCs w:val="22"/>
          <w:b w:val="1"/>
          <w:bCs w:val="1"/>
          <w:color w:val="auto"/>
        </w:rPr>
        <w:t>Chime Financial, Inc.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Client</w:t>
      </w:r>
      <w:r>
        <w:rPr>
          <w:rFonts w:ascii="Times New Roman" w:cs="Times New Roman" w:eastAsia="Times New Roman" w:hAnsi="Times New Roman"/>
          <w:sz w:val="22"/>
          <w:szCs w:val="22"/>
          <w:color w:val="auto"/>
        </w:rPr>
        <w:t xml:space="preserve">”), whose principal office is located at 101 California, #500, San Francisco, CA 94111 and </w:t>
      </w:r>
      <w:r>
        <w:rPr>
          <w:rFonts w:ascii="Times New Roman" w:cs="Times New Roman" w:eastAsia="Times New Roman" w:hAnsi="Times New Roman"/>
          <w:sz w:val="22"/>
          <w:szCs w:val="22"/>
          <w:b w:val="1"/>
          <w:bCs w:val="1"/>
          <w:color w:val="auto"/>
        </w:rPr>
        <w:t>The Bancorp Bank,</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22"/>
          <w:szCs w:val="22"/>
          <w:b w:val="1"/>
          <w:bCs w:val="1"/>
          <w:color w:val="auto"/>
        </w:rPr>
        <w:t>.A. (“Bank”)</w:t>
      </w:r>
      <w:r>
        <w:rPr>
          <w:rFonts w:ascii="Times New Roman" w:cs="Times New Roman" w:eastAsia="Times New Roman" w:hAnsi="Times New Roman"/>
          <w:sz w:val="22"/>
          <w:szCs w:val="22"/>
          <w:color w:val="auto"/>
        </w:rPr>
        <w:t>, a nationally-chartered bank with its principal offices at 6100 S. Old Village Place, Sioux Falls, SD 57108. Client and Bank are collectively referred to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 and are individually referred to as a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This Addendum is made in addition to and is not intended to replace or supersede any provisions of the Agreement. To the extent there is an inconsistency between this Addendum and the Agreement, this Addendum shall control only with respect to the offering of Programs.</w:t>
      </w:r>
    </w:p>
    <w:p>
      <w:pPr>
        <w:spacing w:after="0" w:line="17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1.</w:t>
      </w:r>
      <w:r>
        <w:rPr>
          <w:sz w:val="20"/>
          <w:szCs w:val="20"/>
          <w:color w:val="auto"/>
        </w:rPr>
        <w:tab/>
      </w:r>
      <w:r>
        <w:rPr>
          <w:rFonts w:ascii="Times New Roman" w:cs="Times New Roman" w:eastAsia="Times New Roman" w:hAnsi="Times New Roman"/>
          <w:sz w:val="21"/>
          <w:szCs w:val="21"/>
          <w:b w:val="1"/>
          <w:bCs w:val="1"/>
          <w:color w:val="auto"/>
        </w:rPr>
        <w:t>ADDITIONAL DEFINITIONS</w:t>
      </w:r>
    </w:p>
    <w:p>
      <w:pPr>
        <w:spacing w:after="0" w:line="19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As used in this Addendum, the following terms have the following meanings. All other terms have the meaning set forth in the Agreement.</w:t>
      </w:r>
    </w:p>
    <w:p>
      <w:pPr>
        <w:spacing w:after="0" w:line="173" w:lineRule="exact"/>
        <w:rPr>
          <w:sz w:val="20"/>
          <w:szCs w:val="20"/>
          <w:color w:val="auto"/>
        </w:rPr>
      </w:pPr>
    </w:p>
    <w:p>
      <w:pPr>
        <w:ind w:firstLine="656"/>
        <w:spacing w:after="0" w:line="275" w:lineRule="auto"/>
        <w:tabs>
          <w:tab w:leader="none" w:pos="1131" w:val="left"/>
        </w:tabs>
        <w:numPr>
          <w:ilvl w:val="0"/>
          <w:numId w:val="3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Account</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DDA</w:t>
      </w:r>
      <w:r>
        <w:rPr>
          <w:rFonts w:ascii="Times New Roman" w:cs="Times New Roman" w:eastAsia="Times New Roman" w:hAnsi="Times New Roman"/>
          <w:sz w:val="22"/>
          <w:szCs w:val="22"/>
          <w:color w:val="auto"/>
        </w:rPr>
        <w:t>” means a demand deposit account established by Bank for storing and providing transactional access to Customer funds.</w:t>
      </w:r>
    </w:p>
    <w:p>
      <w:pPr>
        <w:spacing w:after="0" w:line="149" w:lineRule="exact"/>
        <w:rPr>
          <w:rFonts w:ascii="Times New Roman" w:cs="Times New Roman" w:eastAsia="Times New Roman" w:hAnsi="Times New Roman"/>
          <w:sz w:val="22"/>
          <w:szCs w:val="22"/>
          <w:color w:val="auto"/>
        </w:rPr>
      </w:pPr>
    </w:p>
    <w:p>
      <w:pPr>
        <w:ind w:firstLine="656"/>
        <w:spacing w:after="0" w:line="275" w:lineRule="auto"/>
        <w:tabs>
          <w:tab w:leader="none" w:pos="1183" w:val="left"/>
        </w:tabs>
        <w:numPr>
          <w:ilvl w:val="0"/>
          <w:numId w:val="3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BSA/AML</w:t>
      </w:r>
      <w:r>
        <w:rPr>
          <w:rFonts w:ascii="Times New Roman" w:cs="Times New Roman" w:eastAsia="Times New Roman" w:hAnsi="Times New Roman"/>
          <w:sz w:val="22"/>
          <w:szCs w:val="22"/>
          <w:color w:val="auto"/>
        </w:rPr>
        <w:t>” means Bank Secrecy Act and anti-money laundering implementing regulations (12 USC 1829b, 12 USC 1951–1959, and 31 USC 5311, et seq).</w:t>
      </w:r>
    </w:p>
    <w:p>
      <w:pPr>
        <w:spacing w:after="0" w:line="162" w:lineRule="exact"/>
        <w:rPr>
          <w:rFonts w:ascii="Times New Roman" w:cs="Times New Roman" w:eastAsia="Times New Roman" w:hAnsi="Times New Roman"/>
          <w:sz w:val="22"/>
          <w:szCs w:val="22"/>
          <w:color w:val="auto"/>
        </w:rPr>
      </w:pPr>
    </w:p>
    <w:p>
      <w:pPr>
        <w:ind w:firstLine="656"/>
        <w:spacing w:after="0" w:line="275" w:lineRule="auto"/>
        <w:tabs>
          <w:tab w:leader="none" w:pos="1144" w:val="left"/>
        </w:tabs>
        <w:numPr>
          <w:ilvl w:val="0"/>
          <w:numId w:val="3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Card Pack</w:t>
      </w:r>
      <w:r>
        <w:rPr>
          <w:rFonts w:ascii="Times New Roman" w:cs="Times New Roman" w:eastAsia="Times New Roman" w:hAnsi="Times New Roman"/>
          <w:sz w:val="22"/>
          <w:szCs w:val="22"/>
          <w:color w:val="auto"/>
        </w:rPr>
        <w:t>” means a retail or direct mail packet that includes a Card together with the Customer Disclosures and that is produced by or on behalf of Client for distribution to a Customer.</w:t>
      </w:r>
    </w:p>
    <w:p>
      <w:pPr>
        <w:spacing w:after="0" w:line="149"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3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Customer Complaint Guidelines</w:t>
      </w:r>
      <w:r>
        <w:rPr>
          <w:rFonts w:ascii="Times New Roman" w:cs="Times New Roman" w:eastAsia="Times New Roman" w:hAnsi="Times New Roman"/>
          <w:sz w:val="21"/>
          <w:szCs w:val="21"/>
          <w:color w:val="auto"/>
        </w:rPr>
        <w:t>” means the Customer Services and Complaint Resolution Guidelines set forth in</w:t>
      </w:r>
    </w:p>
    <w:p>
      <w:pPr>
        <w:spacing w:after="0" w:line="43"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b w:val="1"/>
          <w:bCs w:val="1"/>
          <w:color w:val="auto"/>
        </w:rPr>
        <w:t>Schedule G</w:t>
      </w:r>
      <w:r>
        <w:rPr>
          <w:rFonts w:ascii="Times New Roman" w:cs="Times New Roman" w:eastAsia="Times New Roman" w:hAnsi="Times New Roman"/>
          <w:sz w:val="22"/>
          <w:szCs w:val="22"/>
          <w:color w:val="auto"/>
        </w:rPr>
        <w:t>.</w:t>
      </w:r>
    </w:p>
    <w:p>
      <w:pPr>
        <w:spacing w:after="0" w:line="191" w:lineRule="exact"/>
        <w:rPr>
          <w:rFonts w:ascii="Times New Roman" w:cs="Times New Roman" w:eastAsia="Times New Roman" w:hAnsi="Times New Roman"/>
          <w:sz w:val="21"/>
          <w:szCs w:val="21"/>
          <w:color w:val="auto"/>
        </w:rPr>
      </w:pPr>
    </w:p>
    <w:p>
      <w:pPr>
        <w:ind w:firstLine="656"/>
        <w:spacing w:after="0" w:line="287" w:lineRule="auto"/>
        <w:tabs>
          <w:tab w:leader="none" w:pos="1252" w:val="left"/>
        </w:tabs>
        <w:numPr>
          <w:ilvl w:val="0"/>
          <w:numId w:val="3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Debit Card</w:t>
      </w:r>
      <w:r>
        <w:rPr>
          <w:rFonts w:ascii="Times New Roman" w:cs="Times New Roman" w:eastAsia="Times New Roman" w:hAnsi="Times New Roman"/>
          <w:sz w:val="22"/>
          <w:szCs w:val="22"/>
          <w:color w:val="auto"/>
        </w:rPr>
        <w:t>” means a Network branded debit card issued by Bank in connection with an Account or DDA providing access to the funds on deposit through Network based Transactions, including ATM transactions.</w:t>
      </w:r>
    </w:p>
    <w:p>
      <w:pPr>
        <w:spacing w:after="0" w:line="137" w:lineRule="exact"/>
        <w:rPr>
          <w:rFonts w:ascii="Times New Roman" w:cs="Times New Roman" w:eastAsia="Times New Roman" w:hAnsi="Times New Roman"/>
          <w:sz w:val="22"/>
          <w:szCs w:val="22"/>
          <w:color w:val="auto"/>
        </w:rPr>
      </w:pPr>
    </w:p>
    <w:p>
      <w:pPr>
        <w:ind w:firstLine="656"/>
        <w:spacing w:after="0" w:line="275" w:lineRule="auto"/>
        <w:tabs>
          <w:tab w:leader="none" w:pos="1120" w:val="left"/>
        </w:tabs>
        <w:numPr>
          <w:ilvl w:val="0"/>
          <w:numId w:val="3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Distribution Channel</w:t>
      </w:r>
      <w:r>
        <w:rPr>
          <w:rFonts w:ascii="Times New Roman" w:cs="Times New Roman" w:eastAsia="Times New Roman" w:hAnsi="Times New Roman"/>
          <w:sz w:val="22"/>
          <w:szCs w:val="22"/>
          <w:color w:val="auto"/>
        </w:rPr>
        <w:t>” means a physical or electronic location or channel where Accounts are being marketed or sold under this Agreement</w:t>
      </w:r>
    </w:p>
    <w:p>
      <w:pPr>
        <w:spacing w:after="0" w:line="149" w:lineRule="exact"/>
        <w:rPr>
          <w:rFonts w:ascii="Times New Roman" w:cs="Times New Roman" w:eastAsia="Times New Roman" w:hAnsi="Times New Roman"/>
          <w:sz w:val="22"/>
          <w:szCs w:val="22"/>
          <w:color w:val="auto"/>
        </w:rPr>
      </w:pPr>
    </w:p>
    <w:p>
      <w:pPr>
        <w:ind w:firstLine="656"/>
        <w:spacing w:after="0" w:line="275" w:lineRule="auto"/>
        <w:tabs>
          <w:tab w:leader="none" w:pos="1116" w:val="left"/>
        </w:tabs>
        <w:numPr>
          <w:ilvl w:val="0"/>
          <w:numId w:val="3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Processing Services</w:t>
      </w:r>
      <w:r>
        <w:rPr>
          <w:rFonts w:ascii="Times New Roman" w:cs="Times New Roman" w:eastAsia="Times New Roman" w:hAnsi="Times New Roman"/>
          <w:sz w:val="22"/>
          <w:szCs w:val="22"/>
          <w:color w:val="auto"/>
        </w:rPr>
        <w:t xml:space="preserve">” means those services that are described in </w:t>
      </w:r>
      <w:r>
        <w:rPr>
          <w:rFonts w:ascii="Times New Roman" w:cs="Times New Roman" w:eastAsia="Times New Roman" w:hAnsi="Times New Roman"/>
          <w:sz w:val="22"/>
          <w:szCs w:val="22"/>
          <w:b w:val="1"/>
          <w:bCs w:val="1"/>
          <w:color w:val="auto"/>
        </w:rPr>
        <w:t>Schedule E</w:t>
      </w:r>
      <w:r>
        <w:rPr>
          <w:rFonts w:ascii="Times New Roman" w:cs="Times New Roman" w:eastAsia="Times New Roman" w:hAnsi="Times New Roman"/>
          <w:sz w:val="22"/>
          <w:szCs w:val="22"/>
          <w:color w:val="auto"/>
        </w:rPr>
        <w:t xml:space="preserve"> and which are necessary to establish a Program and process a Transaction in accordance with Applicable Law the Rules.</w:t>
      </w:r>
    </w:p>
    <w:p>
      <w:pPr>
        <w:spacing w:after="0" w:line="162"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3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Regulation E</w:t>
      </w:r>
      <w:r>
        <w:rPr>
          <w:rFonts w:ascii="Times New Roman" w:cs="Times New Roman" w:eastAsia="Times New Roman" w:hAnsi="Times New Roman"/>
          <w:sz w:val="22"/>
          <w:szCs w:val="22"/>
          <w:color w:val="auto"/>
        </w:rPr>
        <w:t>” means 12 CFR Chapter X of the Electronic Fund Transfer Act (15 U.S.C. 1693 et seq.).</w:t>
      </w:r>
    </w:p>
    <w:p>
      <w:pPr>
        <w:sectPr>
          <w:pgSz w:w="11900" w:h="16838" w:orient="portrait"/>
          <w:cols w:equalWidth="0" w:num="1">
            <w:col w:w="11240"/>
          </w:cols>
          <w:pgMar w:left="320" w:top="137" w:right="339" w:bottom="1440" w:gutter="0" w:footer="0" w:header="0"/>
        </w:sectPr>
      </w:pPr>
    </w:p>
    <w:bookmarkStart w:id="489" w:name="page490"/>
    <w:bookmarkEnd w:id="489"/>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firstLine="656"/>
        <w:spacing w:after="0" w:line="275" w:lineRule="auto"/>
        <w:tabs>
          <w:tab w:leader="none" w:pos="1149" w:val="left"/>
        </w:tabs>
        <w:numPr>
          <w:ilvl w:val="1"/>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Required Reports</w:t>
      </w:r>
      <w:r>
        <w:rPr>
          <w:rFonts w:ascii="Times New Roman" w:cs="Times New Roman" w:eastAsia="Times New Roman" w:hAnsi="Times New Roman"/>
          <w:sz w:val="22"/>
          <w:szCs w:val="22"/>
          <w:color w:val="auto"/>
        </w:rPr>
        <w:t xml:space="preserve">” means, in addition to the definition set forth in the Master Services Agreement, the reports listed in </w:t>
      </w:r>
      <w:r>
        <w:rPr>
          <w:rFonts w:ascii="Times New Roman" w:cs="Times New Roman" w:eastAsia="Times New Roman" w:hAnsi="Times New Roman"/>
          <w:sz w:val="22"/>
          <w:szCs w:val="22"/>
          <w:b w:val="1"/>
          <w:bCs w:val="1"/>
          <w:color w:val="auto"/>
        </w:rPr>
        <w:t>Schedule E</w:t>
      </w:r>
      <w:r>
        <w:rPr>
          <w:rFonts w:ascii="Times New Roman" w:cs="Times New Roman" w:eastAsia="Times New Roman" w:hAnsi="Times New Roman"/>
          <w:sz w:val="22"/>
          <w:szCs w:val="22"/>
          <w:color w:val="auto"/>
        </w:rPr>
        <w:t>.</w:t>
      </w:r>
    </w:p>
    <w:p>
      <w:pPr>
        <w:spacing w:after="0" w:line="149" w:lineRule="exact"/>
        <w:rPr>
          <w:rFonts w:ascii="Times New Roman" w:cs="Times New Roman" w:eastAsia="Times New Roman" w:hAnsi="Times New Roman"/>
          <w:sz w:val="22"/>
          <w:szCs w:val="22"/>
          <w:color w:val="auto"/>
        </w:rPr>
      </w:pPr>
    </w:p>
    <w:p>
      <w:pPr>
        <w:ind w:right="20" w:firstLine="656"/>
        <w:spacing w:after="0" w:line="287" w:lineRule="auto"/>
        <w:tabs>
          <w:tab w:leader="none" w:pos="1081" w:val="left"/>
        </w:tabs>
        <w:numPr>
          <w:ilvl w:val="1"/>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Service Interruption</w:t>
      </w:r>
      <w:r>
        <w:rPr>
          <w:rFonts w:ascii="Times New Roman" w:cs="Times New Roman" w:eastAsia="Times New Roman" w:hAnsi="Times New Roman"/>
          <w:sz w:val="22"/>
          <w:szCs w:val="22"/>
          <w:color w:val="auto"/>
        </w:rPr>
        <w:t>” means a non-scheduled interruption of System Availability that impairs a Customer’s ability to access Card or Account information or perform Transactions.</w:t>
      </w:r>
    </w:p>
    <w:p>
      <w:pPr>
        <w:spacing w:after="0" w:line="137"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1"/>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Service Levels</w:t>
      </w:r>
      <w:r>
        <w:rPr>
          <w:rFonts w:ascii="Times New Roman" w:cs="Times New Roman" w:eastAsia="Times New Roman" w:hAnsi="Times New Roman"/>
          <w:sz w:val="22"/>
          <w:szCs w:val="22"/>
          <w:color w:val="auto"/>
        </w:rPr>
        <w:t xml:space="preserve">” mean the service level agreements set forth in </w:t>
      </w:r>
      <w:r>
        <w:rPr>
          <w:rFonts w:ascii="Times New Roman" w:cs="Times New Roman" w:eastAsia="Times New Roman" w:hAnsi="Times New Roman"/>
          <w:sz w:val="22"/>
          <w:szCs w:val="22"/>
          <w:b w:val="1"/>
          <w:bCs w:val="1"/>
          <w:color w:val="auto"/>
        </w:rPr>
        <w:t>Schedule D</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3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ISSUANCE AND DISTRIBUTION</w:t>
      </w:r>
    </w:p>
    <w:p>
      <w:pPr>
        <w:spacing w:after="0" w:line="22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u w:val="single" w:color="auto"/>
          <w:color w:val="auto"/>
        </w:rPr>
        <w:t>Marketing</w:t>
      </w:r>
      <w:r>
        <w:rPr>
          <w:rFonts w:ascii="Times New Roman" w:cs="Times New Roman" w:eastAsia="Times New Roman" w:hAnsi="Times New Roman"/>
          <w:sz w:val="22"/>
          <w:szCs w:val="22"/>
          <w:color w:val="auto"/>
        </w:rPr>
        <w:t>. Accounts may be marketed directly by Client or through Subcontractors and Distribution Channels approved by Bank in writing.</w:t>
      </w:r>
    </w:p>
    <w:p>
      <w:pPr>
        <w:spacing w:after="0" w:line="17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1"/>
          <w:szCs w:val="21"/>
          <w:u w:val="single" w:color="auto"/>
          <w:color w:val="auto"/>
        </w:rPr>
        <w:t>Issuance</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56"/>
        <w:spacing w:after="0" w:line="260" w:lineRule="auto"/>
        <w:tabs>
          <w:tab w:leader="none" w:pos="1177" w:val="left"/>
        </w:tabs>
        <w:numPr>
          <w:ilvl w:val="1"/>
          <w:numId w:val="3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Bank shall establish Accounts and issue Cards in accordance with the Agreement and subject to Applicable Law, with the understanding that the Cards are, and shall at all times remain, the property of Bank. Nothing herein shall be interpreted to require Bank to establish a certain number of Accounts or Cards. Bank shall have the right to terminate marketing and issuance of new Accounts at its discretion, but in no event without providing Client prior written notice of at least one hundred and eighty</w:t>
      </w:r>
    </w:p>
    <w:p>
      <w:pPr>
        <w:spacing w:after="0" w:line="3" w:lineRule="exact"/>
        <w:rPr>
          <w:rFonts w:ascii="Times New Roman" w:cs="Times New Roman" w:eastAsia="Times New Roman" w:hAnsi="Times New Roman"/>
          <w:sz w:val="21"/>
          <w:szCs w:val="21"/>
          <w:color w:val="auto"/>
        </w:rPr>
      </w:pPr>
    </w:p>
    <w:p>
      <w:pPr>
        <w:ind w:firstLine="8"/>
        <w:spacing w:after="0" w:line="261" w:lineRule="auto"/>
        <w:tabs>
          <w:tab w:leader="none" w:pos="543" w:val="left"/>
        </w:tabs>
        <w:numPr>
          <w:ilvl w:val="0"/>
          <w:numId w:val="3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or such shorter period of time as may be required by Applicable Law, Regulatory Authority, or Bank’s safety and soundness standards.</w:t>
      </w:r>
    </w:p>
    <w:p>
      <w:pPr>
        <w:spacing w:after="0" w:line="168" w:lineRule="exact"/>
        <w:rPr>
          <w:rFonts w:ascii="Times New Roman" w:cs="Times New Roman" w:eastAsia="Times New Roman" w:hAnsi="Times New Roman"/>
          <w:sz w:val="22"/>
          <w:szCs w:val="22"/>
          <w:color w:val="auto"/>
        </w:rPr>
      </w:pPr>
    </w:p>
    <w:p>
      <w:pPr>
        <w:jc w:val="both"/>
        <w:ind w:firstLine="656"/>
        <w:spacing w:after="0" w:line="252" w:lineRule="auto"/>
        <w:tabs>
          <w:tab w:leader="none" w:pos="1170" w:val="left"/>
        </w:tabs>
        <w:numPr>
          <w:ilvl w:val="1"/>
          <w:numId w:val="3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Client shall be responsible for, including all expenses associated with, the manufacturing and printing of all Cards and the applicable Customer Disclosures as approved by Bank from time to time. All such Cards and Customer Disclosures shall comply with Applicable Law and identify Bank as the issuer. Any design for Cards and Customer Disclosures shall be subject to Bank’s prior approval, which shall not be unreasonably withheld or delayed.</w:t>
      </w:r>
    </w:p>
    <w:p>
      <w:pPr>
        <w:spacing w:after="0" w:line="19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2.3 </w:t>
      </w:r>
      <w:r>
        <w:rPr>
          <w:rFonts w:ascii="Times New Roman" w:cs="Times New Roman" w:eastAsia="Times New Roman" w:hAnsi="Times New Roman"/>
          <w:sz w:val="22"/>
          <w:szCs w:val="22"/>
          <w:u w:val="single" w:color="auto"/>
          <w:color w:val="auto"/>
        </w:rPr>
        <w:t>Account Activation</w:t>
      </w:r>
      <w:r>
        <w:rPr>
          <w:rFonts w:ascii="Times New Roman" w:cs="Times New Roman" w:eastAsia="Times New Roman" w:hAnsi="Times New Roman"/>
          <w:sz w:val="22"/>
          <w:szCs w:val="22"/>
          <w:color w:val="auto"/>
        </w:rPr>
        <w:t>. DDAs for approved Customers may be activated by Customers (i) calling an interactive voice response unit (“IVRU”), (ii) accessing a webpage, or (iii) as otherwise described and approved in the applicable Program Authorization Letter.</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2.4 </w:t>
      </w:r>
      <w:r>
        <w:rPr>
          <w:rFonts w:ascii="Times New Roman" w:cs="Times New Roman" w:eastAsia="Times New Roman" w:hAnsi="Times New Roman"/>
          <w:sz w:val="22"/>
          <w:szCs w:val="22"/>
          <w:u w:val="single" w:color="auto"/>
          <w:color w:val="auto"/>
        </w:rPr>
        <w:t>Distribution</w:t>
      </w:r>
      <w:r>
        <w:rPr>
          <w:rFonts w:ascii="Times New Roman" w:cs="Times New Roman" w:eastAsia="Times New Roman" w:hAnsi="Times New Roman"/>
          <w:sz w:val="22"/>
          <w:szCs w:val="22"/>
          <w:color w:val="auto"/>
        </w:rPr>
        <w:t>. Client shall be responsible for the distribution of Cards (or Card Packs) and Customer Disclosures, as may be described in any Program Authorization Letter. Client shall ensure that any and all Cards are handled, shipped and distributed in accordance with Applicable Law. Client agrees that it shall implement any and all inventory management controls required by Applicable Law for any and all Cards that are maintained in its possession or in the possession of any Subcontractor. Client agrees that it will send inventory reports as may be requested by the Bank from time to time.</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2.5 </w:t>
      </w:r>
      <w:r>
        <w:rPr>
          <w:rFonts w:ascii="Times New Roman" w:cs="Times New Roman" w:eastAsia="Times New Roman" w:hAnsi="Times New Roman"/>
          <w:sz w:val="22"/>
          <w:szCs w:val="22"/>
          <w:u w:val="single" w:color="auto"/>
          <w:color w:val="auto"/>
        </w:rPr>
        <w:t>Modifications</w:t>
      </w:r>
      <w:r>
        <w:rPr>
          <w:rFonts w:ascii="Times New Roman" w:cs="Times New Roman" w:eastAsia="Times New Roman" w:hAnsi="Times New Roman"/>
          <w:sz w:val="22"/>
          <w:szCs w:val="22"/>
          <w:color w:val="auto"/>
        </w:rPr>
        <w:t>. In the event that Bank, in its sole discretion, determines that the Customer Disclosures do not comply with any Applicable Law, Client shall immediately cease delivery of such Customer Disclosures as directed by Bank. The Parties shall reasonably cooperate with one another to promptly include any amended Customer Disclosures in Card Packs, including</w:t>
      </w:r>
    </w:p>
    <w:p>
      <w:pPr>
        <w:sectPr>
          <w:pgSz w:w="11900" w:h="16838" w:orient="portrait"/>
          <w:cols w:equalWidth="0" w:num="1">
            <w:col w:w="11240"/>
          </w:cols>
          <w:pgMar w:left="320" w:top="137" w:right="339" w:bottom="1440" w:gutter="0" w:footer="0" w:header="0"/>
        </w:sectPr>
      </w:pPr>
    </w:p>
    <w:bookmarkStart w:id="490" w:name="page491"/>
    <w:bookmarkEnd w:id="490"/>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replacing any Card Packs or printed materials with amended Customer Disclosures. Unless otherwise agreed, all costs and expenses associated therewith shall be borne solely by Client.</w:t>
      </w:r>
    </w:p>
    <w:p>
      <w:pPr>
        <w:spacing w:after="0" w:line="17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2.6</w:t>
      </w:r>
      <w:r>
        <w:rPr>
          <w:sz w:val="20"/>
          <w:szCs w:val="20"/>
          <w:color w:val="auto"/>
        </w:rPr>
        <w:tab/>
      </w:r>
      <w:r>
        <w:rPr>
          <w:rFonts w:ascii="Times New Roman" w:cs="Times New Roman" w:eastAsia="Times New Roman" w:hAnsi="Times New Roman"/>
          <w:sz w:val="21"/>
          <w:szCs w:val="21"/>
          <w:u w:val="single" w:color="auto"/>
          <w:color w:val="auto"/>
        </w:rPr>
        <w:t>Processing Services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56"/>
        <w:spacing w:after="0" w:line="238" w:lineRule="auto"/>
        <w:tabs>
          <w:tab w:leader="none" w:pos="1123" w:val="left"/>
        </w:tabs>
        <w:numPr>
          <w:ilvl w:val="1"/>
          <w:numId w:val="3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agreed or amended by the provisions of any Program Authorization Letter, Client shall ensure that the Processing Services are provided in accordance with the minimum Service Levels. Client shall contract with a Processor approved in writing by Bank (through a “</w:t>
      </w:r>
      <w:r>
        <w:rPr>
          <w:rFonts w:ascii="Times New Roman" w:cs="Times New Roman" w:eastAsia="Times New Roman" w:hAnsi="Times New Roman"/>
          <w:sz w:val="22"/>
          <w:szCs w:val="22"/>
          <w:b w:val="1"/>
          <w:bCs w:val="1"/>
          <w:color w:val="auto"/>
        </w:rPr>
        <w:t>Processor Agreement</w:t>
      </w:r>
      <w:r>
        <w:rPr>
          <w:rFonts w:ascii="Times New Roman" w:cs="Times New Roman" w:eastAsia="Times New Roman" w:hAnsi="Times New Roman"/>
          <w:sz w:val="22"/>
          <w:szCs w:val="22"/>
          <w:color w:val="auto"/>
        </w:rPr>
        <w:t>”) for purposes of providing Processing Services. Such Processor Agreement shall specifically provide that Bank, Client and Processor shall enter into a tri-party agreement whereby Bank shall be entitled to rely upon and enforce as a third party beneficiary the provisions of the Processing Agreement in the event of a breach of this Agreement by Client. The Processor Agreement shall entitle Bank to receive directly all Customer data and those reports provided by Processor to Client as well as any additional reports that the Bank may reasonably request from time to time. In no event may Client materially alter, change, amend, or otherwise terminate any contractual relationship with Processor without the consent of Bank. Any and all Processor Agreements shall include a service level agreement requiring that the Processing Services be provided in a professional manner in accordance with industry standards and, further, providing for appropriate monitoring, monthly reporting, and penalties for performance outside of parameters specified by Bank. Notwithstanding the foregoing, pursuant to Section 3.8 of the Agreement, Client may directly perform any Processing Services related to this Addendum, subject to Bank’s prior written approval. In the event that Client directly performs such Processing Services, the Parties shall negotiate in good faith any additional agreement required to facilitate such Processing Services, prior to Client commencing such services directly.</w:t>
      </w:r>
    </w:p>
    <w:p>
      <w:pPr>
        <w:spacing w:after="0" w:line="178" w:lineRule="exact"/>
        <w:rPr>
          <w:rFonts w:ascii="Times New Roman" w:cs="Times New Roman" w:eastAsia="Times New Roman" w:hAnsi="Times New Roman"/>
          <w:sz w:val="22"/>
          <w:szCs w:val="22"/>
          <w:color w:val="auto"/>
        </w:rPr>
      </w:pPr>
    </w:p>
    <w:p>
      <w:pPr>
        <w:jc w:val="both"/>
        <w:ind w:firstLine="656"/>
        <w:spacing w:after="0" w:line="239" w:lineRule="auto"/>
        <w:tabs>
          <w:tab w:leader="none" w:pos="1116" w:val="left"/>
        </w:tabs>
        <w:numPr>
          <w:ilvl w:val="1"/>
          <w:numId w:val="3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Service Interruptions.</w:t>
      </w:r>
      <w:r>
        <w:rPr>
          <w:rFonts w:ascii="Times New Roman" w:cs="Times New Roman" w:eastAsia="Times New Roman" w:hAnsi="Times New Roman"/>
          <w:sz w:val="22"/>
          <w:szCs w:val="22"/>
          <w:color w:val="auto"/>
        </w:rPr>
        <w:t xml:space="preserve"> In the event that Client or any Subcontractor experiences any Service Interruption, Client shall inform Bank in writing of such Service Interruption within twenty-four hours of Client’s discovery. Client shall make commercially reasonable efforts to resolve the Service Interruption as promptly as possible, in addition to taking all reasonable actions to remediate the root cause of the Service Interruption, and will provide Bank with bi-hourly updates until the Service Interruption is resolved. Client shall perform a root cause analysis of the Service Interruption and provide Bank a report detailing the root cause analysis and the actions taken by Client to resolve the Service Interruption within [***] of resolving the Service Interruption. Bank reserves the right to perform an audit of the Service Interruption, Client’s resolution and remediation of the root cause of the Service Interruption, and Client’s communication with Bank throughout the Service Interruption, which shall not be subject to the audit frequency limitations of Section 3.13 of the Agreement. Failure to adhere to any of the requirements in this Section 2.6(b) shall be subject to termination of the Agreement or this Addendum by Bank.</w:t>
      </w:r>
    </w:p>
    <w:p>
      <w:pPr>
        <w:spacing w:after="0" w:line="176"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3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PROGRAMS GENERALLY</w:t>
      </w:r>
    </w:p>
    <w:p>
      <w:pPr>
        <w:spacing w:after="0" w:line="206"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Program Accounts</w:t>
      </w:r>
      <w:r>
        <w:rPr>
          <w:rFonts w:ascii="Times New Roman" w:cs="Times New Roman" w:eastAsia="Times New Roman" w:hAnsi="Times New Roman"/>
          <w:sz w:val="22"/>
          <w:szCs w:val="22"/>
          <w:color w:val="auto"/>
        </w:rPr>
        <w:t xml:space="preserve">. Any Program Accounts necessary for the facilitation of Programs shall be set forth in </w:t>
      </w:r>
      <w:r>
        <w:rPr>
          <w:rFonts w:ascii="Times New Roman" w:cs="Times New Roman" w:eastAsia="Times New Roman" w:hAnsi="Times New Roman"/>
          <w:sz w:val="22"/>
          <w:szCs w:val="22"/>
          <w:b w:val="1"/>
          <w:bCs w:val="1"/>
          <w:color w:val="auto"/>
        </w:rPr>
        <w:t>Schedule F</w:t>
      </w:r>
      <w:r>
        <w:rPr>
          <w:rFonts w:ascii="Times New Roman" w:cs="Times New Roman" w:eastAsia="Times New Roman" w:hAnsi="Times New Roman"/>
          <w:sz w:val="22"/>
          <w:szCs w:val="22"/>
          <w:color w:val="auto"/>
        </w:rPr>
        <w:t xml:space="preserve"> to this Addendum.</w:t>
      </w:r>
    </w:p>
    <w:p>
      <w:pPr>
        <w:spacing w:after="0" w:line="14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1"/>
          <w:szCs w:val="21"/>
          <w:u w:val="single" w:color="auto"/>
          <w:color w:val="auto"/>
        </w:rPr>
        <w:t>Account Funding</w:t>
      </w:r>
      <w:r>
        <w:rPr>
          <w:rFonts w:ascii="Times New Roman" w:cs="Times New Roman" w:eastAsia="Times New Roman" w:hAnsi="Times New Roman"/>
          <w:sz w:val="21"/>
          <w:szCs w:val="21"/>
          <w:color w:val="auto"/>
        </w:rPr>
        <w:t>.</w:t>
      </w:r>
    </w:p>
    <w:p>
      <w:pPr>
        <w:sectPr>
          <w:pgSz w:w="11900" w:h="16838" w:orient="portrait"/>
          <w:cols w:equalWidth="0" w:num="1">
            <w:col w:w="11240"/>
          </w:cols>
          <w:pgMar w:left="320" w:top="137" w:right="339" w:bottom="1440" w:gutter="0" w:footer="0" w:header="0"/>
        </w:sectPr>
      </w:pPr>
    </w:p>
    <w:bookmarkStart w:id="491" w:name="page492"/>
    <w:bookmarkEnd w:id="491"/>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firstLine="656"/>
        <w:spacing w:after="0" w:line="257" w:lineRule="auto"/>
        <w:tabs>
          <w:tab w:leader="none" w:pos="1185" w:val="left"/>
        </w:tabs>
        <w:numPr>
          <w:ilvl w:val="0"/>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Funding Mechanisms</w:t>
      </w:r>
      <w:r>
        <w:rPr>
          <w:rFonts w:ascii="Times New Roman" w:cs="Times New Roman" w:eastAsia="Times New Roman" w:hAnsi="Times New Roman"/>
          <w:sz w:val="22"/>
          <w:szCs w:val="22"/>
          <w:color w:val="auto"/>
        </w:rPr>
        <w:t xml:space="preserve">. All Networks and mechanisms for funding Accounts and Program Accounts will be as set forth in this Addendum, the applicable Program Authorization Letter, and/or </w:t>
      </w:r>
      <w:r>
        <w:rPr>
          <w:rFonts w:ascii="Times New Roman" w:cs="Times New Roman" w:eastAsia="Times New Roman" w:hAnsi="Times New Roman"/>
          <w:sz w:val="22"/>
          <w:szCs w:val="22"/>
          <w:b w:val="1"/>
          <w:bCs w:val="1"/>
          <w:color w:val="auto"/>
        </w:rPr>
        <w:t>Schedule F</w:t>
      </w:r>
      <w:r>
        <w:rPr>
          <w:rFonts w:ascii="Times New Roman" w:cs="Times New Roman" w:eastAsia="Times New Roman" w:hAnsi="Times New Roman"/>
          <w:sz w:val="22"/>
          <w:szCs w:val="22"/>
          <w:color w:val="auto"/>
        </w:rPr>
        <w:t xml:space="preserve"> to this Addendum. No funding mechanism may be utilized or altered unless approved by Bank in writing.</w:t>
      </w:r>
    </w:p>
    <w:p>
      <w:pPr>
        <w:spacing w:after="0" w:line="186" w:lineRule="exact"/>
        <w:rPr>
          <w:rFonts w:ascii="Times New Roman" w:cs="Times New Roman" w:eastAsia="Times New Roman" w:hAnsi="Times New Roman"/>
          <w:sz w:val="22"/>
          <w:szCs w:val="22"/>
          <w:color w:val="auto"/>
        </w:rPr>
      </w:pPr>
    </w:p>
    <w:p>
      <w:pPr>
        <w:jc w:val="both"/>
        <w:ind w:right="20" w:firstLine="656"/>
        <w:spacing w:after="0" w:line="252" w:lineRule="auto"/>
        <w:tabs>
          <w:tab w:leader="none" w:pos="1237" w:val="left"/>
        </w:tabs>
        <w:numPr>
          <w:ilvl w:val="0"/>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Liability for Funding Failures</w:t>
      </w:r>
      <w:r>
        <w:rPr>
          <w:rFonts w:ascii="Times New Roman" w:cs="Times New Roman" w:eastAsia="Times New Roman" w:hAnsi="Times New Roman"/>
          <w:sz w:val="22"/>
          <w:szCs w:val="22"/>
          <w:color w:val="auto"/>
        </w:rPr>
        <w:t>. Except to the extent directly caused by the actions of the Bank, Client shall be responsible for all Funding Failures. In the event of a Funding Failure in connection with any Program, Client shall, within [***] after receiving notice of such Funding Failure from Bank, fully fund any shortfall in any Program Account. Client shall pay Bank a monetary assessment equal to [***] day notice period any transfer amount that is outstanding.</w:t>
      </w:r>
    </w:p>
    <w:p>
      <w:pPr>
        <w:spacing w:after="0" w:line="17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3.3</w:t>
      </w:r>
      <w:r>
        <w:rPr>
          <w:sz w:val="20"/>
          <w:szCs w:val="20"/>
          <w:color w:val="auto"/>
        </w:rPr>
        <w:tab/>
      </w:r>
      <w:r>
        <w:rPr>
          <w:rFonts w:ascii="Times New Roman" w:cs="Times New Roman" w:eastAsia="Times New Roman" w:hAnsi="Times New Roman"/>
          <w:sz w:val="21"/>
          <w:szCs w:val="21"/>
          <w:u w:val="single" w:color="auto"/>
          <w:color w:val="auto"/>
        </w:rPr>
        <w:t>Program Revenues</w:t>
      </w:r>
      <w:r>
        <w:rPr>
          <w:rFonts w:ascii="Times New Roman" w:cs="Times New Roman" w:eastAsia="Times New Roman" w:hAnsi="Times New Roman"/>
          <w:sz w:val="21"/>
          <w:szCs w:val="21"/>
          <w:color w:val="auto"/>
        </w:rPr>
        <w:t>. The Program pricing and fees shall be as set forth in</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b w:val="1"/>
          <w:bCs w:val="1"/>
          <w:color w:val="auto"/>
        </w:rPr>
        <w:t>EXHIBIT A</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to the Agreement.</w:t>
      </w:r>
    </w:p>
    <w:p>
      <w:pPr>
        <w:spacing w:after="0" w:line="23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3.4</w:t>
      </w:r>
      <w:r>
        <w:rPr>
          <w:sz w:val="20"/>
          <w:szCs w:val="20"/>
          <w:color w:val="auto"/>
        </w:rPr>
        <w:tab/>
      </w:r>
      <w:r>
        <w:rPr>
          <w:rFonts w:ascii="Times New Roman" w:cs="Times New Roman" w:eastAsia="Times New Roman" w:hAnsi="Times New Roman"/>
          <w:sz w:val="21"/>
          <w:szCs w:val="21"/>
          <w:u w:val="single" w:color="auto"/>
          <w:color w:val="auto"/>
        </w:rPr>
        <w:t>Required Reports</w:t>
      </w:r>
      <w:r>
        <w:rPr>
          <w:rFonts w:ascii="Times New Roman" w:cs="Times New Roman" w:eastAsia="Times New Roman" w:hAnsi="Times New Roman"/>
          <w:sz w:val="21"/>
          <w:szCs w:val="21"/>
          <w:color w:val="auto"/>
        </w:rPr>
        <w:t>. Client shall make available to Bank upon request all Required Reports reasonably requested by Bank.</w:t>
      </w:r>
    </w:p>
    <w:p>
      <w:pPr>
        <w:spacing w:after="0" w:line="22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3.5</w:t>
      </w:r>
      <w:r>
        <w:rPr>
          <w:sz w:val="20"/>
          <w:szCs w:val="20"/>
          <w:color w:val="auto"/>
        </w:rPr>
        <w:tab/>
      </w:r>
      <w:r>
        <w:rPr>
          <w:rFonts w:ascii="Times New Roman" w:cs="Times New Roman" w:eastAsia="Times New Roman" w:hAnsi="Times New Roman"/>
          <w:sz w:val="21"/>
          <w:szCs w:val="21"/>
          <w:u w:val="single" w:color="auto"/>
          <w:color w:val="auto"/>
        </w:rPr>
        <w:t>ACH Services</w:t>
      </w:r>
      <w:r>
        <w:rPr>
          <w:rFonts w:ascii="Times New Roman" w:cs="Times New Roman" w:eastAsia="Times New Roman" w:hAnsi="Times New Roman"/>
          <w:sz w:val="21"/>
          <w:szCs w:val="21"/>
          <w:color w:val="auto"/>
        </w:rPr>
        <w:t>. With respect to ACH Transactions on a Program, the Parties agree as follows:</w:t>
      </w:r>
    </w:p>
    <w:p>
      <w:pPr>
        <w:spacing w:after="0" w:line="220" w:lineRule="exact"/>
        <w:rPr>
          <w:sz w:val="20"/>
          <w:szCs w:val="20"/>
          <w:color w:val="auto"/>
        </w:rPr>
      </w:pPr>
    </w:p>
    <w:p>
      <w:pPr>
        <w:ind w:firstLine="656"/>
        <w:spacing w:after="0" w:line="271" w:lineRule="auto"/>
        <w:tabs>
          <w:tab w:leader="none" w:pos="1199" w:val="left"/>
        </w:tabs>
        <w:numPr>
          <w:ilvl w:val="0"/>
          <w:numId w:val="3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terms have the meanings set forth in the NACHA Rules: Entry, Originating Depository Financial Institution (ODFI), Receiver, Single-Entry, and WEB Entry.</w:t>
      </w:r>
    </w:p>
    <w:p>
      <w:pPr>
        <w:spacing w:after="0" w:line="157"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3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Client will, or will ensure Processor will, do the following:</w:t>
      </w:r>
    </w:p>
    <w:p>
      <w:pPr>
        <w:spacing w:after="0" w:line="220" w:lineRule="exact"/>
        <w:rPr>
          <w:sz w:val="20"/>
          <w:szCs w:val="20"/>
          <w:color w:val="auto"/>
        </w:rPr>
      </w:pPr>
    </w:p>
    <w:p>
      <w:pPr>
        <w:ind w:left="1620" w:hanging="34"/>
        <w:spacing w:after="0" w:line="281" w:lineRule="auto"/>
        <w:rPr>
          <w:sz w:val="20"/>
          <w:szCs w:val="20"/>
          <w:color w:val="auto"/>
        </w:rPr>
      </w:pPr>
      <w:r>
        <w:rPr>
          <w:rFonts w:ascii="Times New Roman" w:cs="Times New Roman" w:eastAsia="Times New Roman" w:hAnsi="Times New Roman"/>
          <w:sz w:val="22"/>
          <w:szCs w:val="22"/>
          <w:color w:val="auto"/>
        </w:rPr>
        <w:t>Employ a commercially reasonable fraudulent transaction detection system to screen each Entry, which must include account validation to the extent required by the Rules and subject to any applicable exemption.</w:t>
      </w:r>
    </w:p>
    <w:p>
      <w:pPr>
        <w:spacing w:after="0" w:line="2" w:lineRule="exact"/>
        <w:rPr>
          <w:sz w:val="20"/>
          <w:szCs w:val="20"/>
          <w:color w:val="auto"/>
        </w:rPr>
      </w:pPr>
    </w:p>
    <w:p>
      <w:pPr>
        <w:jc w:val="both"/>
        <w:ind w:left="1620" w:hanging="103"/>
        <w:spacing w:after="0" w:line="263" w:lineRule="auto"/>
        <w:rPr>
          <w:sz w:val="20"/>
          <w:szCs w:val="20"/>
          <w:color w:val="auto"/>
        </w:rPr>
      </w:pPr>
      <w:r>
        <w:rPr>
          <w:rFonts w:ascii="Times New Roman" w:cs="Times New Roman" w:eastAsia="Times New Roman" w:hAnsi="Times New Roman"/>
          <w:sz w:val="22"/>
          <w:szCs w:val="22"/>
          <w:color w:val="auto"/>
        </w:rPr>
        <w:t>Use commercially reasonable procedures to verify that routing numbers are valid. (Currently, this requires using the latest version of the Federal Reserve Bank’s E-Payment Routing Directory list, but these standards may change from time to time.)</w:t>
      </w:r>
    </w:p>
    <w:p>
      <w:pPr>
        <w:spacing w:after="0" w:line="1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2"/>
          <w:szCs w:val="22"/>
          <w:color w:val="auto"/>
        </w:rPr>
        <w:t>Employ Bank-approved methods of authentication to verify the identity of the Receiver.</w:t>
      </w:r>
    </w:p>
    <w:p>
      <w:pPr>
        <w:spacing w:after="0" w:line="85" w:lineRule="exact"/>
        <w:rPr>
          <w:sz w:val="20"/>
          <w:szCs w:val="20"/>
          <w:color w:val="auto"/>
        </w:rPr>
      </w:pPr>
    </w:p>
    <w:p>
      <w:pPr>
        <w:jc w:val="both"/>
        <w:ind w:left="1620" w:hanging="107"/>
        <w:spacing w:after="0" w:line="248" w:lineRule="auto"/>
        <w:rPr>
          <w:sz w:val="20"/>
          <w:szCs w:val="20"/>
          <w:color w:val="auto"/>
        </w:rPr>
      </w:pPr>
      <w:r>
        <w:rPr>
          <w:rFonts w:ascii="Times New Roman" w:cs="Times New Roman" w:eastAsia="Times New Roman" w:hAnsi="Times New Roman"/>
          <w:sz w:val="22"/>
          <w:szCs w:val="22"/>
          <w:color w:val="auto"/>
        </w:rPr>
        <w:t>For debit WEB Entries, obtain the Receiver’s written authorization prior to initiating the WEB Entry. Client will be able to provide Bank with a hard copy of the authorization if requested by Receiver to do so. Authorizations should include the following information: (a) express authorization language, (b) amount of transaction for a Single-Entry payment, for a recurring Entry that is for the same amount each interval, or for a range of payments, (c) the effective date of the transaction, (d) the Receiver’s account number, (e) the Receiver’s financial institution’s routing number, and (f) revocation language.</w:t>
      </w:r>
    </w:p>
    <w:p>
      <w:pPr>
        <w:spacing w:after="0" w:line="52" w:lineRule="exact"/>
        <w:rPr>
          <w:sz w:val="20"/>
          <w:szCs w:val="20"/>
          <w:color w:val="auto"/>
        </w:rPr>
      </w:pPr>
    </w:p>
    <w:p>
      <w:pPr>
        <w:jc w:val="both"/>
        <w:ind w:left="1620" w:hanging="107"/>
        <w:spacing w:after="0" w:line="271" w:lineRule="auto"/>
        <w:rPr>
          <w:sz w:val="20"/>
          <w:szCs w:val="20"/>
          <w:color w:val="auto"/>
        </w:rPr>
      </w:pPr>
      <w:r>
        <w:rPr>
          <w:rFonts w:ascii="Times New Roman" w:cs="Times New Roman" w:eastAsia="Times New Roman" w:hAnsi="Times New Roman"/>
          <w:sz w:val="22"/>
          <w:szCs w:val="22"/>
          <w:color w:val="auto"/>
        </w:rPr>
        <w:t>Retain records of a Receiver’s authorization for [***] after the termination or revocation of the authorization. At the request of Bank, Client will provide</w:t>
      </w:r>
    </w:p>
    <w:p>
      <w:pPr>
        <w:sectPr>
          <w:pgSz w:w="11900" w:h="16838" w:orient="portrait"/>
          <w:cols w:equalWidth="0" w:num="1">
            <w:col w:w="11240"/>
          </w:cols>
          <w:pgMar w:left="320" w:top="137" w:right="339" w:bottom="1440" w:gutter="0" w:footer="0" w:header="0"/>
        </w:sectPr>
      </w:pPr>
    </w:p>
    <w:bookmarkStart w:id="492" w:name="page493"/>
    <w:bookmarkEnd w:id="492"/>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Bank, within [***] of such request, documentation demonstrating proof of the Receiver’s authorization.</w:t>
      </w:r>
    </w:p>
    <w:p>
      <w:pPr>
        <w:spacing w:after="0" w:line="85" w:lineRule="exact"/>
        <w:rPr>
          <w:sz w:val="20"/>
          <w:szCs w:val="20"/>
          <w:color w:val="auto"/>
        </w:rPr>
      </w:pPr>
    </w:p>
    <w:p>
      <w:pPr>
        <w:jc w:val="both"/>
        <w:ind w:firstLine="656"/>
        <w:spacing w:after="0" w:line="252" w:lineRule="auto"/>
        <w:tabs>
          <w:tab w:leader="none" w:pos="1160" w:val="left"/>
        </w:tabs>
        <w:numPr>
          <w:ilvl w:val="0"/>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 agrees to provide ACH services and act as an ODFI or the purposes of submitting and processing Entries to affect the transfer of funds or payments contemplated by this Addendum. Bank will also prepare and submit quarterly or other reports as required by Mastercard, VISA, or any other Network. Upon request, Bank will provide Client with a code to access the Federal Reserve Bank’s E-Payment Routing Directory and the Federal Reserve Bank’s usage and implementation guide.</w:t>
      </w:r>
    </w:p>
    <w:p>
      <w:pPr>
        <w:spacing w:after="0" w:line="17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 xml:space="preserve">3.6 </w:t>
      </w:r>
      <w:r>
        <w:rPr>
          <w:rFonts w:ascii="Times New Roman" w:cs="Times New Roman" w:eastAsia="Times New Roman" w:hAnsi="Times New Roman"/>
          <w:sz w:val="22"/>
          <w:szCs w:val="22"/>
          <w:u w:val="single" w:color="auto"/>
          <w:color w:val="auto"/>
        </w:rPr>
        <w:t>SpotMe Program</w:t>
      </w:r>
      <w:r>
        <w:rPr>
          <w:rFonts w:ascii="Times New Roman" w:cs="Times New Roman" w:eastAsia="Times New Roman" w:hAnsi="Times New Roman"/>
          <w:sz w:val="22"/>
          <w:szCs w:val="22"/>
          <w:color w:val="auto"/>
        </w:rPr>
        <w:t xml:space="preserve">. The Parties agree that they may provide a service to applicable Accounts under which the Bank will pay a transaction when the Customer has insufficient or unavailable funds in their Account to cover such transaction, in accordance with </w:t>
      </w:r>
      <w:r>
        <w:rPr>
          <w:rFonts w:ascii="Times New Roman" w:cs="Times New Roman" w:eastAsia="Times New Roman" w:hAnsi="Times New Roman"/>
          <w:sz w:val="22"/>
          <w:szCs w:val="22"/>
          <w:b w:val="1"/>
          <w:bCs w:val="1"/>
          <w:color w:val="auto"/>
        </w:rPr>
        <w:t>Schedule H</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3.7 </w:t>
      </w:r>
      <w:r>
        <w:rPr>
          <w:rFonts w:ascii="Times New Roman" w:cs="Times New Roman" w:eastAsia="Times New Roman" w:hAnsi="Times New Roman"/>
          <w:sz w:val="22"/>
          <w:szCs w:val="22"/>
          <w:u w:val="single" w:color="auto"/>
          <w:color w:val="auto"/>
        </w:rPr>
        <w:t>Small Issuer Status.</w:t>
      </w:r>
      <w:r>
        <w:rPr>
          <w:rFonts w:ascii="Times New Roman" w:cs="Times New Roman" w:eastAsia="Times New Roman" w:hAnsi="Times New Roman"/>
          <w:sz w:val="22"/>
          <w:szCs w:val="22"/>
          <w:color w:val="auto"/>
        </w:rPr>
        <w:t xml:space="preserve"> During the Term, Bank will use commercially reasonable efforts to ensure that: (i) Debit Card Transactions will qualify for unregulated debit and prepaid card interchange rates under the applicable Rules and Applicable Law, as of the date hereof; and (ii) it remains a “small issuer” as defined under the 12 C.F.R 235 et. Seq., as of the date hereof (the “</w:t>
      </w:r>
      <w:r>
        <w:rPr>
          <w:rFonts w:ascii="Times New Roman" w:cs="Times New Roman" w:eastAsia="Times New Roman" w:hAnsi="Times New Roman"/>
          <w:sz w:val="22"/>
          <w:szCs w:val="22"/>
          <w:b w:val="1"/>
          <w:bCs w:val="1"/>
          <w:i w:val="1"/>
          <w:iCs w:val="1"/>
          <w:color w:val="auto"/>
        </w:rPr>
        <w:t>Durbin Amendment</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 Notwithstanding the foregoing, the Parties agree that if the definition of “small issuer” is modified or, if the Durbin Amendment is amended, supplemented, or replaced in such a manner that the “small issuer” exemption ceases to exist, the Parties shall confer in good faith to determine if Program modifications or potential amendments to the Addendum are required in order to ensure the Program remains commercially viable.</w:t>
      </w:r>
    </w:p>
    <w:p>
      <w:pPr>
        <w:spacing w:after="0" w:line="18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3.8</w:t>
      </w:r>
      <w:r>
        <w:rPr>
          <w:sz w:val="20"/>
          <w:szCs w:val="20"/>
          <w:color w:val="auto"/>
        </w:rPr>
        <w:tab/>
      </w:r>
      <w:r>
        <w:rPr>
          <w:rFonts w:ascii="Times New Roman" w:cs="Times New Roman" w:eastAsia="Times New Roman" w:hAnsi="Times New Roman"/>
          <w:sz w:val="21"/>
          <w:szCs w:val="21"/>
          <w:u w:val="single" w:color="auto"/>
          <w:color w:val="auto"/>
        </w:rPr>
        <w:t>RTN and BIN issuance</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56"/>
        <w:spacing w:after="0" w:line="273" w:lineRule="auto"/>
        <w:tabs>
          <w:tab w:leader="none" w:pos="1143" w:val="left"/>
        </w:tabs>
        <w:numPr>
          <w:ilvl w:val="1"/>
          <w:numId w:val="3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one (1) year following the Effective Date, Bank shall implement a dedicated, mutually agreed upon routing and transit number (</w:t>
      </w:r>
      <w:r>
        <w:rPr>
          <w:rFonts w:ascii="Times New Roman" w:cs="Times New Roman" w:eastAsia="Times New Roman" w:hAnsi="Times New Roman"/>
          <w:sz w:val="21"/>
          <w:szCs w:val="21"/>
          <w:b w:val="1"/>
          <w:bCs w:val="1"/>
          <w:color w:val="auto"/>
        </w:rPr>
        <w:t>“RTN”</w:t>
      </w:r>
      <w:r>
        <w:rPr>
          <w:rFonts w:ascii="Times New Roman" w:cs="Times New Roman" w:eastAsia="Times New Roman" w:hAnsi="Times New Roman"/>
          <w:sz w:val="21"/>
          <w:szCs w:val="21"/>
          <w:color w:val="auto"/>
        </w:rPr>
        <w:t>) for Client’s exclusive use. The Parties shall use commercially reasonable efforts to identify an RTN</w:t>
      </w:r>
    </w:p>
    <w:p>
      <w:pPr>
        <w:spacing w:after="0" w:line="1" w:lineRule="exact"/>
        <w:rPr>
          <w:rFonts w:ascii="Times New Roman" w:cs="Times New Roman" w:eastAsia="Times New Roman" w:hAnsi="Times New Roman"/>
          <w:sz w:val="21"/>
          <w:szCs w:val="21"/>
          <w:color w:val="auto"/>
        </w:rPr>
      </w:pPr>
    </w:p>
    <w:p>
      <w:pPr>
        <w:ind w:firstLine="8"/>
        <w:spacing w:after="0" w:line="248" w:lineRule="auto"/>
        <w:tabs>
          <w:tab w:leader="none" w:pos="267" w:val="left"/>
        </w:tabs>
        <w:numPr>
          <w:ilvl w:val="0"/>
          <w:numId w:val="3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previously in use and (ii) not having any interoperability or acceptance issues. Bank agrees that it shall use commercially reasonable efforts to ensure that such RTN is operable within the Program.</w:t>
      </w:r>
    </w:p>
    <w:p>
      <w:pPr>
        <w:spacing w:after="0" w:line="182" w:lineRule="exact"/>
        <w:rPr>
          <w:rFonts w:ascii="Times New Roman" w:cs="Times New Roman" w:eastAsia="Times New Roman" w:hAnsi="Times New Roman"/>
          <w:sz w:val="22"/>
          <w:szCs w:val="22"/>
          <w:color w:val="auto"/>
        </w:rPr>
      </w:pPr>
    </w:p>
    <w:p>
      <w:pPr>
        <w:jc w:val="both"/>
        <w:ind w:firstLine="656"/>
        <w:spacing w:after="0" w:line="257" w:lineRule="auto"/>
        <w:tabs>
          <w:tab w:leader="none" w:pos="1220" w:val="left"/>
        </w:tabs>
        <w:numPr>
          <w:ilvl w:val="1"/>
          <w:numId w:val="3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Throughout the Term, Bank shall provide one or more dedicated and exclusive Debit Card BIN(s) and/ or BIN ranges to allow Debit Card issuance on behalf of the Program and its underlying Accounts, and shall issue Debit Cards attached to the Accounts in connection with the Program.</w:t>
      </w:r>
    </w:p>
    <w:p>
      <w:pPr>
        <w:spacing w:after="0" w:line="186" w:lineRule="exact"/>
        <w:rPr>
          <w:rFonts w:ascii="Times New Roman" w:cs="Times New Roman" w:eastAsia="Times New Roman" w:hAnsi="Times New Roman"/>
          <w:sz w:val="22"/>
          <w:szCs w:val="22"/>
          <w:color w:val="auto"/>
        </w:rPr>
      </w:pPr>
    </w:p>
    <w:p>
      <w:pPr>
        <w:jc w:val="both"/>
        <w:ind w:firstLine="656"/>
        <w:spacing w:after="0" w:line="257" w:lineRule="auto"/>
        <w:tabs>
          <w:tab w:leader="none" w:pos="1109" w:val="left"/>
        </w:tabs>
        <w:numPr>
          <w:ilvl w:val="1"/>
          <w:numId w:val="3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Recognizing that existing Accounts, as of the date of this Addendum, may be currently utilizing other, not dedicated, and non-exclusive bank routing numbers, Client may elect to continue to utilize such other bank routing numbers for such Accounts or to transition new and/or existing Accounts to the dedicated and exclusive routing number, at Client’s option.</w:t>
      </w:r>
    </w:p>
    <w:p>
      <w:pPr>
        <w:spacing w:after="0" w:line="169" w:lineRule="exact"/>
        <w:rPr>
          <w:sz w:val="20"/>
          <w:szCs w:val="20"/>
          <w:color w:val="auto"/>
        </w:rPr>
      </w:pPr>
    </w:p>
    <w:p>
      <w:pPr>
        <w:ind w:left="380" w:hanging="372"/>
        <w:spacing w:after="0"/>
        <w:tabs>
          <w:tab w:leader="none" w:pos="380" w:val="left"/>
        </w:tabs>
        <w:numPr>
          <w:ilvl w:val="0"/>
          <w:numId w:val="3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CUSTOMER SERVICE</w:t>
      </w:r>
    </w:p>
    <w:p>
      <w:pPr>
        <w:spacing w:after="0" w:line="224"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Customer Service</w:t>
      </w:r>
      <w:r>
        <w:rPr>
          <w:rFonts w:ascii="Times New Roman" w:cs="Times New Roman" w:eastAsia="Times New Roman" w:hAnsi="Times New Roman"/>
          <w:sz w:val="22"/>
          <w:szCs w:val="22"/>
          <w:color w:val="auto"/>
        </w:rPr>
        <w:t>. Client shall be responsible for customer service obligations in accordance with the requirements this section, any applicable Program Authorization Letter, and in accordance with the specified Service Levels.</w:t>
      </w:r>
    </w:p>
    <w:p>
      <w:pPr>
        <w:sectPr>
          <w:pgSz w:w="11900" w:h="16838" w:orient="portrait"/>
          <w:cols w:equalWidth="0" w:num="1">
            <w:col w:w="11240"/>
          </w:cols>
          <w:pgMar w:left="320" w:top="137" w:right="339" w:bottom="1440" w:gutter="0" w:footer="0" w:header="0"/>
        </w:sectPr>
      </w:pPr>
    </w:p>
    <w:bookmarkStart w:id="493" w:name="page494"/>
    <w:bookmarkEnd w:id="493"/>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firstLine="656"/>
        <w:spacing w:after="0" w:line="253" w:lineRule="auto"/>
        <w:tabs>
          <w:tab w:leader="none" w:pos="1137" w:val="left"/>
        </w:tabs>
        <w:numPr>
          <w:ilvl w:val="1"/>
          <w:numId w:val="3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Client agrees that to the extent that it provides customer service directly, it shall: (i) provide a mechanism such that Bank may monitor Client’s customer service practices through remote call monitoring, (ii) provide Bank with reports of its customer service activities and service level performance in such frequency and format as may be reasonably required by Bank,</w:t>
      </w:r>
    </w:p>
    <w:p>
      <w:pPr>
        <w:spacing w:after="0" w:line="2" w:lineRule="exact"/>
        <w:rPr>
          <w:rFonts w:ascii="Times New Roman" w:cs="Times New Roman" w:eastAsia="Times New Roman" w:hAnsi="Times New Roman"/>
          <w:sz w:val="21"/>
          <w:szCs w:val="21"/>
          <w:color w:val="auto"/>
        </w:rPr>
      </w:pPr>
    </w:p>
    <w:p>
      <w:pPr>
        <w:ind w:left="400" w:hanging="392"/>
        <w:spacing w:after="0"/>
        <w:tabs>
          <w:tab w:leader="none" w:pos="400" w:val="left"/>
        </w:tabs>
        <w:numPr>
          <w:ilvl w:val="0"/>
          <w:numId w:val="3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have a quality assurance and monitoring program approved by the Bank which is appropriate for the scope of services being</w:t>
      </w:r>
    </w:p>
    <w:p>
      <w:pPr>
        <w:spacing w:after="0" w:line="15"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22"/>
          <w:szCs w:val="22"/>
          <w:color w:val="auto"/>
        </w:rPr>
        <w:t>provided, (iv) provide [***] call center reporting, (v) conduct annual compliance training as approved by the Bank, and (vi) forward all oral dispute claims in accordance with Section 4.3 of this Addendum.</w:t>
      </w:r>
    </w:p>
    <w:p>
      <w:pPr>
        <w:spacing w:after="0" w:line="178" w:lineRule="exact"/>
        <w:rPr>
          <w:sz w:val="20"/>
          <w:szCs w:val="20"/>
          <w:color w:val="auto"/>
        </w:rPr>
      </w:pPr>
    </w:p>
    <w:p>
      <w:pPr>
        <w:jc w:val="both"/>
        <w:ind w:firstLine="656"/>
        <w:spacing w:after="0" w:line="238" w:lineRule="auto"/>
        <w:tabs>
          <w:tab w:leader="none" w:pos="1129" w:val="left"/>
        </w:tabs>
        <w:numPr>
          <w:ilvl w:val="0"/>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Client may contract with a Subcontractor to perform the customer service activities with Bank’s prior approval. At a minimum, any agreement with a third party call center Subcontractor shall provide that the Subcontractor: (i) is subject to the Bank’s initial and on-going Due Diligence standards, (ii) is subject to periodic audit and examination by the Bank, (iii) must adhere to the minimum Service Levels, (iv) must have a quality assurance and monitoring program appropriate for the scope of services being provided, (v) must conduct annual BSA/AML and Regulation E compliance training as approved by the Bank, (vi) must forward all oral dispute claims in accordance with Section 4.3 of this Addendum, (vii) must provide for remote call monitoring by the Client and/or the Bank, (viii) must provide [***] call center reporting, and (iv) is subject to termination without penalty for non-performance or breach of the agreement. Client acknowledges and agrees that no such engagement shall absolve Client of its obligations hereunder.</w:t>
      </w:r>
    </w:p>
    <w:p>
      <w:pPr>
        <w:spacing w:after="0" w:line="199" w:lineRule="exact"/>
        <w:rPr>
          <w:rFonts w:ascii="Times New Roman" w:cs="Times New Roman" w:eastAsia="Times New Roman" w:hAnsi="Times New Roman"/>
          <w:sz w:val="22"/>
          <w:szCs w:val="22"/>
          <w:color w:val="auto"/>
        </w:rPr>
      </w:pPr>
    </w:p>
    <w:p>
      <w:pPr>
        <w:jc w:val="both"/>
        <w:ind w:firstLine="656"/>
        <w:spacing w:after="0" w:line="241" w:lineRule="auto"/>
        <w:tabs>
          <w:tab w:leader="none" w:pos="1212" w:val="left"/>
        </w:tabs>
        <w:numPr>
          <w:ilvl w:val="0"/>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Client shall cooperate with Bank in the resolution of all Customer complaints in accordance with the Customer Complaint Guidelines, as amended by Bank from time to time. Client shall further cooperate with Bank in assessing and evaluating the frequency, nature or underlying causes for Customer complaints or inquiries through the evaluation of the applicable Program or Customer Disclosures, and shall promptly, at its sole cost and expense, resolve any practices or procedures resulting in a pattern of Customer complaints, and remediate any Customer harm caused by such practices or procedures, in each case to the satisfaction of the Bank.</w:t>
      </w:r>
    </w:p>
    <w:p>
      <w:pPr>
        <w:spacing w:after="0" w:line="17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Cancellation</w:t>
      </w:r>
      <w:r>
        <w:rPr>
          <w:rFonts w:ascii="Times New Roman" w:cs="Times New Roman" w:eastAsia="Times New Roman" w:hAnsi="Times New Roman"/>
          <w:sz w:val="22"/>
          <w:szCs w:val="22"/>
          <w:color w:val="auto"/>
        </w:rPr>
        <w:t>. Client acknowledges that Programs and individual Accounts are subject to cancellation at any time by Bank, in accordance with this Agreement, the Customer Disclosures or as required by Applicable Law, including but not limited to, where the Bank believes a Customer is using an Account or Card for fraudulent or illegal purposes or in any other way violates the Customer Agreement. Upon receipt of notice of termination of any Program or this Agreement for any reason, Client shall, at its sole expense: (i) if required by Bank, immediately return such cancelled Cards in its possession or under its control to Bank, and (ii) notify any other party or agent of Client, including any Subcontractors to return all such cancelled Cards in their possession to Bank, or (iii) provide written certification of destruction of any unused Cards, under dual control, by a third party approved by the Bank all in keeping with the Rules as set forth by the applicable Network as it pertains to the shipping and destruction of Cards.</w:t>
      </w:r>
    </w:p>
    <w:p>
      <w:pPr>
        <w:spacing w:after="0" w:line="19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u w:val="single" w:color="auto"/>
          <w:color w:val="auto"/>
        </w:rPr>
        <w:t>Error Resolution</w:t>
      </w:r>
      <w:r>
        <w:rPr>
          <w:rFonts w:ascii="Times New Roman" w:cs="Times New Roman" w:eastAsia="Times New Roman" w:hAnsi="Times New Roman"/>
          <w:sz w:val="22"/>
          <w:szCs w:val="22"/>
          <w:color w:val="auto"/>
        </w:rPr>
        <w:t>. Client agrees that in the event it or any Subcontractor receives from a Consumer an oral or written notice of “error” as defined in Regulation E, Client will promptly respond to such inquiries in accordance with the terms of the Customer Agreement and Applicable</w:t>
      </w:r>
    </w:p>
    <w:p>
      <w:pPr>
        <w:sectPr>
          <w:pgSz w:w="11900" w:h="16838" w:orient="portrait"/>
          <w:cols w:equalWidth="0" w:num="1">
            <w:col w:w="11240"/>
          </w:cols>
          <w:pgMar w:left="320" w:top="137" w:right="339" w:bottom="1440" w:gutter="0" w:footer="0" w:header="0"/>
        </w:sectPr>
      </w:pPr>
    </w:p>
    <w:bookmarkStart w:id="494" w:name="page495"/>
    <w:bookmarkEnd w:id="494"/>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Law. Client shall retain all error-related information and shall provide the same to Bank as it may reasonably request from time to time. To the extent Bank responds to any such errors, Client shall use reasonable efforts to cooperate with Bank in the reasonable resolution of any Customer-reported error, all in accordance with Applicable Law.</w:t>
      </w:r>
    </w:p>
    <w:p>
      <w:pPr>
        <w:spacing w:after="0" w:line="16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2"/>
          <w:szCs w:val="22"/>
          <w:color w:val="auto"/>
        </w:rPr>
        <w:t xml:space="preserve">4.4 </w:t>
      </w:r>
      <w:r>
        <w:rPr>
          <w:rFonts w:ascii="Times New Roman" w:cs="Times New Roman" w:eastAsia="Times New Roman" w:hAnsi="Times New Roman"/>
          <w:sz w:val="22"/>
          <w:szCs w:val="22"/>
          <w:u w:val="single" w:color="auto"/>
          <w:color w:val="auto"/>
        </w:rPr>
        <w:t>Negative Balances, Customer Fraud and Fraud Recovery</w:t>
      </w:r>
      <w:r>
        <w:rPr>
          <w:rFonts w:ascii="Times New Roman" w:cs="Times New Roman" w:eastAsia="Times New Roman" w:hAnsi="Times New Roman"/>
          <w:sz w:val="22"/>
          <w:szCs w:val="22"/>
          <w:color w:val="auto"/>
        </w:rPr>
        <w:t>. Client agrees that it shall be responsible for and liable to Bank for all negative balances and expenses associated with, and any direct or indirect losses incurred from, unauthorized transactions, chargebacks, force posted transactions, fraud, or Bank’s efforts at recovery under Applicable Law. The Parties shall cooperate fully with one another’s efforts and engage in any commercially reasonable efforts to locate and prosecute the perpetrator of any such unauthorized activity or fraud. The Party initiating such efforts shall bear the costs thereof.</w:t>
      </w:r>
    </w:p>
    <w:p>
      <w:pPr>
        <w:spacing w:after="0" w:line="177"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22"/>
          <w:szCs w:val="22"/>
          <w:color w:val="auto"/>
        </w:rPr>
        <w:t xml:space="preserve">4.5 </w:t>
      </w:r>
      <w:r>
        <w:rPr>
          <w:rFonts w:ascii="Times New Roman" w:cs="Times New Roman" w:eastAsia="Times New Roman" w:hAnsi="Times New Roman"/>
          <w:sz w:val="22"/>
          <w:szCs w:val="22"/>
          <w:u w:val="single" w:color="auto"/>
          <w:color w:val="auto"/>
        </w:rPr>
        <w:t>Refunds</w:t>
      </w:r>
      <w:r>
        <w:rPr>
          <w:rFonts w:ascii="Times New Roman" w:cs="Times New Roman" w:eastAsia="Times New Roman" w:hAnsi="Times New Roman"/>
          <w:sz w:val="22"/>
          <w:szCs w:val="22"/>
          <w:color w:val="auto"/>
        </w:rPr>
        <w:t>. Client shall be responsible for any Customer refunds, including fee refunds, as may be deemed appropriate by Client, Bank, Regulatory Authority, o</w:t>
      </w: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22"/>
          <w:szCs w:val="22"/>
          <w:color w:val="auto"/>
        </w:rPr>
        <w:t xml:space="preserve"> Applicable Law. Notwithstanding the foregoing, in the event that Client disputes any fee refunds as deemed appropriate by Bank, the Parties shall meet in good faith to resolve Client’s dispute.</w:t>
      </w:r>
    </w:p>
    <w:p>
      <w:pPr>
        <w:spacing w:after="0" w:line="164" w:lineRule="exact"/>
        <w:rPr>
          <w:sz w:val="20"/>
          <w:szCs w:val="20"/>
          <w:color w:val="auto"/>
        </w:rPr>
      </w:pPr>
    </w:p>
    <w:p>
      <w:pPr>
        <w:ind w:left="380" w:hanging="372"/>
        <w:spacing w:after="0"/>
        <w:tabs>
          <w:tab w:leader="none" w:pos="380" w:val="left"/>
        </w:tabs>
        <w:numPr>
          <w:ilvl w:val="0"/>
          <w:numId w:val="3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COMPLIANCE</w:t>
      </w:r>
    </w:p>
    <w:p>
      <w:pPr>
        <w:spacing w:after="0" w:line="22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u w:val="single" w:color="auto"/>
          <w:color w:val="auto"/>
        </w:rPr>
        <w:t>Bank Secrecy Act Compliance</w:t>
      </w:r>
      <w:r>
        <w:rPr>
          <w:rFonts w:ascii="Times New Roman" w:cs="Times New Roman" w:eastAsia="Times New Roman" w:hAnsi="Times New Roman"/>
          <w:sz w:val="22"/>
          <w:szCs w:val="22"/>
          <w:color w:val="auto"/>
        </w:rPr>
        <w:t>. As part of its Compliance Program, upon execution of this Agreement, or in any case prior to the issuance of any Program Authorization Letter, Client shall implement and maintain a Bank approved anti-money laundering and anti-terrorism financing compliance program which is appropriate for the nature and scope of the Program, the activities of Client, and the obligations to be performed by Client hereunder. Any such program shall be developed in accordance with Applicable Law, including appropriate policies and procedures. If required by the nature of the Program, Client shall cooperate in implementing measures to verify the identity of or allow the Bank to verify the identity of all Customers and prospective Customers consistent with Applicable Law, including the development of an appropriate customer identification program as approved by Bank. In the event Client performs any identity verification functions, Client shall within three (3) business days of a request from Bank produce any documentation that was provided and relied upon in order to verify the identity of a Customer.</w:t>
      </w:r>
    </w:p>
    <w:p>
      <w:pPr>
        <w:spacing w:after="0" w:line="19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u w:val="single" w:color="auto"/>
          <w:color w:val="auto"/>
        </w:rPr>
        <w:t>Approvals</w:t>
      </w:r>
      <w:r>
        <w:rPr>
          <w:rFonts w:ascii="Times New Roman" w:cs="Times New Roman" w:eastAsia="Times New Roman" w:hAnsi="Times New Roman"/>
          <w:sz w:val="22"/>
          <w:szCs w:val="22"/>
          <w:color w:val="auto"/>
        </w:rPr>
        <w:t>. Client shall obtain Bank’s prior written review and approval of any Financial Product or Services marketed to Customers if the new product utilizes Bank’s Marks or provides a mechanism for Customers to transfer funds to the Accounts, or if the product is otherwise packaged with or marketed in such a way that a Customer could reasonably conclude that such new product is related to or associated with a Program or any Account issued pursuant to this Addendum.</w:t>
      </w:r>
    </w:p>
    <w:p>
      <w:pPr>
        <w:spacing w:after="0" w:line="173"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u w:val="single" w:color="auto"/>
          <w:color w:val="auto"/>
        </w:rPr>
        <w:t>Customer Agreements</w:t>
      </w:r>
      <w:r>
        <w:rPr>
          <w:rFonts w:ascii="Times New Roman" w:cs="Times New Roman" w:eastAsia="Times New Roman" w:hAnsi="Times New Roman"/>
          <w:sz w:val="22"/>
          <w:szCs w:val="22"/>
          <w:color w:val="auto"/>
        </w:rPr>
        <w:t>. Bank shall provide a template for Customer Agreements for a Program, and any modifications to such template shall be reviewed and approved by Bank.</w:t>
      </w:r>
    </w:p>
    <w:p>
      <w:pPr>
        <w:spacing w:after="0" w:line="14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22"/>
          <w:szCs w:val="22"/>
          <w:u w:val="single" w:color="auto"/>
          <w:color w:val="auto"/>
        </w:rPr>
        <w:t>Escheat</w:t>
      </w:r>
      <w:r>
        <w:rPr>
          <w:rFonts w:ascii="Times New Roman" w:cs="Times New Roman" w:eastAsia="Times New Roman" w:hAnsi="Times New Roman"/>
          <w:sz w:val="22"/>
          <w:szCs w:val="22"/>
          <w:color w:val="auto"/>
        </w:rPr>
        <w:t>. Bank shall facilitate escheatment reporting to the states as required by Applicable Law. Bank shall be responsible for compliance with state unclaimed property laws as they relate to funds in Accounts, provided Client and Processor provide accurate and timely reporting required</w:t>
      </w:r>
    </w:p>
    <w:p>
      <w:pPr>
        <w:sectPr>
          <w:pgSz w:w="11900" w:h="16838" w:orient="portrait"/>
          <w:cols w:equalWidth="0" w:num="1">
            <w:col w:w="11240"/>
          </w:cols>
          <w:pgMar w:left="320" w:top="137" w:right="339" w:bottom="1440" w:gutter="0" w:footer="0" w:header="0"/>
        </w:sectPr>
      </w:pPr>
    </w:p>
    <w:bookmarkStart w:id="495" w:name="page496"/>
    <w:bookmarkEnd w:id="495"/>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by Bank to do so. Bank represents it has adequate reporting systems established to identify Accounts that would meet the criteria under the various state unclaimed property laws, and will facilitate the reporting and remittance of funds as required.</w:t>
      </w:r>
    </w:p>
    <w:p>
      <w:pPr>
        <w:spacing w:after="0" w:line="17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5.5 </w:t>
      </w:r>
      <w:r>
        <w:rPr>
          <w:rFonts w:ascii="Times New Roman" w:cs="Times New Roman" w:eastAsia="Times New Roman" w:hAnsi="Times New Roman"/>
          <w:sz w:val="22"/>
          <w:szCs w:val="22"/>
          <w:u w:val="single" w:color="auto"/>
          <w:color w:val="auto"/>
        </w:rPr>
        <w:t>Money Service Business Compliance</w:t>
      </w:r>
      <w:r>
        <w:rPr>
          <w:rFonts w:ascii="Times New Roman" w:cs="Times New Roman" w:eastAsia="Times New Roman" w:hAnsi="Times New Roman"/>
          <w:sz w:val="22"/>
          <w:szCs w:val="22"/>
          <w:color w:val="auto"/>
        </w:rPr>
        <w:t>. Client further agrees that to the extent it desires to or is required to register as a money service business for any of its activities, it will be held to the Due Diligence standards required by Bank for money service businesses.</w:t>
      </w:r>
    </w:p>
    <w:p>
      <w:pPr>
        <w:spacing w:after="0" w:line="16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6.</w:t>
      </w:r>
      <w:r>
        <w:rPr>
          <w:sz w:val="20"/>
          <w:szCs w:val="20"/>
          <w:color w:val="auto"/>
        </w:rPr>
        <w:tab/>
      </w:r>
      <w:r>
        <w:rPr>
          <w:rFonts w:ascii="Times New Roman" w:cs="Times New Roman" w:eastAsia="Times New Roman" w:hAnsi="Times New Roman"/>
          <w:sz w:val="21"/>
          <w:szCs w:val="21"/>
          <w:b w:val="1"/>
          <w:bCs w:val="1"/>
          <w:color w:val="auto"/>
        </w:rPr>
        <w:t>TERM AND TERMINATION</w:t>
      </w:r>
    </w:p>
    <w:p>
      <w:pPr>
        <w:spacing w:after="0" w:line="21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u w:val="single" w:color="auto"/>
          <w:color w:val="auto"/>
        </w:rPr>
        <w:t>Relation to Agreement</w:t>
      </w:r>
      <w:r>
        <w:rPr>
          <w:rFonts w:ascii="Times New Roman" w:cs="Times New Roman" w:eastAsia="Times New Roman" w:hAnsi="Times New Roman"/>
          <w:sz w:val="22"/>
          <w:szCs w:val="22"/>
          <w:color w:val="auto"/>
        </w:rPr>
        <w:t>. The Term of this Addendum shall be the same as the Agreement, and this Addendum will be automatically terminated upon the termination or expiration of the Agreement.</w:t>
      </w:r>
    </w:p>
    <w:p>
      <w:pPr>
        <w:spacing w:after="0" w:line="14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u w:val="single" w:color="auto"/>
          <w:color w:val="auto"/>
        </w:rPr>
        <w:t>Client Account Transfer Option</w:t>
      </w:r>
      <w:r>
        <w:rPr>
          <w:rFonts w:ascii="Times New Roman" w:cs="Times New Roman" w:eastAsia="Times New Roman" w:hAnsi="Times New Roman"/>
          <w:sz w:val="22"/>
          <w:szCs w:val="22"/>
          <w:color w:val="auto"/>
        </w:rPr>
        <w:t xml:space="preserve"> Upon the termination or expiration of this Addendum, Client shall have the right, exercisable by providing notice to Bank within [***] prior to the termination, to transfer all of the Accounts or Programs and direct their transfer to a successor qualified financial institution (the “Successor Bank”) (the “</w:t>
      </w:r>
      <w:r>
        <w:rPr>
          <w:rFonts w:ascii="Times New Roman" w:cs="Times New Roman" w:eastAsia="Times New Roman" w:hAnsi="Times New Roman"/>
          <w:sz w:val="22"/>
          <w:szCs w:val="22"/>
          <w:b w:val="1"/>
          <w:bCs w:val="1"/>
          <w:color w:val="auto"/>
        </w:rPr>
        <w:t>Account Transfer Option</w:t>
      </w:r>
      <w:r>
        <w:rPr>
          <w:rFonts w:ascii="Times New Roman" w:cs="Times New Roman" w:eastAsia="Times New Roman" w:hAnsi="Times New Roman"/>
          <w:sz w:val="22"/>
          <w:szCs w:val="22"/>
          <w:color w:val="auto"/>
        </w:rPr>
        <w:t>”). Client may only exercise the Account Transfer Option if Client is in compliance with all of its obligations under the Agreement. In the event Client exercises its Account Transfer Option, Client shall complete the purchase within [***] of the termination of the Agreement. Prior to the closing date, Client shall provide Bank with a detailed outline of its intentions in connection with the Programs, including the identity of the Successor Bank, the transition procedures for the transfer, and any other information reasonably requested by Bank. Client shall reimburse Bank for all expenses incurred by Bank in connection with the Account Transfer Option, including, but not limited to, any conversion costs or termination fees payable to any Subcontractor with respect to the Programs, Bank’s reasonable attorneys’ fees incurred in connection with the transfer, and all other out-of-pocket costs and expenses incurred by Bank in connection with the transfer of the Program with such expenses not to exceed [***]. Client shall ensure that all aspects of the transfer are accomplished in compliance with Applicable Law. Through the date of purchase and until closing, Client shall remain in compliance with all provisions of this Agreement, including the maintenance of the appropriate balances in any Program Account, and the timely payment of all other fees and sums called for under the applicable Addendum. Provided Client complies with the provisions of this subsection, Bank shall transfer the Account balances to the Successor Bank at closing. In connection with the transfer of such Account balances, Client shall pay Bank the fees as set forth in Exhibit A – Schedule 2 to the Agreement; provided, however, that Client may elect to discontinue the services described in this Section 6.2 upon [***] written notice to Bank and, upon the effectiveness of such notice, the obligations of Bank and Client under this Section 6.2 shall terminate.</w:t>
      </w:r>
    </w:p>
    <w:p>
      <w:pPr>
        <w:spacing w:after="0" w:line="195" w:lineRule="exact"/>
        <w:rPr>
          <w:sz w:val="20"/>
          <w:szCs w:val="20"/>
          <w:color w:val="auto"/>
        </w:rPr>
      </w:pPr>
    </w:p>
    <w:p>
      <w:pPr>
        <w:ind w:left="1120" w:hanging="464"/>
        <w:spacing w:after="0"/>
        <w:tabs>
          <w:tab w:leader="none" w:pos="1120" w:val="left"/>
        </w:tabs>
        <w:numPr>
          <w:ilvl w:val="0"/>
          <w:numId w:val="3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Client exercises the Account Transfer Option, Bank may, in Client’s reasonable discretion:</w:t>
      </w:r>
    </w:p>
    <w:p>
      <w:pPr>
        <w:spacing w:after="0" w:line="206" w:lineRule="exact"/>
        <w:rPr>
          <w:rFonts w:ascii="Times New Roman" w:cs="Times New Roman" w:eastAsia="Times New Roman" w:hAnsi="Times New Roman"/>
          <w:sz w:val="22"/>
          <w:szCs w:val="22"/>
          <w:color w:val="auto"/>
        </w:rPr>
      </w:pPr>
    </w:p>
    <w:p>
      <w:pPr>
        <w:ind w:left="2600" w:hanging="648"/>
        <w:spacing w:after="0" w:line="250" w:lineRule="auto"/>
        <w:tabs>
          <w:tab w:leader="none" w:pos="2508" w:val="left"/>
        </w:tabs>
        <w:numPr>
          <w:ilvl w:val="1"/>
          <w:numId w:val="3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 all designated Account funds on deposit at Bank to the Successor Bank, which shall be effected at the par balance of the Accounts as of the date of transfer (i.e. on the closing date the Bank</w:t>
      </w:r>
    </w:p>
    <w:p>
      <w:pPr>
        <w:sectPr>
          <w:pgSz w:w="11900" w:h="16838" w:orient="portrait"/>
          <w:cols w:equalWidth="0" w:num="1">
            <w:col w:w="11240"/>
          </w:cols>
          <w:pgMar w:left="320" w:top="137" w:right="339" w:bottom="1440" w:gutter="0" w:footer="0" w:header="0"/>
        </w:sectPr>
      </w:pPr>
    </w:p>
    <w:bookmarkStart w:id="496" w:name="page497"/>
    <w:bookmarkEnd w:id="496"/>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4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1480"/>
        <w:spacing w:after="0" w:line="271" w:lineRule="auto"/>
        <w:rPr>
          <w:sz w:val="20"/>
          <w:szCs w:val="20"/>
          <w:color w:val="auto"/>
        </w:rPr>
      </w:pPr>
      <w:r>
        <w:rPr>
          <w:rFonts w:ascii="Times New Roman" w:cs="Times New Roman" w:eastAsia="Times New Roman" w:hAnsi="Times New Roman"/>
          <w:sz w:val="22"/>
          <w:szCs w:val="22"/>
          <w:color w:val="auto"/>
        </w:rPr>
        <w:t>shall transfer to the Successor Bank an amount in immediately available funds equal to the balances of the Accounts being transferred);</w:t>
      </w:r>
    </w:p>
    <w:p>
      <w:pPr>
        <w:spacing w:after="0" w:line="158" w:lineRule="exact"/>
        <w:rPr>
          <w:sz w:val="20"/>
          <w:szCs w:val="20"/>
          <w:color w:val="auto"/>
        </w:rPr>
      </w:pPr>
    </w:p>
    <w:p>
      <w:pPr>
        <w:jc w:val="both"/>
        <w:ind w:left="1480" w:hanging="648"/>
        <w:spacing w:after="0" w:line="263" w:lineRule="auto"/>
        <w:tabs>
          <w:tab w:leader="none" w:pos="1563" w:val="left"/>
        </w:tabs>
        <w:numPr>
          <w:ilvl w:val="0"/>
          <w:numId w:val="3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assign all of Bank’s rights, duties and obligations with respect to such Accounts, Account Agreements, Customer information, and Bank’s relationship with each Customer to such Successor Bank;</w:t>
      </w:r>
    </w:p>
    <w:p>
      <w:pPr>
        <w:spacing w:after="0" w:line="167" w:lineRule="exact"/>
        <w:rPr>
          <w:rFonts w:ascii="Times New Roman" w:cs="Times New Roman" w:eastAsia="Times New Roman" w:hAnsi="Times New Roman"/>
          <w:sz w:val="22"/>
          <w:szCs w:val="22"/>
          <w:color w:val="auto"/>
        </w:rPr>
      </w:pPr>
    </w:p>
    <w:p>
      <w:pPr>
        <w:ind w:left="1480" w:hanging="648"/>
        <w:spacing w:after="0" w:line="257" w:lineRule="auto"/>
        <w:tabs>
          <w:tab w:leader="none" w:pos="1372" w:val="left"/>
        </w:tabs>
        <w:numPr>
          <w:ilvl w:val="0"/>
          <w:numId w:val="3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and all regulatory filings necessary to effect the transition of its undertakings in connection with this Section 6.2 to such Successor Bank (excluding those filings and approvals required to be made by Successor Bank);</w:t>
      </w:r>
    </w:p>
    <w:p>
      <w:pPr>
        <w:spacing w:after="0" w:line="186" w:lineRule="exact"/>
        <w:rPr>
          <w:rFonts w:ascii="Times New Roman" w:cs="Times New Roman" w:eastAsia="Times New Roman" w:hAnsi="Times New Roman"/>
          <w:sz w:val="22"/>
          <w:szCs w:val="22"/>
          <w:color w:val="auto"/>
        </w:rPr>
      </w:pPr>
    </w:p>
    <w:p>
      <w:pPr>
        <w:ind w:left="1480" w:hanging="648"/>
        <w:spacing w:after="0" w:line="271" w:lineRule="auto"/>
        <w:tabs>
          <w:tab w:leader="none" w:pos="1392" w:val="left"/>
        </w:tabs>
        <w:numPr>
          <w:ilvl w:val="0"/>
          <w:numId w:val="3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all filings and taking all other actions necessary for Bank to transfer the related dedicated and exclusive routing and transit number and BINs to such Successor Bank;</w:t>
      </w:r>
    </w:p>
    <w:p>
      <w:pPr>
        <w:spacing w:after="0" w:line="157" w:lineRule="exact"/>
        <w:rPr>
          <w:rFonts w:ascii="Times New Roman" w:cs="Times New Roman" w:eastAsia="Times New Roman" w:hAnsi="Times New Roman"/>
          <w:sz w:val="22"/>
          <w:szCs w:val="22"/>
          <w:color w:val="auto"/>
        </w:rPr>
      </w:pPr>
    </w:p>
    <w:p>
      <w:pPr>
        <w:ind w:left="1480" w:hanging="648"/>
        <w:spacing w:after="0" w:line="257" w:lineRule="auto"/>
        <w:tabs>
          <w:tab w:leader="none" w:pos="1338" w:val="left"/>
        </w:tabs>
        <w:numPr>
          <w:ilvl w:val="0"/>
          <w:numId w:val="3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and deliver, if necessary or appropriate, an account transfer agreement containing terms and conditions generally consistent with banking industry practice for the transfer of accounts between institutions;</w:t>
      </w:r>
    </w:p>
    <w:p>
      <w:pPr>
        <w:spacing w:after="0" w:line="172" w:lineRule="exact"/>
        <w:rPr>
          <w:rFonts w:ascii="Times New Roman" w:cs="Times New Roman" w:eastAsia="Times New Roman" w:hAnsi="Times New Roman"/>
          <w:sz w:val="22"/>
          <w:szCs w:val="22"/>
          <w:color w:val="auto"/>
        </w:rPr>
      </w:pPr>
    </w:p>
    <w:p>
      <w:pPr>
        <w:ind w:left="1480" w:hanging="648"/>
        <w:spacing w:after="0" w:line="284" w:lineRule="auto"/>
        <w:tabs>
          <w:tab w:leader="none" w:pos="1422" w:val="left"/>
        </w:tabs>
        <w:numPr>
          <w:ilvl w:val="0"/>
          <w:numId w:val="3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such other documents as may reasonably be requested by Client, or necessary for Bank to perform its obligations under this Section 6.2;</w:t>
      </w:r>
    </w:p>
    <w:p>
      <w:pPr>
        <w:spacing w:after="0" w:line="139" w:lineRule="exact"/>
        <w:rPr>
          <w:rFonts w:ascii="Times New Roman" w:cs="Times New Roman" w:eastAsia="Times New Roman" w:hAnsi="Times New Roman"/>
          <w:sz w:val="22"/>
          <w:szCs w:val="22"/>
          <w:color w:val="auto"/>
        </w:rPr>
      </w:pPr>
    </w:p>
    <w:p>
      <w:pPr>
        <w:jc w:val="both"/>
        <w:ind w:left="1480" w:hanging="648"/>
        <w:spacing w:after="0" w:line="252" w:lineRule="auto"/>
        <w:tabs>
          <w:tab w:leader="none" w:pos="1482" w:val="left"/>
        </w:tabs>
        <w:numPr>
          <w:ilvl w:val="0"/>
          <w:numId w:val="3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payment of fees set forth in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 xml:space="preserve"> – </w:t>
      </w:r>
      <w:r>
        <w:rPr>
          <w:rFonts w:ascii="Times New Roman" w:cs="Times New Roman" w:eastAsia="Times New Roman" w:hAnsi="Times New Roman"/>
          <w:sz w:val="22"/>
          <w:szCs w:val="22"/>
          <w:b w:val="1"/>
          <w:bCs w:val="1"/>
          <w:color w:val="auto"/>
        </w:rPr>
        <w:t>Schedule 2</w:t>
      </w:r>
      <w:r>
        <w:rPr>
          <w:rFonts w:ascii="Times New Roman" w:cs="Times New Roman" w:eastAsia="Times New Roman" w:hAnsi="Times New Roman"/>
          <w:sz w:val="22"/>
          <w:szCs w:val="22"/>
          <w:color w:val="auto"/>
        </w:rPr>
        <w:t xml:space="preserve"> to the Agreement, continue to receive recurring ACH credits to Accounts, forward such deposits to the Successor Bank, and provide the originator of such credit with a Notification of Change instructing such originator to change future instructions to reflect the new account at the Successor Bank (and Client shall provide Bank such information as Bank may reasonably require in order to perform such forwarding and notification services).</w:t>
      </w:r>
    </w:p>
    <w:p>
      <w:pPr>
        <w:spacing w:after="0" w:line="174" w:lineRule="exact"/>
        <w:rPr>
          <w:rFonts w:ascii="Times New Roman" w:cs="Times New Roman" w:eastAsia="Times New Roman" w:hAnsi="Times New Roman"/>
          <w:sz w:val="22"/>
          <w:szCs w:val="22"/>
          <w:color w:val="auto"/>
        </w:rPr>
      </w:pPr>
    </w:p>
    <w:p>
      <w:pPr>
        <w:jc w:val="both"/>
        <w:ind w:left="1480" w:hanging="648"/>
        <w:spacing w:after="0" w:line="252" w:lineRule="auto"/>
        <w:tabs>
          <w:tab w:leader="none" w:pos="1521" w:val="left"/>
        </w:tabs>
        <w:numPr>
          <w:ilvl w:val="0"/>
          <w:numId w:val="3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payment of fees set forth in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 xml:space="preserve"> – </w:t>
      </w:r>
      <w:r>
        <w:rPr>
          <w:rFonts w:ascii="Times New Roman" w:cs="Times New Roman" w:eastAsia="Times New Roman" w:hAnsi="Times New Roman"/>
          <w:sz w:val="22"/>
          <w:szCs w:val="22"/>
          <w:b w:val="1"/>
          <w:bCs w:val="1"/>
          <w:color w:val="auto"/>
        </w:rPr>
        <w:t>Schedule 2</w:t>
      </w:r>
      <w:r>
        <w:rPr>
          <w:rFonts w:ascii="Times New Roman" w:cs="Times New Roman" w:eastAsia="Times New Roman" w:hAnsi="Times New Roman"/>
          <w:sz w:val="22"/>
          <w:szCs w:val="22"/>
          <w:color w:val="auto"/>
        </w:rPr>
        <w:t xml:space="preserve"> to the Agreement, if requested by Client, and provided Client has pre-funded all associated liabilities to Bank’s reasonable satisfaction, continuing to accept recurring ACH debits and providing the originators thereof with Notification of Change instructing such originator to change future instructions to reflect the new account at the Successor Bank (and Company shall, in such event, provide Bank with such information as Bank may reasonably require in order to perform such notification services),</w:t>
      </w:r>
    </w:p>
    <w:p>
      <w:pPr>
        <w:sectPr>
          <w:pgSz w:w="11900" w:h="16838" w:orient="portrait"/>
          <w:cols w:equalWidth="0" w:num="1">
            <w:col w:w="10120"/>
          </w:cols>
          <w:pgMar w:left="1440" w:top="137" w:right="339" w:bottom="1440" w:gutter="0" w:footer="0" w:header="0"/>
        </w:sectPr>
      </w:pPr>
    </w:p>
    <w:bookmarkStart w:id="497" w:name="page498"/>
    <w:bookmarkEnd w:id="497"/>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firstLine="656"/>
        <w:spacing w:after="0" w:line="250" w:lineRule="auto"/>
        <w:tabs>
          <w:tab w:leader="none" w:pos="1131" w:val="left"/>
        </w:tabs>
        <w:numPr>
          <w:ilvl w:val="0"/>
          <w:numId w:val="3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Client exercises the Account Transfer Option, Client shall not issue any new Program collateral or other materials that contains the Bank’s Marks following transfer of the Accounts to the Successor Bank. Following transfer of the Accounts to Successor Bank, Client shall have limited, non-exclusive, royalty free license to continue to use Bank’s Marks on all existing Cards and Debit Cards until such existing Cards and Debit Cards expire or [***] following the transfer of the Accounts, whichever is sooner. For the avoidance of doubt, Client shall not issue any new cards with Bank Marks following the transfer of the Accounts. Bank shall cease use of any Program collateral or other materials that contain Client’s Marks following the transfer of the Accounts to Successor Bank.</w:t>
      </w:r>
    </w:p>
    <w:p>
      <w:pPr>
        <w:spacing w:after="0" w:line="18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u w:val="single" w:color="auto"/>
          <w:color w:val="auto"/>
        </w:rPr>
        <w:t>Bank Retention or Termination</w:t>
      </w:r>
      <w:r>
        <w:rPr>
          <w:rFonts w:ascii="Times New Roman" w:cs="Times New Roman" w:eastAsia="Times New Roman" w:hAnsi="Times New Roman"/>
          <w:sz w:val="22"/>
          <w:szCs w:val="22"/>
          <w:color w:val="auto"/>
        </w:rPr>
        <w:t xml:space="preserve">. In the event (i) Client fails to provide effective notice of its intent to exercise the Account Transfer Option (ii) Client provides effective notice of its intent to exercise the Account Transfer Option, but Client fails to close its purchase of the Programs within [***] after termination of the Agreement or Addendum, or (iii) the Agreement is terminated by Bank for cause pursuant to Section 9.2 </w:t>
      </w:r>
      <w:r>
        <w:rPr>
          <w:rFonts w:ascii="Times New Roman" w:cs="Times New Roman" w:eastAsia="Times New Roman" w:hAnsi="Times New Roman"/>
          <w:sz w:val="22"/>
          <w:szCs w:val="22"/>
          <w:b w:val="1"/>
          <w:bCs w:val="1"/>
          <w:color w:val="auto"/>
        </w:rPr>
        <w:t>o</w:t>
      </w:r>
      <w:r>
        <w:rPr>
          <w:rFonts w:ascii="Times New Roman" w:cs="Times New Roman" w:eastAsia="Times New Roman" w:hAnsi="Times New Roman"/>
          <w:sz w:val="22"/>
          <w:szCs w:val="22"/>
          <w:color w:val="auto"/>
        </w:rPr>
        <w:t>f the Agreement, Bank may at its sole discretion terminate the Programs, continue the same and retain the benefits thereof, or sell the Programs (and all rights and benefits thereof) to a successor company. Unless Bank elects to continue the Programs or sell the same to a third party, the Agreement shall continue in full force and effect until all Programs, Cards, and Accounts are terminated, but in no event exceeding [***] the termination of the Agreement, or a mutually agreed upon wind down period (the “Wind Down Period”). During said time, Bank shall be entitled to withhold and pay directly all Program expenses from Program Revenues including the costs of all necessary servicing and processing for the Programs. In such event, Bank shall have no further obligation to accept any new Customers. In the event Bank elects to continue the Programs or sell the same to a third party, Bank shall so notify Client, and Client’s rights in connection with the Programs originated under this Agreement shall thereafter be immediately terminated. In such event, however, Client shall remain liable for any obligations owed to Bank under the Agreement. Upon termination of the Agreement or this Addendum, and repayment in full of all obligations of Client owed to Bank, and Bank’s reasonable determination that no additional sums are likely to be owed by Client to Bank in connection with this Agreement, Bank shall return any remaining amounts owed to Client in the Program Accounts within [***]</w:t>
      </w:r>
    </w:p>
    <w:p>
      <w:pPr>
        <w:spacing w:after="0" w:line="19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IN WITNESS WHEREOF, this Agreement is executed by the Parties’ authorized officers or representatives and shall be effective as of the date first above written.</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86"/>
        </w:trPr>
        <w:tc>
          <w:tcPr>
            <w:tcW w:w="5140" w:type="dxa"/>
            <w:vAlign w:val="bottom"/>
            <w:gridSpan w:val="4"/>
          </w:tcPr>
          <w:p>
            <w:pPr>
              <w:spacing w:after="0"/>
              <w:rPr>
                <w:sz w:val="20"/>
                <w:szCs w:val="20"/>
                <w:color w:val="auto"/>
              </w:rPr>
            </w:pPr>
            <w:r>
              <w:rPr>
                <w:rFonts w:ascii="Times New Roman" w:cs="Times New Roman" w:eastAsia="Times New Roman" w:hAnsi="Times New Roman"/>
                <w:sz w:val="22"/>
                <w:szCs w:val="22"/>
                <w:b w:val="1"/>
                <w:bCs w:val="1"/>
                <w:color w:val="auto"/>
              </w:rPr>
              <w:t>Chime Financial, Inc.</w:t>
            </w:r>
          </w:p>
        </w:tc>
        <w:tc>
          <w:tcPr>
            <w:tcW w:w="6060" w:type="dxa"/>
            <w:vAlign w:val="bottom"/>
            <w:gridSpan w:val="4"/>
          </w:tcPr>
          <w:p>
            <w:pPr>
              <w:ind w:left="880"/>
              <w:spacing w:after="0"/>
              <w:rPr>
                <w:sz w:val="20"/>
                <w:szCs w:val="20"/>
                <w:color w:val="auto"/>
              </w:rPr>
            </w:pPr>
            <w:r>
              <w:rPr>
                <w:rFonts w:ascii="Times New Roman" w:cs="Times New Roman" w:eastAsia="Times New Roman" w:hAnsi="Times New Roman"/>
                <w:sz w:val="22"/>
                <w:szCs w:val="22"/>
                <w:b w:val="1"/>
                <w:bCs w:val="1"/>
                <w:color w:val="auto"/>
              </w:rPr>
              <w:t>The Bancorp Bank, N.A.</w:t>
            </w:r>
          </w:p>
        </w:tc>
      </w:tr>
      <w:tr>
        <w:trPr>
          <w:trHeight w:val="487"/>
        </w:trPr>
        <w:tc>
          <w:tcPr>
            <w:tcW w:w="51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Matthew Newcomb</w:t>
            </w:r>
          </w:p>
        </w:tc>
        <w:tc>
          <w:tcPr>
            <w:tcW w:w="14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By:</w:t>
            </w:r>
          </w:p>
        </w:tc>
        <w:tc>
          <w:tcPr>
            <w:tcW w:w="46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 Ryan Harris</w:t>
            </w:r>
          </w:p>
        </w:tc>
      </w:tr>
      <w:tr>
        <w:trPr>
          <w:trHeight w:val="20"/>
        </w:trPr>
        <w:tc>
          <w:tcPr>
            <w:tcW w:w="5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180" w:type="dxa"/>
            <w:vAlign w:val="bottom"/>
            <w:shd w:val="clear" w:color="auto" w:fill="000000"/>
          </w:tcPr>
          <w:p>
            <w:pPr>
              <w:spacing w:after="0" w:line="20" w:lineRule="exact"/>
              <w:rPr>
                <w:sz w:val="1"/>
                <w:szCs w:val="1"/>
                <w:color w:val="auto"/>
              </w:rPr>
            </w:pPr>
          </w:p>
        </w:tc>
        <w:tc>
          <w:tcPr>
            <w:tcW w:w="146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20" w:type="dxa"/>
            <w:vAlign w:val="bottom"/>
            <w:shd w:val="clear" w:color="auto" w:fill="000000"/>
          </w:tcPr>
          <w:p>
            <w:pPr>
              <w:spacing w:after="0" w:line="20" w:lineRule="exact"/>
              <w:rPr>
                <w:sz w:val="1"/>
                <w:szCs w:val="1"/>
                <w:color w:val="auto"/>
              </w:rPr>
            </w:pPr>
          </w:p>
        </w:tc>
      </w:tr>
      <w:tr>
        <w:trPr>
          <w:trHeight w:val="466"/>
        </w:trPr>
        <w:tc>
          <w:tcPr>
            <w:tcW w:w="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Name:</w:t>
            </w:r>
          </w:p>
        </w:tc>
        <w:tc>
          <w:tcPr>
            <w:tcW w:w="180" w:type="dxa"/>
            <w:vAlign w:val="bottom"/>
          </w:tcPr>
          <w:p>
            <w:pPr>
              <w:spacing w:after="0"/>
              <w:rPr>
                <w:sz w:val="24"/>
                <w:szCs w:val="24"/>
                <w:color w:val="auto"/>
              </w:rPr>
            </w:pPr>
          </w:p>
        </w:tc>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Matthew Newcomb</w:t>
            </w:r>
          </w:p>
        </w:tc>
        <w:tc>
          <w:tcPr>
            <w:tcW w:w="1460" w:type="dxa"/>
            <w:vAlign w:val="bottom"/>
          </w:tcPr>
          <w:p>
            <w:pPr>
              <w:ind w:left="880"/>
              <w:spacing w:after="0"/>
              <w:rPr>
                <w:sz w:val="20"/>
                <w:szCs w:val="20"/>
                <w:color w:val="auto"/>
              </w:rPr>
            </w:pPr>
            <w:r>
              <w:rPr>
                <w:rFonts w:ascii="Times New Roman" w:cs="Times New Roman" w:eastAsia="Times New Roman" w:hAnsi="Times New Roman"/>
                <w:sz w:val="22"/>
                <w:szCs w:val="22"/>
                <w:color w:val="auto"/>
                <w:w w:val="91"/>
              </w:rPr>
              <w:t>Name:</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Ryan Harris</w:t>
            </w:r>
          </w:p>
        </w:tc>
      </w:tr>
      <w:tr>
        <w:trPr>
          <w:trHeight w:val="466"/>
        </w:trPr>
        <w:tc>
          <w:tcPr>
            <w:tcW w:w="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Title:</w:t>
            </w:r>
          </w:p>
        </w:tc>
        <w:tc>
          <w:tcPr>
            <w:tcW w:w="4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CFO</w:t>
            </w:r>
          </w:p>
        </w:tc>
        <w:tc>
          <w:tcPr>
            <w:tcW w:w="14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Title:</w:t>
            </w:r>
          </w:p>
        </w:tc>
        <w:tc>
          <w:tcPr>
            <w:tcW w:w="200" w:type="dxa"/>
            <w:vAlign w:val="bottom"/>
          </w:tcPr>
          <w:p>
            <w:pPr>
              <w:spacing w:after="0"/>
              <w:rPr>
                <w:sz w:val="24"/>
                <w:szCs w:val="24"/>
                <w:color w:val="auto"/>
              </w:rPr>
            </w:pPr>
          </w:p>
        </w:tc>
        <w:tc>
          <w:tcPr>
            <w:tcW w:w="44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2"/>
                <w:szCs w:val="22"/>
                <w:color w:val="auto"/>
              </w:rPr>
              <w:t>EVP, Head of Fintech Solutions</w:t>
            </w:r>
          </w:p>
        </w:tc>
      </w:tr>
    </w:tbl>
    <w:p>
      <w:pPr>
        <w:sectPr>
          <w:pgSz w:w="11900" w:h="16838" w:orient="portrait"/>
          <w:cols w:equalWidth="0" w:num="1">
            <w:col w:w="11240"/>
          </w:cols>
          <w:pgMar w:left="320" w:top="137" w:right="339" w:bottom="1440" w:gutter="0" w:footer="0" w:header="0"/>
        </w:sectPr>
      </w:pPr>
    </w:p>
    <w:bookmarkStart w:id="498" w:name="page499"/>
    <w:bookmarkEnd w:id="498"/>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EXHIBITS</w:t>
      </w:r>
    </w:p>
    <w:p>
      <w:pPr>
        <w:sectPr>
          <w:pgSz w:w="11900" w:h="16838" w:orient="portrait"/>
          <w:cols w:equalWidth="0" w:num="1">
            <w:col w:w="11220"/>
          </w:cols>
          <w:pgMar w:left="340" w:top="137" w:right="339" w:bottom="1440" w:gutter="0" w:footer="0" w:header="0"/>
        </w:sect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Exhibit A</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B</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C</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Exhibit D</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Exhibit G</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Exhibit H</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Account Features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Program Authorization Letter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Processing Services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Service Level Agreement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Required Reports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Program Accounts and Funds Flow</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Customer Service and Complaint Resolution Guidelines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SpotMe Feature</w:t>
      </w:r>
    </w:p>
    <w:p>
      <w:pPr>
        <w:sectPr>
          <w:pgSz w:w="11900" w:h="16838" w:orient="portrait"/>
          <w:cols w:equalWidth="0" w:num="2">
            <w:col w:w="1800" w:space="720"/>
            <w:col w:w="8700"/>
          </w:cols>
          <w:pgMar w:left="340" w:top="137" w:right="339" w:bottom="1440" w:gutter="0" w:footer="0" w:header="0"/>
          <w:type w:val="continuous"/>
        </w:sectPr>
      </w:pPr>
    </w:p>
    <w:bookmarkStart w:id="499" w:name="page500"/>
    <w:bookmarkEnd w:id="499"/>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82" w:lineRule="exact"/>
        <w:rPr>
          <w:sz w:val="20"/>
          <w:szCs w:val="20"/>
          <w:color w:val="auto"/>
        </w:rPr>
      </w:pPr>
    </w:p>
    <w:tbl>
      <w:tblPr>
        <w:tblLayout w:type="fixed"/>
        <w:tblInd w:w="10" w:type="dxa"/>
        <w:tblCellMar>
          <w:top w:w="0" w:type="dxa"/>
          <w:left w:w="0" w:type="dxa"/>
          <w:bottom w:w="0" w:type="dxa"/>
          <w:right w:w="0" w:type="dxa"/>
        </w:tblCellMar>
      </w:tblPr>
      <w:tr>
        <w:trPr>
          <w:trHeight w:val="282"/>
        </w:trPr>
        <w:tc>
          <w:tcPr>
            <w:tcW w:w="30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60" w:type="dxa"/>
            <w:vAlign w:val="bottom"/>
          </w:tcPr>
          <w:p>
            <w:pPr>
              <w:ind w:left="3640"/>
              <w:spacing w:after="0"/>
              <w:rPr>
                <w:sz w:val="20"/>
                <w:szCs w:val="20"/>
                <w:color w:val="auto"/>
              </w:rPr>
            </w:pPr>
            <w:r>
              <w:rPr>
                <w:rFonts w:ascii="Times New Roman" w:cs="Times New Roman" w:eastAsia="Times New Roman" w:hAnsi="Times New Roman"/>
                <w:sz w:val="22"/>
                <w:szCs w:val="22"/>
                <w:color w:val="auto"/>
                <w:w w:val="96"/>
              </w:rPr>
              <w:t>Execution Copy</w:t>
            </w:r>
          </w:p>
        </w:tc>
        <w:tc>
          <w:tcPr>
            <w:tcW w:w="0" w:type="dxa"/>
            <w:vAlign w:val="bottom"/>
          </w:tcPr>
          <w:p>
            <w:pPr>
              <w:spacing w:after="0"/>
              <w:rPr>
                <w:sz w:val="1"/>
                <w:szCs w:val="1"/>
                <w:color w:val="auto"/>
              </w:rPr>
            </w:pPr>
          </w:p>
        </w:tc>
      </w:tr>
      <w:tr>
        <w:trPr>
          <w:trHeight w:val="852"/>
        </w:trPr>
        <w:tc>
          <w:tcPr>
            <w:tcW w:w="30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EXHIBIT A</w:t>
            </w:r>
          </w:p>
        </w:tc>
        <w:tc>
          <w:tcPr>
            <w:tcW w:w="5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5"/>
        </w:trPr>
        <w:tc>
          <w:tcPr>
            <w:tcW w:w="3020" w:type="dxa"/>
            <w:vAlign w:val="bottom"/>
          </w:tcPr>
          <w:p>
            <w:pPr>
              <w:spacing w:after="0"/>
              <w:rPr>
                <w:sz w:val="24"/>
                <w:szCs w:val="24"/>
                <w:color w:val="auto"/>
              </w:rPr>
            </w:pPr>
          </w:p>
        </w:tc>
        <w:tc>
          <w:tcPr>
            <w:tcW w:w="8240" w:type="dxa"/>
            <w:vAlign w:val="bottom"/>
            <w:gridSpan w:val="3"/>
          </w:tcPr>
          <w:p>
            <w:pPr>
              <w:jc w:val="center"/>
              <w:ind w:right="2912"/>
              <w:spacing w:after="0"/>
              <w:rPr>
                <w:sz w:val="20"/>
                <w:szCs w:val="20"/>
                <w:color w:val="auto"/>
              </w:rPr>
            </w:pPr>
            <w:r>
              <w:rPr>
                <w:rFonts w:ascii="Times New Roman" w:cs="Times New Roman" w:eastAsia="Times New Roman" w:hAnsi="Times New Roman"/>
                <w:sz w:val="22"/>
                <w:szCs w:val="22"/>
                <w:b w:val="1"/>
                <w:bCs w:val="1"/>
                <w:color w:val="auto"/>
                <w:w w:val="97"/>
              </w:rPr>
              <w:t>Account Features</w:t>
            </w:r>
          </w:p>
        </w:tc>
        <w:tc>
          <w:tcPr>
            <w:tcW w:w="0" w:type="dxa"/>
            <w:vAlign w:val="bottom"/>
          </w:tcPr>
          <w:p>
            <w:pPr>
              <w:spacing w:after="0"/>
              <w:rPr>
                <w:sz w:val="1"/>
                <w:szCs w:val="1"/>
                <w:color w:val="auto"/>
              </w:rPr>
            </w:pPr>
          </w:p>
        </w:tc>
      </w:tr>
      <w:tr>
        <w:trPr>
          <w:trHeight w:val="231"/>
        </w:trPr>
        <w:tc>
          <w:tcPr>
            <w:tcW w:w="3020" w:type="dxa"/>
            <w:vAlign w:val="bottom"/>
            <w:tcBorders>
              <w:bottom w:val="single" w:sz="8" w:color="auto"/>
            </w:tcBorders>
          </w:tcPr>
          <w:p>
            <w:pPr>
              <w:spacing w:after="0"/>
              <w:rPr>
                <w:sz w:val="20"/>
                <w:szCs w:val="20"/>
                <w:color w:val="auto"/>
              </w:rPr>
            </w:pPr>
          </w:p>
        </w:tc>
        <w:tc>
          <w:tcPr>
            <w:tcW w:w="8240" w:type="dxa"/>
            <w:vAlign w:val="bottom"/>
            <w:tcBorders>
              <w:bottom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30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b w:val="1"/>
                <w:bCs w:val="1"/>
                <w:color w:val="auto"/>
              </w:rPr>
              <w:t>Feature</w:t>
            </w:r>
          </w:p>
        </w:tc>
        <w:tc>
          <w:tcPr>
            <w:tcW w:w="82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b w:val="1"/>
                <w:bCs w:val="1"/>
                <w:color w:val="auto"/>
              </w:rPr>
              <w:t>Description</w:t>
            </w:r>
          </w:p>
        </w:tc>
        <w:tc>
          <w:tcPr>
            <w:tcW w:w="0" w:type="dxa"/>
            <w:vAlign w:val="bottom"/>
          </w:tcPr>
          <w:p>
            <w:pPr>
              <w:spacing w:after="0"/>
              <w:rPr>
                <w:sz w:val="1"/>
                <w:szCs w:val="1"/>
                <w:color w:val="auto"/>
              </w:rPr>
            </w:pPr>
          </w:p>
        </w:tc>
      </w:tr>
      <w:tr>
        <w:trPr>
          <w:trHeight w:val="56"/>
        </w:trPr>
        <w:tc>
          <w:tcPr>
            <w:tcW w:w="3020" w:type="dxa"/>
            <w:vAlign w:val="bottom"/>
            <w:tcBorders>
              <w:left w:val="single" w:sz="8" w:color="auto"/>
              <w:bottom w:val="single" w:sz="8" w:color="auto"/>
              <w:right w:val="single" w:sz="8" w:color="auto"/>
            </w:tcBorders>
          </w:tcPr>
          <w:p>
            <w:pPr>
              <w:spacing w:after="0"/>
              <w:rPr>
                <w:sz w:val="4"/>
                <w:szCs w:val="4"/>
                <w:color w:val="auto"/>
              </w:rPr>
            </w:pPr>
          </w:p>
        </w:tc>
        <w:tc>
          <w:tcPr>
            <w:tcW w:w="824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0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Dedicated Routing Number and</w:t>
            </w:r>
          </w:p>
        </w:tc>
        <w:tc>
          <w:tcPr>
            <w:tcW w:w="82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w w:val="99"/>
              </w:rPr>
              <w:t>Receive ACH Credits, and ACH Debits to pay bills and other charges, using routing number</w:t>
            </w:r>
          </w:p>
        </w:tc>
        <w:tc>
          <w:tcPr>
            <w:tcW w:w="0" w:type="dxa"/>
            <w:vAlign w:val="bottom"/>
          </w:tcPr>
          <w:p>
            <w:pPr>
              <w:spacing w:after="0"/>
              <w:rPr>
                <w:sz w:val="1"/>
                <w:szCs w:val="1"/>
                <w:color w:val="auto"/>
              </w:rPr>
            </w:pPr>
          </w:p>
        </w:tc>
      </w:tr>
      <w:tr>
        <w:trPr>
          <w:trHeight w:val="270"/>
        </w:trPr>
        <w:tc>
          <w:tcPr>
            <w:tcW w:w="30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Direct Debits</w:t>
            </w:r>
          </w:p>
        </w:tc>
        <w:tc>
          <w:tcPr>
            <w:tcW w:w="8240" w:type="dxa"/>
            <w:vAlign w:val="bottom"/>
            <w:tcBorders>
              <w:right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22"/>
                <w:szCs w:val="22"/>
                <w:color w:val="auto"/>
              </w:rPr>
              <w:t>and account number</w:t>
            </w:r>
          </w:p>
        </w:tc>
        <w:tc>
          <w:tcPr>
            <w:tcW w:w="0" w:type="dxa"/>
            <w:vAlign w:val="bottom"/>
          </w:tcPr>
          <w:p>
            <w:pPr>
              <w:spacing w:after="0"/>
              <w:rPr>
                <w:sz w:val="1"/>
                <w:szCs w:val="1"/>
                <w:color w:val="auto"/>
              </w:rPr>
            </w:pPr>
          </w:p>
        </w:tc>
      </w:tr>
      <w:tr>
        <w:trPr>
          <w:trHeight w:val="66"/>
        </w:trPr>
        <w:tc>
          <w:tcPr>
            <w:tcW w:w="3020" w:type="dxa"/>
            <w:vAlign w:val="bottom"/>
            <w:tcBorders>
              <w:left w:val="single" w:sz="8" w:color="auto"/>
              <w:right w:val="single" w:sz="8" w:color="auto"/>
            </w:tcBorders>
          </w:tcPr>
          <w:p>
            <w:pPr>
              <w:spacing w:after="0"/>
              <w:rPr>
                <w:sz w:val="5"/>
                <w:szCs w:val="5"/>
                <w:color w:val="auto"/>
              </w:rPr>
            </w:pPr>
          </w:p>
        </w:tc>
        <w:tc>
          <w:tcPr>
            <w:tcW w:w="8240" w:type="dxa"/>
            <w:vAlign w:val="bottom"/>
            <w:tcBorders>
              <w:right w:val="single" w:sz="8" w:color="auto"/>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6"/>
        </w:trPr>
        <w:tc>
          <w:tcPr>
            <w:tcW w:w="3020" w:type="dxa"/>
            <w:vAlign w:val="bottom"/>
            <w:tcBorders>
              <w:left w:val="single" w:sz="8" w:color="auto"/>
              <w:bottom w:val="single" w:sz="8" w:color="auto"/>
              <w:right w:val="single" w:sz="8" w:color="auto"/>
            </w:tcBorders>
          </w:tcPr>
          <w:p>
            <w:pPr>
              <w:spacing w:after="0"/>
              <w:rPr>
                <w:sz w:val="4"/>
                <w:szCs w:val="4"/>
                <w:color w:val="auto"/>
              </w:rPr>
            </w:pPr>
          </w:p>
        </w:tc>
        <w:tc>
          <w:tcPr>
            <w:tcW w:w="824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317"/>
        </w:trPr>
        <w:tc>
          <w:tcPr>
            <w:tcW w:w="30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Early Direct Deposit</w:t>
            </w:r>
          </w:p>
        </w:tc>
        <w:tc>
          <w:tcPr>
            <w:tcW w:w="82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rPr>
              <w:t>Bank will forward ACH Credit transactions on the date that the ACH Credit transaction file</w:t>
            </w:r>
          </w:p>
        </w:tc>
        <w:tc>
          <w:tcPr>
            <w:tcW w:w="0" w:type="dxa"/>
            <w:vAlign w:val="bottom"/>
          </w:tcPr>
          <w:p>
            <w:pPr>
              <w:spacing w:after="0"/>
              <w:rPr>
                <w:sz w:val="1"/>
                <w:szCs w:val="1"/>
                <w:color w:val="auto"/>
              </w:rPr>
            </w:pPr>
          </w:p>
        </w:tc>
      </w:tr>
      <w:tr>
        <w:trPr>
          <w:trHeight w:val="257"/>
        </w:trPr>
        <w:tc>
          <w:tcPr>
            <w:tcW w:w="3020" w:type="dxa"/>
            <w:vAlign w:val="bottom"/>
            <w:tcBorders>
              <w:left w:val="single" w:sz="8" w:color="auto"/>
              <w:right w:val="single" w:sz="8" w:color="auto"/>
            </w:tcBorders>
          </w:tcPr>
          <w:p>
            <w:pPr>
              <w:spacing w:after="0"/>
              <w:rPr>
                <w:sz w:val="22"/>
                <w:szCs w:val="22"/>
                <w:color w:val="auto"/>
              </w:rPr>
            </w:pPr>
          </w:p>
        </w:tc>
        <w:tc>
          <w:tcPr>
            <w:tcW w:w="82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rPr>
              <w:t>is received by Bank, which in some cases may be in advance of the actual transaction</w:t>
            </w:r>
          </w:p>
        </w:tc>
        <w:tc>
          <w:tcPr>
            <w:tcW w:w="0" w:type="dxa"/>
            <w:vAlign w:val="bottom"/>
          </w:tcPr>
          <w:p>
            <w:pPr>
              <w:spacing w:after="0"/>
              <w:rPr>
                <w:sz w:val="1"/>
                <w:szCs w:val="1"/>
                <w:color w:val="auto"/>
              </w:rPr>
            </w:pPr>
          </w:p>
        </w:tc>
      </w:tr>
      <w:tr>
        <w:trPr>
          <w:trHeight w:val="282"/>
        </w:trPr>
        <w:tc>
          <w:tcPr>
            <w:tcW w:w="3020" w:type="dxa"/>
            <w:vAlign w:val="bottom"/>
            <w:tcBorders>
              <w:left w:val="single" w:sz="8" w:color="auto"/>
              <w:right w:val="single" w:sz="8" w:color="auto"/>
            </w:tcBorders>
          </w:tcPr>
          <w:p>
            <w:pPr>
              <w:spacing w:after="0"/>
              <w:rPr>
                <w:sz w:val="24"/>
                <w:szCs w:val="24"/>
                <w:color w:val="auto"/>
              </w:rPr>
            </w:pPr>
          </w:p>
        </w:tc>
        <w:tc>
          <w:tcPr>
            <w:tcW w:w="82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rPr>
              <w:t>settlement date.</w:t>
            </w:r>
          </w:p>
        </w:tc>
        <w:tc>
          <w:tcPr>
            <w:tcW w:w="0" w:type="dxa"/>
            <w:vAlign w:val="bottom"/>
          </w:tcPr>
          <w:p>
            <w:pPr>
              <w:spacing w:after="0"/>
              <w:rPr>
                <w:sz w:val="1"/>
                <w:szCs w:val="1"/>
                <w:color w:val="auto"/>
              </w:rPr>
            </w:pPr>
          </w:p>
        </w:tc>
      </w:tr>
      <w:tr>
        <w:trPr>
          <w:trHeight w:val="69"/>
        </w:trPr>
        <w:tc>
          <w:tcPr>
            <w:tcW w:w="3020" w:type="dxa"/>
            <w:vAlign w:val="bottom"/>
            <w:tcBorders>
              <w:left w:val="single" w:sz="8" w:color="auto"/>
              <w:bottom w:val="single" w:sz="8" w:color="auto"/>
              <w:right w:val="single" w:sz="8" w:color="auto"/>
            </w:tcBorders>
          </w:tcPr>
          <w:p>
            <w:pPr>
              <w:spacing w:after="0"/>
              <w:rPr>
                <w:sz w:val="6"/>
                <w:szCs w:val="6"/>
                <w:color w:val="auto"/>
              </w:rPr>
            </w:pPr>
          </w:p>
        </w:tc>
        <w:tc>
          <w:tcPr>
            <w:tcW w:w="8240" w:type="dxa"/>
            <w:vAlign w:val="bottom"/>
            <w:tcBorders>
              <w:bottom w:val="single" w:sz="8" w:color="auto"/>
              <w:right w:val="single" w:sz="8" w:color="auto"/>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317"/>
        </w:trPr>
        <w:tc>
          <w:tcPr>
            <w:tcW w:w="30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Mobile Check Deposit</w:t>
            </w:r>
          </w:p>
        </w:tc>
        <w:tc>
          <w:tcPr>
            <w:tcW w:w="82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rPr>
              <w:t>Take a photo of a check drawn on an account at a U.S. Federally Insured Depository</w:t>
            </w:r>
          </w:p>
        </w:tc>
        <w:tc>
          <w:tcPr>
            <w:tcW w:w="0" w:type="dxa"/>
            <w:vAlign w:val="bottom"/>
          </w:tcPr>
          <w:p>
            <w:pPr>
              <w:spacing w:after="0"/>
              <w:rPr>
                <w:sz w:val="1"/>
                <w:szCs w:val="1"/>
                <w:color w:val="auto"/>
              </w:rPr>
            </w:pPr>
          </w:p>
        </w:tc>
      </w:tr>
      <w:tr>
        <w:trPr>
          <w:trHeight w:val="282"/>
        </w:trPr>
        <w:tc>
          <w:tcPr>
            <w:tcW w:w="3020" w:type="dxa"/>
            <w:vAlign w:val="bottom"/>
            <w:tcBorders>
              <w:left w:val="single" w:sz="8" w:color="auto"/>
              <w:right w:val="single" w:sz="8" w:color="auto"/>
            </w:tcBorders>
          </w:tcPr>
          <w:p>
            <w:pPr>
              <w:spacing w:after="0"/>
              <w:rPr>
                <w:sz w:val="24"/>
                <w:szCs w:val="24"/>
                <w:color w:val="auto"/>
              </w:rPr>
            </w:pPr>
          </w:p>
        </w:tc>
        <w:tc>
          <w:tcPr>
            <w:tcW w:w="82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rPr>
              <w:t>Institution, and have it deposited into their Chime spending account</w:t>
            </w:r>
          </w:p>
        </w:tc>
        <w:tc>
          <w:tcPr>
            <w:tcW w:w="0" w:type="dxa"/>
            <w:vAlign w:val="bottom"/>
          </w:tcPr>
          <w:p>
            <w:pPr>
              <w:spacing w:after="0"/>
              <w:rPr>
                <w:sz w:val="1"/>
                <w:szCs w:val="1"/>
                <w:color w:val="auto"/>
              </w:rPr>
            </w:pPr>
          </w:p>
        </w:tc>
      </w:tr>
      <w:tr>
        <w:trPr>
          <w:trHeight w:val="56"/>
        </w:trPr>
        <w:tc>
          <w:tcPr>
            <w:tcW w:w="3020" w:type="dxa"/>
            <w:vAlign w:val="bottom"/>
            <w:tcBorders>
              <w:left w:val="single" w:sz="8" w:color="auto"/>
              <w:bottom w:val="single" w:sz="8" w:color="auto"/>
              <w:right w:val="single" w:sz="8" w:color="auto"/>
            </w:tcBorders>
          </w:tcPr>
          <w:p>
            <w:pPr>
              <w:spacing w:after="0"/>
              <w:rPr>
                <w:sz w:val="4"/>
                <w:szCs w:val="4"/>
                <w:color w:val="auto"/>
              </w:rPr>
            </w:pPr>
          </w:p>
        </w:tc>
        <w:tc>
          <w:tcPr>
            <w:tcW w:w="824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30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Checkbook</w:t>
            </w:r>
          </w:p>
        </w:tc>
        <w:tc>
          <w:tcPr>
            <w:tcW w:w="82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rPr>
              <w:t>Have a check mailed to a recipient (individual or business) via the Chime app</w:t>
            </w:r>
          </w:p>
        </w:tc>
        <w:tc>
          <w:tcPr>
            <w:tcW w:w="0" w:type="dxa"/>
            <w:vAlign w:val="bottom"/>
          </w:tcPr>
          <w:p>
            <w:pPr>
              <w:spacing w:after="0"/>
              <w:rPr>
                <w:sz w:val="1"/>
                <w:szCs w:val="1"/>
                <w:color w:val="auto"/>
              </w:rPr>
            </w:pPr>
          </w:p>
        </w:tc>
      </w:tr>
      <w:tr>
        <w:trPr>
          <w:trHeight w:val="69"/>
        </w:trPr>
        <w:tc>
          <w:tcPr>
            <w:tcW w:w="3020" w:type="dxa"/>
            <w:vAlign w:val="bottom"/>
            <w:tcBorders>
              <w:left w:val="single" w:sz="8" w:color="auto"/>
              <w:bottom w:val="single" w:sz="8" w:color="auto"/>
              <w:right w:val="single" w:sz="8" w:color="auto"/>
            </w:tcBorders>
          </w:tcPr>
          <w:p>
            <w:pPr>
              <w:spacing w:after="0"/>
              <w:rPr>
                <w:sz w:val="6"/>
                <w:szCs w:val="6"/>
                <w:color w:val="auto"/>
              </w:rPr>
            </w:pPr>
          </w:p>
        </w:tc>
        <w:tc>
          <w:tcPr>
            <w:tcW w:w="8240" w:type="dxa"/>
            <w:vAlign w:val="bottom"/>
            <w:tcBorders>
              <w:bottom w:val="single" w:sz="8" w:color="auto"/>
              <w:right w:val="single" w:sz="8" w:color="auto"/>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317"/>
        </w:trPr>
        <w:tc>
          <w:tcPr>
            <w:tcW w:w="30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Savings Account</w:t>
            </w:r>
          </w:p>
        </w:tc>
        <w:tc>
          <w:tcPr>
            <w:tcW w:w="82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rPr>
              <w:t>Open interest-bearing account (Client and Bank to agree to pricing structure to support</w:t>
            </w:r>
          </w:p>
        </w:tc>
        <w:tc>
          <w:tcPr>
            <w:tcW w:w="0" w:type="dxa"/>
            <w:vAlign w:val="bottom"/>
          </w:tcPr>
          <w:p>
            <w:pPr>
              <w:spacing w:after="0"/>
              <w:rPr>
                <w:sz w:val="1"/>
                <w:szCs w:val="1"/>
                <w:color w:val="auto"/>
              </w:rPr>
            </w:pPr>
          </w:p>
        </w:tc>
      </w:tr>
      <w:tr>
        <w:trPr>
          <w:trHeight w:val="257"/>
        </w:trPr>
        <w:tc>
          <w:tcPr>
            <w:tcW w:w="3020" w:type="dxa"/>
            <w:vAlign w:val="bottom"/>
            <w:tcBorders>
              <w:left w:val="single" w:sz="8" w:color="auto"/>
              <w:right w:val="single" w:sz="8" w:color="auto"/>
            </w:tcBorders>
          </w:tcPr>
          <w:p>
            <w:pPr>
              <w:spacing w:after="0"/>
              <w:rPr>
                <w:sz w:val="22"/>
                <w:szCs w:val="22"/>
                <w:color w:val="auto"/>
              </w:rPr>
            </w:pPr>
          </w:p>
        </w:tc>
        <w:tc>
          <w:tcPr>
            <w:tcW w:w="82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rPr>
              <w:t>desired interest rates). The interest rate paid under any Savings Program will be determined</w:t>
            </w:r>
          </w:p>
        </w:tc>
        <w:tc>
          <w:tcPr>
            <w:tcW w:w="0" w:type="dxa"/>
            <w:vAlign w:val="bottom"/>
          </w:tcPr>
          <w:p>
            <w:pPr>
              <w:spacing w:after="0"/>
              <w:rPr>
                <w:sz w:val="1"/>
                <w:szCs w:val="1"/>
                <w:color w:val="auto"/>
              </w:rPr>
            </w:pPr>
          </w:p>
        </w:tc>
      </w:tr>
      <w:tr>
        <w:trPr>
          <w:trHeight w:val="282"/>
        </w:trPr>
        <w:tc>
          <w:tcPr>
            <w:tcW w:w="3020" w:type="dxa"/>
            <w:vAlign w:val="bottom"/>
            <w:tcBorders>
              <w:left w:val="single" w:sz="8" w:color="auto"/>
              <w:right w:val="single" w:sz="8" w:color="auto"/>
            </w:tcBorders>
          </w:tcPr>
          <w:p>
            <w:pPr>
              <w:spacing w:after="0"/>
              <w:rPr>
                <w:sz w:val="24"/>
                <w:szCs w:val="24"/>
                <w:color w:val="auto"/>
              </w:rPr>
            </w:pPr>
          </w:p>
        </w:tc>
        <w:tc>
          <w:tcPr>
            <w:tcW w:w="82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rPr>
              <w:t>as agreed upon by the Bank and Client (“Savings Interest Rate”).</w:t>
            </w:r>
          </w:p>
        </w:tc>
        <w:tc>
          <w:tcPr>
            <w:tcW w:w="0" w:type="dxa"/>
            <w:vAlign w:val="bottom"/>
          </w:tcPr>
          <w:p>
            <w:pPr>
              <w:spacing w:after="0"/>
              <w:rPr>
                <w:sz w:val="1"/>
                <w:szCs w:val="1"/>
                <w:color w:val="auto"/>
              </w:rPr>
            </w:pPr>
          </w:p>
        </w:tc>
      </w:tr>
      <w:tr>
        <w:trPr>
          <w:trHeight w:val="69"/>
        </w:trPr>
        <w:tc>
          <w:tcPr>
            <w:tcW w:w="3020" w:type="dxa"/>
            <w:vAlign w:val="bottom"/>
            <w:tcBorders>
              <w:left w:val="single" w:sz="8" w:color="auto"/>
              <w:bottom w:val="single" w:sz="8" w:color="auto"/>
              <w:right w:val="single" w:sz="8" w:color="auto"/>
            </w:tcBorders>
          </w:tcPr>
          <w:p>
            <w:pPr>
              <w:spacing w:after="0"/>
              <w:rPr>
                <w:sz w:val="6"/>
                <w:szCs w:val="6"/>
                <w:color w:val="auto"/>
              </w:rPr>
            </w:pPr>
          </w:p>
        </w:tc>
        <w:tc>
          <w:tcPr>
            <w:tcW w:w="8240" w:type="dxa"/>
            <w:vAlign w:val="bottom"/>
            <w:tcBorders>
              <w:bottom w:val="single" w:sz="8" w:color="auto"/>
              <w:right w:val="single" w:sz="8" w:color="auto"/>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317"/>
        </w:trPr>
        <w:tc>
          <w:tcPr>
            <w:tcW w:w="30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Pay Friends</w:t>
            </w:r>
          </w:p>
        </w:tc>
        <w:tc>
          <w:tcPr>
            <w:tcW w:w="82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w w:val="98"/>
              </w:rPr>
              <w:t>Transfer funds from a Chime Spending Account member to another Chime checking account</w:t>
            </w:r>
          </w:p>
        </w:tc>
        <w:tc>
          <w:tcPr>
            <w:tcW w:w="0" w:type="dxa"/>
            <w:vAlign w:val="bottom"/>
          </w:tcPr>
          <w:p>
            <w:pPr>
              <w:spacing w:after="0"/>
              <w:rPr>
                <w:sz w:val="1"/>
                <w:szCs w:val="1"/>
                <w:color w:val="auto"/>
              </w:rPr>
            </w:pPr>
          </w:p>
        </w:tc>
      </w:tr>
      <w:tr>
        <w:trPr>
          <w:trHeight w:val="257"/>
        </w:trPr>
        <w:tc>
          <w:tcPr>
            <w:tcW w:w="3020" w:type="dxa"/>
            <w:vAlign w:val="bottom"/>
            <w:tcBorders>
              <w:left w:val="single" w:sz="8" w:color="auto"/>
              <w:right w:val="single" w:sz="8" w:color="auto"/>
            </w:tcBorders>
          </w:tcPr>
          <w:p>
            <w:pPr>
              <w:spacing w:after="0"/>
              <w:rPr>
                <w:sz w:val="22"/>
                <w:szCs w:val="22"/>
                <w:color w:val="auto"/>
              </w:rPr>
            </w:pPr>
          </w:p>
        </w:tc>
        <w:tc>
          <w:tcPr>
            <w:tcW w:w="82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w w:val="99"/>
              </w:rPr>
              <w:t>holder at a U.S. Federally-Insured Depository Institution, in near real-time, even if the payee</w:t>
            </w:r>
          </w:p>
        </w:tc>
        <w:tc>
          <w:tcPr>
            <w:tcW w:w="0" w:type="dxa"/>
            <w:vAlign w:val="bottom"/>
          </w:tcPr>
          <w:p>
            <w:pPr>
              <w:spacing w:after="0"/>
              <w:rPr>
                <w:sz w:val="1"/>
                <w:szCs w:val="1"/>
                <w:color w:val="auto"/>
              </w:rPr>
            </w:pPr>
          </w:p>
        </w:tc>
      </w:tr>
      <w:tr>
        <w:trPr>
          <w:trHeight w:val="282"/>
        </w:trPr>
        <w:tc>
          <w:tcPr>
            <w:tcW w:w="3020" w:type="dxa"/>
            <w:vAlign w:val="bottom"/>
            <w:tcBorders>
              <w:left w:val="single" w:sz="8" w:color="auto"/>
              <w:right w:val="single" w:sz="8" w:color="auto"/>
            </w:tcBorders>
          </w:tcPr>
          <w:p>
            <w:pPr>
              <w:spacing w:after="0"/>
              <w:rPr>
                <w:sz w:val="24"/>
                <w:szCs w:val="24"/>
                <w:color w:val="auto"/>
              </w:rPr>
            </w:pPr>
          </w:p>
        </w:tc>
        <w:tc>
          <w:tcPr>
            <w:tcW w:w="82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rPr>
              <w:t>member’s account is housed in another bank (e.g., Stride)</w:t>
            </w:r>
          </w:p>
        </w:tc>
        <w:tc>
          <w:tcPr>
            <w:tcW w:w="0" w:type="dxa"/>
            <w:vAlign w:val="bottom"/>
          </w:tcPr>
          <w:p>
            <w:pPr>
              <w:spacing w:after="0"/>
              <w:rPr>
                <w:sz w:val="1"/>
                <w:szCs w:val="1"/>
                <w:color w:val="auto"/>
              </w:rPr>
            </w:pPr>
          </w:p>
        </w:tc>
      </w:tr>
      <w:tr>
        <w:trPr>
          <w:trHeight w:val="69"/>
        </w:trPr>
        <w:tc>
          <w:tcPr>
            <w:tcW w:w="3020" w:type="dxa"/>
            <w:vAlign w:val="bottom"/>
            <w:tcBorders>
              <w:left w:val="single" w:sz="8" w:color="auto"/>
              <w:bottom w:val="single" w:sz="8" w:color="auto"/>
              <w:right w:val="single" w:sz="8" w:color="auto"/>
            </w:tcBorders>
          </w:tcPr>
          <w:p>
            <w:pPr>
              <w:spacing w:after="0"/>
              <w:rPr>
                <w:sz w:val="6"/>
                <w:szCs w:val="6"/>
                <w:color w:val="auto"/>
              </w:rPr>
            </w:pPr>
          </w:p>
        </w:tc>
        <w:tc>
          <w:tcPr>
            <w:tcW w:w="8240" w:type="dxa"/>
            <w:vAlign w:val="bottom"/>
            <w:tcBorders>
              <w:bottom w:val="single" w:sz="8" w:color="auto"/>
              <w:right w:val="single" w:sz="8" w:color="auto"/>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330"/>
        </w:trPr>
        <w:tc>
          <w:tcPr>
            <w:tcW w:w="30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Automatic Savings</w:t>
            </w:r>
          </w:p>
        </w:tc>
        <w:tc>
          <w:tcPr>
            <w:tcW w:w="82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rPr>
              <w:t>Have Xo/o of direct deposit deposited into Savings account (amount set by member)</w:t>
            </w:r>
          </w:p>
        </w:tc>
        <w:tc>
          <w:tcPr>
            <w:tcW w:w="0" w:type="dxa"/>
            <w:vAlign w:val="bottom"/>
          </w:tcPr>
          <w:p>
            <w:pPr>
              <w:spacing w:after="0"/>
              <w:rPr>
                <w:sz w:val="1"/>
                <w:szCs w:val="1"/>
                <w:color w:val="auto"/>
              </w:rPr>
            </w:pPr>
          </w:p>
        </w:tc>
      </w:tr>
      <w:tr>
        <w:trPr>
          <w:trHeight w:val="69"/>
        </w:trPr>
        <w:tc>
          <w:tcPr>
            <w:tcW w:w="3020" w:type="dxa"/>
            <w:vAlign w:val="bottom"/>
            <w:tcBorders>
              <w:left w:val="single" w:sz="8" w:color="auto"/>
              <w:bottom w:val="single" w:sz="8" w:color="auto"/>
              <w:right w:val="single" w:sz="8" w:color="auto"/>
            </w:tcBorders>
          </w:tcPr>
          <w:p>
            <w:pPr>
              <w:spacing w:after="0"/>
              <w:rPr>
                <w:sz w:val="6"/>
                <w:szCs w:val="6"/>
                <w:color w:val="auto"/>
              </w:rPr>
            </w:pPr>
          </w:p>
        </w:tc>
        <w:tc>
          <w:tcPr>
            <w:tcW w:w="8240" w:type="dxa"/>
            <w:vAlign w:val="bottom"/>
            <w:tcBorders>
              <w:bottom w:val="single" w:sz="8" w:color="auto"/>
              <w:right w:val="single" w:sz="8" w:color="auto"/>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329"/>
        </w:trPr>
        <w:tc>
          <w:tcPr>
            <w:tcW w:w="30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ACH Transfers</w:t>
            </w:r>
          </w:p>
        </w:tc>
        <w:tc>
          <w:tcPr>
            <w:tcW w:w="82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rPr>
              <w:t>Move money to accounts at other U.S. Federally-Insured Depository Institutions</w:t>
            </w:r>
          </w:p>
        </w:tc>
        <w:tc>
          <w:tcPr>
            <w:tcW w:w="0" w:type="dxa"/>
            <w:vAlign w:val="bottom"/>
          </w:tcPr>
          <w:p>
            <w:pPr>
              <w:spacing w:after="0"/>
              <w:rPr>
                <w:sz w:val="1"/>
                <w:szCs w:val="1"/>
                <w:color w:val="auto"/>
              </w:rPr>
            </w:pPr>
          </w:p>
        </w:tc>
      </w:tr>
      <w:tr>
        <w:trPr>
          <w:trHeight w:val="69"/>
        </w:trPr>
        <w:tc>
          <w:tcPr>
            <w:tcW w:w="3020" w:type="dxa"/>
            <w:vAlign w:val="bottom"/>
            <w:tcBorders>
              <w:left w:val="single" w:sz="8" w:color="auto"/>
              <w:bottom w:val="single" w:sz="8" w:color="auto"/>
              <w:right w:val="single" w:sz="8" w:color="auto"/>
            </w:tcBorders>
          </w:tcPr>
          <w:p>
            <w:pPr>
              <w:spacing w:after="0"/>
              <w:rPr>
                <w:sz w:val="6"/>
                <w:szCs w:val="6"/>
                <w:color w:val="auto"/>
              </w:rPr>
            </w:pPr>
          </w:p>
        </w:tc>
        <w:tc>
          <w:tcPr>
            <w:tcW w:w="8240" w:type="dxa"/>
            <w:vAlign w:val="bottom"/>
            <w:tcBorders>
              <w:bottom w:val="single" w:sz="8" w:color="auto"/>
              <w:right w:val="single" w:sz="8" w:color="auto"/>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317"/>
        </w:trPr>
        <w:tc>
          <w:tcPr>
            <w:tcW w:w="30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ATM withdrawals</w:t>
            </w:r>
          </w:p>
        </w:tc>
        <w:tc>
          <w:tcPr>
            <w:tcW w:w="82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w w:val="97"/>
              </w:rPr>
              <w:t>Withdraw cash from MoneyPass, Allpoint, or PLUSAlliance ATM (subject to Bank-approved</w:t>
            </w:r>
          </w:p>
        </w:tc>
        <w:tc>
          <w:tcPr>
            <w:tcW w:w="0" w:type="dxa"/>
            <w:vAlign w:val="bottom"/>
          </w:tcPr>
          <w:p>
            <w:pPr>
              <w:spacing w:after="0"/>
              <w:rPr>
                <w:sz w:val="1"/>
                <w:szCs w:val="1"/>
                <w:color w:val="auto"/>
              </w:rPr>
            </w:pPr>
          </w:p>
        </w:tc>
      </w:tr>
      <w:tr>
        <w:trPr>
          <w:trHeight w:val="282"/>
        </w:trPr>
        <w:tc>
          <w:tcPr>
            <w:tcW w:w="3020" w:type="dxa"/>
            <w:vAlign w:val="bottom"/>
            <w:tcBorders>
              <w:left w:val="single" w:sz="8" w:color="auto"/>
              <w:right w:val="single" w:sz="8" w:color="auto"/>
            </w:tcBorders>
          </w:tcPr>
          <w:p>
            <w:pPr>
              <w:spacing w:after="0"/>
              <w:rPr>
                <w:sz w:val="24"/>
                <w:szCs w:val="24"/>
                <w:color w:val="auto"/>
              </w:rPr>
            </w:pPr>
          </w:p>
        </w:tc>
        <w:tc>
          <w:tcPr>
            <w:tcW w:w="82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rPr>
              <w:t>fee schedule), and from other ATMs (subject to Bank-approved fee schedule)</w:t>
            </w:r>
          </w:p>
        </w:tc>
        <w:tc>
          <w:tcPr>
            <w:tcW w:w="0" w:type="dxa"/>
            <w:vAlign w:val="bottom"/>
          </w:tcPr>
          <w:p>
            <w:pPr>
              <w:spacing w:after="0"/>
              <w:rPr>
                <w:sz w:val="1"/>
                <w:szCs w:val="1"/>
                <w:color w:val="auto"/>
              </w:rPr>
            </w:pPr>
          </w:p>
        </w:tc>
      </w:tr>
      <w:tr>
        <w:trPr>
          <w:trHeight w:val="56"/>
        </w:trPr>
        <w:tc>
          <w:tcPr>
            <w:tcW w:w="3020" w:type="dxa"/>
            <w:vAlign w:val="bottom"/>
            <w:tcBorders>
              <w:left w:val="single" w:sz="8" w:color="auto"/>
              <w:bottom w:val="single" w:sz="8" w:color="auto"/>
              <w:right w:val="single" w:sz="8" w:color="auto"/>
            </w:tcBorders>
          </w:tcPr>
          <w:p>
            <w:pPr>
              <w:spacing w:after="0"/>
              <w:rPr>
                <w:sz w:val="4"/>
                <w:szCs w:val="4"/>
                <w:color w:val="auto"/>
              </w:rPr>
            </w:pPr>
          </w:p>
        </w:tc>
        <w:tc>
          <w:tcPr>
            <w:tcW w:w="824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317"/>
        </w:trPr>
        <w:tc>
          <w:tcPr>
            <w:tcW w:w="30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Cash Loads</w:t>
            </w:r>
          </w:p>
        </w:tc>
        <w:tc>
          <w:tcPr>
            <w:tcW w:w="82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rPr>
              <w:t>Deposit cash into Chime member spending account by visiting an approved reload or cash</w:t>
            </w:r>
          </w:p>
        </w:tc>
        <w:tc>
          <w:tcPr>
            <w:tcW w:w="0" w:type="dxa"/>
            <w:vAlign w:val="bottom"/>
          </w:tcPr>
          <w:p>
            <w:pPr>
              <w:spacing w:after="0"/>
              <w:rPr>
                <w:sz w:val="1"/>
                <w:szCs w:val="1"/>
                <w:color w:val="auto"/>
              </w:rPr>
            </w:pPr>
          </w:p>
        </w:tc>
      </w:tr>
      <w:tr>
        <w:trPr>
          <w:trHeight w:val="282"/>
        </w:trPr>
        <w:tc>
          <w:tcPr>
            <w:tcW w:w="3020" w:type="dxa"/>
            <w:vAlign w:val="bottom"/>
            <w:tcBorders>
              <w:left w:val="single" w:sz="8" w:color="auto"/>
              <w:right w:val="single" w:sz="8" w:color="auto"/>
            </w:tcBorders>
          </w:tcPr>
          <w:p>
            <w:pPr>
              <w:spacing w:after="0"/>
              <w:rPr>
                <w:sz w:val="24"/>
                <w:szCs w:val="24"/>
                <w:color w:val="auto"/>
              </w:rPr>
            </w:pPr>
          </w:p>
        </w:tc>
        <w:tc>
          <w:tcPr>
            <w:tcW w:w="82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rPr>
              <w:t>deposit location</w:t>
            </w:r>
          </w:p>
        </w:tc>
        <w:tc>
          <w:tcPr>
            <w:tcW w:w="0" w:type="dxa"/>
            <w:vAlign w:val="bottom"/>
          </w:tcPr>
          <w:p>
            <w:pPr>
              <w:spacing w:after="0"/>
              <w:rPr>
                <w:sz w:val="1"/>
                <w:szCs w:val="1"/>
                <w:color w:val="auto"/>
              </w:rPr>
            </w:pPr>
          </w:p>
        </w:tc>
      </w:tr>
      <w:tr>
        <w:trPr>
          <w:trHeight w:val="56"/>
        </w:trPr>
        <w:tc>
          <w:tcPr>
            <w:tcW w:w="3020" w:type="dxa"/>
            <w:vAlign w:val="bottom"/>
            <w:tcBorders>
              <w:left w:val="single" w:sz="8" w:color="auto"/>
              <w:bottom w:val="single" w:sz="8" w:color="auto"/>
              <w:right w:val="single" w:sz="8" w:color="auto"/>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50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AND PROPRIETARY</w:t>
      </w:r>
    </w:p>
    <w:p>
      <w:pPr>
        <w:sectPr>
          <w:pgSz w:w="11900" w:h="16838" w:orient="portrait"/>
          <w:cols w:equalWidth="0" w:num="1">
            <w:col w:w="11260"/>
          </w:cols>
          <w:pgMar w:left="320" w:top="137" w:right="319" w:bottom="1440" w:gutter="0" w:footer="0" w:header="0"/>
        </w:sectPr>
      </w:pPr>
    </w:p>
    <w:bookmarkStart w:id="500" w:name="page501"/>
    <w:bookmarkEnd w:id="500"/>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324"/>
        </w:trPr>
        <w:tc>
          <w:tcPr>
            <w:tcW w:w="302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Pay Non-Chime Friends</w:t>
            </w:r>
          </w:p>
        </w:tc>
        <w:tc>
          <w:tcPr>
            <w:tcW w:w="82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Pay friends who aren’t yet Chime member (friends retrieve money by creating a Chime</w:t>
            </w:r>
          </w:p>
        </w:tc>
      </w:tr>
      <w:tr>
        <w:trPr>
          <w:trHeight w:val="282"/>
        </w:trPr>
        <w:tc>
          <w:tcPr>
            <w:tcW w:w="3020" w:type="dxa"/>
            <w:vAlign w:val="bottom"/>
            <w:tcBorders>
              <w:left w:val="single" w:sz="8" w:color="auto"/>
              <w:right w:val="single" w:sz="8" w:color="auto"/>
            </w:tcBorders>
          </w:tcPr>
          <w:p>
            <w:pPr>
              <w:spacing w:after="0"/>
              <w:rPr>
                <w:sz w:val="24"/>
                <w:szCs w:val="24"/>
                <w:color w:val="auto"/>
              </w:rPr>
            </w:pPr>
          </w:p>
        </w:tc>
        <w:tc>
          <w:tcPr>
            <w:tcW w:w="8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account)</w:t>
            </w:r>
          </w:p>
        </w:tc>
      </w:tr>
      <w:tr>
        <w:trPr>
          <w:trHeight w:val="69"/>
        </w:trPr>
        <w:tc>
          <w:tcPr>
            <w:tcW w:w="3020" w:type="dxa"/>
            <w:vAlign w:val="bottom"/>
            <w:tcBorders>
              <w:left w:val="single" w:sz="8" w:color="auto"/>
              <w:bottom w:val="single" w:sz="8" w:color="auto"/>
              <w:right w:val="single" w:sz="8" w:color="auto"/>
            </w:tcBorders>
          </w:tcPr>
          <w:p>
            <w:pPr>
              <w:spacing w:after="0"/>
              <w:rPr>
                <w:sz w:val="6"/>
                <w:szCs w:val="6"/>
                <w:color w:val="auto"/>
              </w:rPr>
            </w:pPr>
          </w:p>
        </w:tc>
        <w:tc>
          <w:tcPr>
            <w:tcW w:w="8240" w:type="dxa"/>
            <w:vAlign w:val="bottom"/>
            <w:tcBorders>
              <w:bottom w:val="single" w:sz="8" w:color="auto"/>
              <w:right w:val="single" w:sz="8" w:color="auto"/>
            </w:tcBorders>
          </w:tcPr>
          <w:p>
            <w:pPr>
              <w:spacing w:after="0"/>
              <w:rPr>
                <w:sz w:val="6"/>
                <w:szCs w:val="6"/>
                <w:color w:val="auto"/>
              </w:rPr>
            </w:pPr>
          </w:p>
        </w:tc>
      </w:tr>
      <w:tr>
        <w:trPr>
          <w:trHeight w:val="304"/>
        </w:trPr>
        <w:tc>
          <w:tcPr>
            <w:tcW w:w="30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SpotMe</w:t>
            </w:r>
          </w:p>
        </w:tc>
        <w:tc>
          <w:tcPr>
            <w:tcW w:w="8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Product that allows direct deposit members to spend more than exists in their account by up</w:t>
            </w:r>
          </w:p>
        </w:tc>
      </w:tr>
      <w:tr>
        <w:trPr>
          <w:trHeight w:val="282"/>
        </w:trPr>
        <w:tc>
          <w:tcPr>
            <w:tcW w:w="3020" w:type="dxa"/>
            <w:vAlign w:val="bottom"/>
            <w:tcBorders>
              <w:left w:val="single" w:sz="8" w:color="auto"/>
              <w:right w:val="single" w:sz="8" w:color="auto"/>
            </w:tcBorders>
          </w:tcPr>
          <w:p>
            <w:pPr>
              <w:spacing w:after="0"/>
              <w:rPr>
                <w:sz w:val="24"/>
                <w:szCs w:val="24"/>
                <w:color w:val="auto"/>
              </w:rPr>
            </w:pPr>
          </w:p>
        </w:tc>
        <w:tc>
          <w:tcPr>
            <w:tcW w:w="8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w w:val="98"/>
              </w:rPr>
              <w:t>to an amount agreed by the Parties in writing, and subject to Chime’s underwriting standards.</w:t>
            </w:r>
          </w:p>
        </w:tc>
      </w:tr>
      <w:tr>
        <w:trPr>
          <w:trHeight w:val="69"/>
        </w:trPr>
        <w:tc>
          <w:tcPr>
            <w:tcW w:w="3020" w:type="dxa"/>
            <w:vAlign w:val="bottom"/>
            <w:tcBorders>
              <w:left w:val="single" w:sz="8" w:color="auto"/>
              <w:bottom w:val="single" w:sz="8" w:color="auto"/>
              <w:right w:val="single" w:sz="8" w:color="auto"/>
            </w:tcBorders>
          </w:tcPr>
          <w:p>
            <w:pPr>
              <w:spacing w:after="0"/>
              <w:rPr>
                <w:sz w:val="6"/>
                <w:szCs w:val="6"/>
                <w:color w:val="auto"/>
              </w:rPr>
            </w:pPr>
          </w:p>
        </w:tc>
        <w:tc>
          <w:tcPr>
            <w:tcW w:w="8240" w:type="dxa"/>
            <w:vAlign w:val="bottom"/>
            <w:tcBorders>
              <w:bottom w:val="single" w:sz="8" w:color="auto"/>
              <w:right w:val="single" w:sz="8" w:color="auto"/>
            </w:tcBorders>
          </w:tcPr>
          <w:p>
            <w:pPr>
              <w:spacing w:after="0"/>
              <w:rPr>
                <w:sz w:val="6"/>
                <w:szCs w:val="6"/>
                <w:color w:val="auto"/>
              </w:rPr>
            </w:pPr>
          </w:p>
        </w:tc>
      </w:tr>
    </w:tbl>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Other features may be added to the Accounts, as approved in writing by Bank and Client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AND PROPRIETARY</w:t>
      </w:r>
    </w:p>
    <w:p>
      <w:pPr>
        <w:sectPr>
          <w:pgSz w:w="11900" w:h="16838" w:orient="portrait"/>
          <w:cols w:equalWidth="0" w:num="1">
            <w:col w:w="11260"/>
          </w:cols>
          <w:pgMar w:left="320" w:top="137" w:right="319" w:bottom="1440" w:gutter="0" w:footer="0" w:header="0"/>
        </w:sectPr>
      </w:pPr>
    </w:p>
    <w:bookmarkStart w:id="501" w:name="page502"/>
    <w:bookmarkEnd w:id="501"/>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SAVINGS ACCOUNT TERM SHEET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A-1 - Exhibit Page 1</w:t>
      </w:r>
    </w:p>
    <w:p>
      <w:pPr>
        <w:sectPr>
          <w:pgSz w:w="11900" w:h="16838" w:orient="portrait"/>
          <w:cols w:equalWidth="0" w:num="1">
            <w:col w:w="11240"/>
          </w:cols>
          <w:pgMar w:left="320" w:top="137" w:right="339" w:bottom="1440" w:gutter="0" w:footer="0" w:header="0"/>
        </w:sectPr>
      </w:pPr>
    </w:p>
    <w:bookmarkStart w:id="502" w:name="page503"/>
    <w:bookmarkEnd w:id="502"/>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SCHEDULE B</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Private Label DDA Addendum</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AND PROPRIETARY</w:t>
      </w:r>
    </w:p>
    <w:p>
      <w:pPr>
        <w:sectPr>
          <w:pgSz w:w="11900" w:h="16838" w:orient="portrait"/>
          <w:cols w:equalWidth="0" w:num="1">
            <w:col w:w="11240"/>
          </w:cols>
          <w:pgMar w:left="320" w:top="137" w:right="339" w:bottom="1440" w:gutter="0" w:footer="0" w:header="0"/>
        </w:sectPr>
      </w:pPr>
    </w:p>
    <w:bookmarkStart w:id="503" w:name="page504"/>
    <w:bookmarkEnd w:id="503"/>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SCHEDULE 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Processing Services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Private Label DDA Addendum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AND PROPRIETARY</w:t>
      </w:r>
    </w:p>
    <w:p>
      <w:pPr>
        <w:sectPr>
          <w:pgSz w:w="11900" w:h="16838" w:orient="portrait"/>
          <w:cols w:equalWidth="0" w:num="1">
            <w:col w:w="11240"/>
          </w:cols>
          <w:pgMar w:left="320" w:top="137" w:right="339" w:bottom="1440" w:gutter="0" w:footer="0" w:header="0"/>
        </w:sectPr>
      </w:pPr>
    </w:p>
    <w:bookmarkStart w:id="504" w:name="page505"/>
    <w:bookmarkEnd w:id="504"/>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SCHEDULE 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Service Level Agreements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37" w:right="339" w:bottom="1440" w:gutter="0" w:footer="0" w:header="0"/>
        </w:sectPr>
      </w:pPr>
    </w:p>
    <w:bookmarkStart w:id="505" w:name="page506"/>
    <w:bookmarkEnd w:id="505"/>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SCHEDULE 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Required Reports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37" w:right="339" w:bottom="1440" w:gutter="0" w:footer="0" w:header="0"/>
        </w:sectPr>
      </w:pPr>
    </w:p>
    <w:bookmarkStart w:id="506" w:name="page507"/>
    <w:bookmarkEnd w:id="506"/>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SCHEDULE 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Program Accounts and Funds Flow</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37" w:right="339" w:bottom="1440" w:gutter="0" w:footer="0" w:header="0"/>
        </w:sectPr>
      </w:pPr>
    </w:p>
    <w:bookmarkStart w:id="507" w:name="page508"/>
    <w:bookmarkEnd w:id="507"/>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SCHEDULE G</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Customer Service and Complaint Resolution Guidelines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37" w:right="339" w:bottom="1440" w:gutter="0" w:footer="0" w:header="0"/>
        </w:sectPr>
      </w:pPr>
    </w:p>
    <w:bookmarkStart w:id="508" w:name="page509"/>
    <w:bookmarkEnd w:id="508"/>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b w:val="1"/>
          <w:bCs w:val="1"/>
          <w:color w:val="auto"/>
        </w:rPr>
        <w:t>SCHEDULE H</w:t>
      </w:r>
    </w:p>
    <w:p>
      <w:pPr>
        <w:spacing w:after="0" w:line="3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color w:val="auto"/>
        </w:rPr>
        <w:t>SpotMe Feature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37" w:right="339" w:bottom="1440" w:gutter="0" w:footer="0" w:header="0"/>
        </w:sectPr>
      </w:pPr>
    </w:p>
    <w:bookmarkStart w:id="509" w:name="page510"/>
    <w:bookmarkEnd w:id="509"/>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SECURED CREDIT CARD ADDENDUM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MASTER SERVICES AGREEMENT</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This Secured Credit Card Addendum (“</w:t>
      </w:r>
      <w:r>
        <w:rPr>
          <w:rFonts w:ascii="Times New Roman" w:cs="Times New Roman" w:eastAsia="Times New Roman" w:hAnsi="Times New Roman"/>
          <w:sz w:val="22"/>
          <w:szCs w:val="22"/>
          <w:b w:val="1"/>
          <w:bCs w:val="1"/>
          <w:color w:val="auto"/>
        </w:rPr>
        <w:t>Addendum</w:t>
      </w:r>
      <w:r>
        <w:rPr>
          <w:rFonts w:ascii="Times New Roman" w:cs="Times New Roman" w:eastAsia="Times New Roman" w:hAnsi="Times New Roman"/>
          <w:sz w:val="22"/>
          <w:szCs w:val="22"/>
          <w:color w:val="auto"/>
        </w:rPr>
        <w:t>”) is made pursuant to the Master Services Agreement dated June 9, 2023, and effective as of July 1, 2023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xml:space="preserve">”), between </w:t>
      </w:r>
      <w:r>
        <w:rPr>
          <w:rFonts w:ascii="Times New Roman" w:cs="Times New Roman" w:eastAsia="Times New Roman" w:hAnsi="Times New Roman"/>
          <w:sz w:val="22"/>
          <w:szCs w:val="22"/>
          <w:b w:val="1"/>
          <w:bCs w:val="1"/>
          <w:color w:val="auto"/>
        </w:rPr>
        <w:t>Chime Financial, Inc.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Client</w:t>
      </w:r>
      <w:r>
        <w:rPr>
          <w:rFonts w:ascii="Times New Roman" w:cs="Times New Roman" w:eastAsia="Times New Roman" w:hAnsi="Times New Roman"/>
          <w:sz w:val="22"/>
          <w:szCs w:val="22"/>
          <w:color w:val="auto"/>
        </w:rPr>
        <w:t xml:space="preserve">”), whose principal office is located at 101 California, Suite 500, San Francisco CA 94111 and </w:t>
      </w:r>
      <w:r>
        <w:rPr>
          <w:rFonts w:ascii="Times New Roman" w:cs="Times New Roman" w:eastAsia="Times New Roman" w:hAnsi="Times New Roman"/>
          <w:sz w:val="22"/>
          <w:szCs w:val="22"/>
          <w:b w:val="1"/>
          <w:bCs w:val="1"/>
          <w:color w:val="auto"/>
        </w:rPr>
        <w:t>The Bancorp Bank, N.A.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Bank</w:t>
      </w:r>
      <w:r>
        <w:rPr>
          <w:rFonts w:ascii="Times New Roman" w:cs="Times New Roman" w:eastAsia="Times New Roman" w:hAnsi="Times New Roman"/>
          <w:sz w:val="22"/>
          <w:szCs w:val="22"/>
          <w:color w:val="auto"/>
        </w:rPr>
        <w:t>”) a nationally chartered bank with its principal offices at 6100 S. Old Village Place, Sioux Falls, South Dakota 57108. Client and Bank are collectively referred to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 and are individually referred to as a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This Addendum is made in addition to and is not intended to replace or supersede any provisions of the Agreement. To the extent there is an inconsistency between this Addendum and the Agreement, this Addendum shall control only with respect to the offering of Programs.</w:t>
      </w:r>
    </w:p>
    <w:p>
      <w:pPr>
        <w:spacing w:after="0" w:line="17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1.</w:t>
      </w:r>
      <w:r>
        <w:rPr>
          <w:sz w:val="20"/>
          <w:szCs w:val="20"/>
          <w:color w:val="auto"/>
        </w:rPr>
        <w:tab/>
      </w:r>
      <w:r>
        <w:rPr>
          <w:rFonts w:ascii="Times New Roman" w:cs="Times New Roman" w:eastAsia="Times New Roman" w:hAnsi="Times New Roman"/>
          <w:sz w:val="21"/>
          <w:szCs w:val="21"/>
          <w:b w:val="1"/>
          <w:bCs w:val="1"/>
          <w:color w:val="auto"/>
        </w:rPr>
        <w:t>ADDITIONAL DEFINITIONS</w:t>
      </w:r>
    </w:p>
    <w:p>
      <w:pPr>
        <w:spacing w:after="0" w:line="197" w:lineRule="exact"/>
        <w:rPr>
          <w:sz w:val="20"/>
          <w:szCs w:val="20"/>
          <w:color w:val="auto"/>
        </w:rPr>
      </w:pPr>
    </w:p>
    <w:p>
      <w:pPr>
        <w:ind w:left="660"/>
        <w:spacing w:after="0" w:line="236" w:lineRule="auto"/>
        <w:rPr>
          <w:sz w:val="20"/>
          <w:szCs w:val="20"/>
          <w:color w:val="auto"/>
        </w:rPr>
      </w:pPr>
      <w:r>
        <w:rPr>
          <w:rFonts w:ascii="Times New Roman" w:cs="Times New Roman" w:eastAsia="Times New Roman" w:hAnsi="Times New Roman"/>
          <w:sz w:val="22"/>
          <w:szCs w:val="22"/>
          <w:color w:val="auto"/>
        </w:rPr>
        <w:t>As used in this Addendum, the following terms have the following meanings. All other terms have the meaning set forth in the Agreement.</w:t>
      </w:r>
    </w:p>
    <w:p>
      <w:pPr>
        <w:spacing w:after="0" w:line="173" w:lineRule="exact"/>
        <w:rPr>
          <w:sz w:val="20"/>
          <w:szCs w:val="20"/>
          <w:color w:val="auto"/>
        </w:rPr>
      </w:pPr>
    </w:p>
    <w:p>
      <w:pPr>
        <w:ind w:left="1300" w:hanging="644"/>
        <w:spacing w:after="0" w:line="249" w:lineRule="auto"/>
        <w:tabs>
          <w:tab w:leader="none" w:pos="1175" w:val="left"/>
        </w:tabs>
        <w:numPr>
          <w:ilvl w:val="0"/>
          <w:numId w:val="3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Accepted Servicing Practices</w:t>
      </w:r>
      <w:r>
        <w:rPr>
          <w:rFonts w:ascii="Times New Roman" w:cs="Times New Roman" w:eastAsia="Times New Roman" w:hAnsi="Times New Roman"/>
          <w:sz w:val="22"/>
          <w:szCs w:val="22"/>
          <w:color w:val="auto"/>
        </w:rPr>
        <w:t>” means, with respect to each Credit Builder Account, the servicing practices and procedures approved by Bank in writing that Client follows in the servicing and administration of, and in the same manner in which, and with the same care, skill, prudence and diligence with which Client services and administers accounts similar to the Credit Builder Accounts on behalf of itself and other Persons, together with any amendments or other modifications thereto made by Client from time to time; provided, however, that in all cases the account servicing practices must comply with the terms of Applicable Laws and the related Account Agreements; and be consistent with customary, reasonable and usual standards of practice for institutions that service accounts that are similar to the Credit Builder Accounts.</w:t>
      </w:r>
    </w:p>
    <w:p>
      <w:pPr>
        <w:spacing w:after="0" w:line="181" w:lineRule="exact"/>
        <w:rPr>
          <w:rFonts w:ascii="Times New Roman" w:cs="Times New Roman" w:eastAsia="Times New Roman" w:hAnsi="Times New Roman"/>
          <w:sz w:val="22"/>
          <w:szCs w:val="22"/>
          <w:color w:val="auto"/>
        </w:rPr>
      </w:pPr>
    </w:p>
    <w:p>
      <w:pPr>
        <w:jc w:val="both"/>
        <w:ind w:left="1300" w:hanging="644"/>
        <w:spacing w:after="0" w:line="265" w:lineRule="auto"/>
        <w:tabs>
          <w:tab w:leader="none" w:pos="1228" w:val="left"/>
        </w:tabs>
        <w:numPr>
          <w:ilvl w:val="0"/>
          <w:numId w:val="3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Account Agreement</w:t>
      </w:r>
      <w:r>
        <w:rPr>
          <w:rFonts w:ascii="Times New Roman" w:cs="Times New Roman" w:eastAsia="Times New Roman" w:hAnsi="Times New Roman"/>
          <w:sz w:val="22"/>
          <w:szCs w:val="22"/>
          <w:color w:val="auto"/>
        </w:rPr>
        <w:t>” means the contract setting forth the terms and conditions applicable to a Credit Builder Account as between Bank and Customer, including all disclosures required by Applicable Law as well as the terms and conditions applicable to the Card issued in connection therewith.</w:t>
      </w:r>
    </w:p>
    <w:p>
      <w:pPr>
        <w:spacing w:after="0" w:line="161" w:lineRule="exact"/>
        <w:rPr>
          <w:rFonts w:ascii="Times New Roman" w:cs="Times New Roman" w:eastAsia="Times New Roman" w:hAnsi="Times New Roman"/>
          <w:sz w:val="22"/>
          <w:szCs w:val="22"/>
          <w:color w:val="auto"/>
        </w:rPr>
      </w:pPr>
    </w:p>
    <w:p>
      <w:pPr>
        <w:ind w:left="1300" w:hanging="644"/>
        <w:spacing w:after="0" w:line="275" w:lineRule="auto"/>
        <w:tabs>
          <w:tab w:leader="none" w:pos="1121" w:val="left"/>
        </w:tabs>
        <w:numPr>
          <w:ilvl w:val="0"/>
          <w:numId w:val="3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Applicant</w:t>
      </w:r>
      <w:r>
        <w:rPr>
          <w:rFonts w:ascii="Times New Roman" w:cs="Times New Roman" w:eastAsia="Times New Roman" w:hAnsi="Times New Roman"/>
          <w:sz w:val="22"/>
          <w:szCs w:val="22"/>
          <w:color w:val="auto"/>
        </w:rPr>
        <w:t>” means any Person who applies, through submitting an Application, to obtain a Credit Builder Account from Bank for consumer use purposes.</w:t>
      </w:r>
    </w:p>
    <w:p>
      <w:pPr>
        <w:spacing w:after="0" w:line="149" w:lineRule="exact"/>
        <w:rPr>
          <w:rFonts w:ascii="Times New Roman" w:cs="Times New Roman" w:eastAsia="Times New Roman" w:hAnsi="Times New Roman"/>
          <w:sz w:val="22"/>
          <w:szCs w:val="22"/>
          <w:color w:val="auto"/>
        </w:rPr>
      </w:pPr>
    </w:p>
    <w:p>
      <w:pPr>
        <w:ind w:left="1300" w:hanging="644"/>
        <w:spacing w:after="0" w:line="287" w:lineRule="auto"/>
        <w:tabs>
          <w:tab w:leader="none" w:pos="1147" w:val="left"/>
        </w:tabs>
        <w:numPr>
          <w:ilvl w:val="0"/>
          <w:numId w:val="3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Application</w:t>
      </w:r>
      <w:r>
        <w:rPr>
          <w:rFonts w:ascii="Times New Roman" w:cs="Times New Roman" w:eastAsia="Times New Roman" w:hAnsi="Times New Roman"/>
          <w:sz w:val="22"/>
          <w:szCs w:val="22"/>
          <w:color w:val="auto"/>
        </w:rPr>
        <w:t>” means any request from an Applicant for a Credit Builder Account in the form required by Bank, as such may be amended, modified or changed in accordance with the terms of this Addendum.</w:t>
      </w:r>
    </w:p>
    <w:p>
      <w:pPr>
        <w:spacing w:after="0" w:line="137" w:lineRule="exact"/>
        <w:rPr>
          <w:rFonts w:ascii="Times New Roman" w:cs="Times New Roman" w:eastAsia="Times New Roman" w:hAnsi="Times New Roman"/>
          <w:sz w:val="22"/>
          <w:szCs w:val="22"/>
          <w:color w:val="auto"/>
        </w:rPr>
      </w:pPr>
    </w:p>
    <w:p>
      <w:pPr>
        <w:ind w:left="1300" w:hanging="644"/>
        <w:spacing w:after="0" w:line="275" w:lineRule="auto"/>
        <w:tabs>
          <w:tab w:leader="none" w:pos="1121" w:val="left"/>
        </w:tabs>
        <w:numPr>
          <w:ilvl w:val="0"/>
          <w:numId w:val="3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Card</w:t>
      </w:r>
      <w:r>
        <w:rPr>
          <w:rFonts w:ascii="Times New Roman" w:cs="Times New Roman" w:eastAsia="Times New Roman" w:hAnsi="Times New Roman"/>
          <w:sz w:val="22"/>
          <w:szCs w:val="22"/>
          <w:color w:val="auto"/>
        </w:rPr>
        <w:t>” means a Network-branded access device issued by Bank that may be used to access credit provided under a Credit Card Account and, if applicable, a Line of Credit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23" w:right="339" w:bottom="1440" w:gutter="0" w:footer="0" w:header="0"/>
        </w:sectPr>
      </w:pPr>
    </w:p>
    <w:bookmarkStart w:id="510" w:name="page511"/>
    <w:bookmarkEnd w:id="510"/>
    <w:p>
      <w:pPr>
        <w:jc w:val="center"/>
        <w:ind w:right="636"/>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636"/>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59" w:lineRule="exact"/>
        <w:rPr>
          <w:sz w:val="20"/>
          <w:szCs w:val="20"/>
          <w:color w:val="auto"/>
        </w:rPr>
      </w:pPr>
    </w:p>
    <w:p>
      <w:pPr>
        <w:ind w:left="9184"/>
        <w:spacing w:after="0"/>
        <w:rPr>
          <w:sz w:val="20"/>
          <w:szCs w:val="20"/>
          <w:color w:val="auto"/>
        </w:rPr>
      </w:pPr>
      <w:r>
        <w:rPr>
          <w:rFonts w:ascii="Times New Roman" w:cs="Times New Roman" w:eastAsia="Times New Roman" w:hAnsi="Times New Roman"/>
          <w:sz w:val="16"/>
          <w:szCs w:val="16"/>
          <w:b w:val="1"/>
          <w:bCs w:val="1"/>
          <w:i w:val="1"/>
          <w:i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44" w:right="20" w:hanging="644"/>
        <w:spacing w:after="0" w:line="275" w:lineRule="auto"/>
        <w:tabs>
          <w:tab w:leader="none" w:pos="468" w:val="left"/>
        </w:tabs>
        <w:numPr>
          <w:ilvl w:val="0"/>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Card Pack</w:t>
      </w:r>
      <w:r>
        <w:rPr>
          <w:rFonts w:ascii="Times New Roman" w:cs="Times New Roman" w:eastAsia="Times New Roman" w:hAnsi="Times New Roman"/>
          <w:sz w:val="22"/>
          <w:szCs w:val="22"/>
          <w:color w:val="auto"/>
        </w:rPr>
        <w:t>” means a retail or direct mail packet that includes a Card together with the Customer Disclosures and that is produced by or on behalf of Client for distribution to a Customer.</w:t>
      </w:r>
    </w:p>
    <w:p>
      <w:pPr>
        <w:spacing w:after="0" w:line="149" w:lineRule="exact"/>
        <w:rPr>
          <w:rFonts w:ascii="Times New Roman" w:cs="Times New Roman" w:eastAsia="Times New Roman" w:hAnsi="Times New Roman"/>
          <w:sz w:val="22"/>
          <w:szCs w:val="22"/>
          <w:color w:val="auto"/>
        </w:rPr>
      </w:pPr>
    </w:p>
    <w:p>
      <w:pPr>
        <w:ind w:left="464" w:hanging="464"/>
        <w:spacing w:after="0"/>
        <w:tabs>
          <w:tab w:leader="none" w:pos="464" w:val="left"/>
        </w:tabs>
        <w:numPr>
          <w:ilvl w:val="0"/>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Credit Builder Account</w:t>
      </w:r>
      <w:r>
        <w:rPr>
          <w:rFonts w:ascii="Times New Roman" w:cs="Times New Roman" w:eastAsia="Times New Roman" w:hAnsi="Times New Roman"/>
          <w:sz w:val="22"/>
          <w:szCs w:val="22"/>
          <w:color w:val="auto"/>
        </w:rPr>
        <w:t>” means a Credit Card Account, Line of Credit Account, and/or Secured Account.</w:t>
      </w:r>
    </w:p>
    <w:p>
      <w:pPr>
        <w:spacing w:after="0" w:line="233" w:lineRule="exact"/>
        <w:rPr>
          <w:rFonts w:ascii="Times New Roman" w:cs="Times New Roman" w:eastAsia="Times New Roman" w:hAnsi="Times New Roman"/>
          <w:sz w:val="22"/>
          <w:szCs w:val="22"/>
          <w:color w:val="auto"/>
        </w:rPr>
      </w:pPr>
    </w:p>
    <w:p>
      <w:pPr>
        <w:jc w:val="both"/>
        <w:ind w:left="644" w:hanging="644"/>
        <w:spacing w:after="0" w:line="253" w:lineRule="auto"/>
        <w:tabs>
          <w:tab w:leader="none" w:pos="572" w:val="left"/>
        </w:tabs>
        <w:numPr>
          <w:ilvl w:val="0"/>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Credit Card Account</w:t>
      </w:r>
      <w:r>
        <w:rPr>
          <w:rFonts w:ascii="Times New Roman" w:cs="Times New Roman" w:eastAsia="Times New Roman" w:hAnsi="Times New Roman"/>
          <w:sz w:val="22"/>
          <w:szCs w:val="22"/>
          <w:color w:val="auto"/>
        </w:rPr>
        <w:t>” means an open-end, consumer-purpose loan account: (i) issued by Bank pursuant to a Program and documented by an Account Agreement; (ii) under which a Customer can access credit by using a Card; and (iii) the Customer’s repayment of such credit is collateralized by funds deposited by Customer in a Secured Account.</w:t>
      </w:r>
    </w:p>
    <w:p>
      <w:pPr>
        <w:spacing w:after="0" w:line="175" w:lineRule="exact"/>
        <w:rPr>
          <w:rFonts w:ascii="Times New Roman" w:cs="Times New Roman" w:eastAsia="Times New Roman" w:hAnsi="Times New Roman"/>
          <w:sz w:val="22"/>
          <w:szCs w:val="22"/>
          <w:color w:val="auto"/>
        </w:rPr>
      </w:pPr>
    </w:p>
    <w:p>
      <w:pPr>
        <w:ind w:left="644" w:hanging="644"/>
        <w:spacing w:after="0" w:line="254" w:lineRule="auto"/>
        <w:tabs>
          <w:tab w:leader="none" w:pos="456" w:val="left"/>
        </w:tabs>
        <w:numPr>
          <w:ilvl w:val="0"/>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Credit Underwriting Standards</w:t>
      </w:r>
      <w:r>
        <w:rPr>
          <w:rFonts w:ascii="Times New Roman" w:cs="Times New Roman" w:eastAsia="Times New Roman" w:hAnsi="Times New Roman"/>
          <w:sz w:val="22"/>
          <w:szCs w:val="22"/>
          <w:color w:val="auto"/>
        </w:rPr>
        <w:t xml:space="preserve">” means the minimum requirements, which may include [***], that Bank uses to approve or deny credit and to establish the applicable credit account. The current form of the Credit Underwriting Standards for the Credit Card Account and the Line of Credit Account are attached as </w:t>
      </w:r>
      <w:r>
        <w:rPr>
          <w:rFonts w:ascii="Times New Roman" w:cs="Times New Roman" w:eastAsia="Times New Roman" w:hAnsi="Times New Roman"/>
          <w:sz w:val="22"/>
          <w:szCs w:val="22"/>
          <w:b w:val="1"/>
          <w:bCs w:val="1"/>
          <w:color w:val="auto"/>
        </w:rPr>
        <w:t>Schedule A</w:t>
      </w:r>
      <w:r>
        <w:rPr>
          <w:rFonts w:ascii="Times New Roman" w:cs="Times New Roman" w:eastAsia="Times New Roman" w:hAnsi="Times New Roman"/>
          <w:sz w:val="22"/>
          <w:szCs w:val="22"/>
          <w:color w:val="auto"/>
        </w:rPr>
        <w:t xml:space="preserve"> and may be amended from time to time in accordance with this Addendum. The Credit Underwriting Standards shall be approved by Bank in its sole reasonable discretion.</w:t>
      </w:r>
    </w:p>
    <w:p>
      <w:pPr>
        <w:spacing w:after="0" w:line="173" w:lineRule="exact"/>
        <w:rPr>
          <w:rFonts w:ascii="Times New Roman" w:cs="Times New Roman" w:eastAsia="Times New Roman" w:hAnsi="Times New Roman"/>
          <w:sz w:val="22"/>
          <w:szCs w:val="22"/>
          <w:color w:val="auto"/>
        </w:rPr>
      </w:pPr>
    </w:p>
    <w:p>
      <w:pPr>
        <w:ind w:left="644" w:hanging="644"/>
        <w:spacing w:after="0" w:line="265" w:lineRule="auto"/>
        <w:tabs>
          <w:tab w:leader="none" w:pos="551" w:val="left"/>
        </w:tabs>
        <w:numPr>
          <w:ilvl w:val="0"/>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Customer</w:t>
      </w:r>
      <w:r>
        <w:rPr>
          <w:rFonts w:ascii="Times New Roman" w:cs="Times New Roman" w:eastAsia="Times New Roman" w:hAnsi="Times New Roman"/>
          <w:sz w:val="22"/>
          <w:szCs w:val="22"/>
          <w:color w:val="auto"/>
        </w:rPr>
        <w:t>” means an Applicant who Bank approves for a Credit Builder Account and agrees to the Account Agreement, and/or any Person who is liable, jointly or severally, for amounts owing with respect to the related Credit Builder Account.</w:t>
      </w:r>
    </w:p>
    <w:p>
      <w:pPr>
        <w:spacing w:after="0" w:line="161" w:lineRule="exact"/>
        <w:rPr>
          <w:rFonts w:ascii="Times New Roman" w:cs="Times New Roman" w:eastAsia="Times New Roman" w:hAnsi="Times New Roman"/>
          <w:sz w:val="22"/>
          <w:szCs w:val="22"/>
          <w:color w:val="auto"/>
        </w:rPr>
      </w:pPr>
    </w:p>
    <w:p>
      <w:pPr>
        <w:ind w:left="464" w:hanging="464"/>
        <w:spacing w:after="0"/>
        <w:tabs>
          <w:tab w:leader="none" w:pos="464" w:val="left"/>
        </w:tabs>
        <w:numPr>
          <w:ilvl w:val="0"/>
          <w:numId w:val="3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Customer Complaint Guidelines</w:t>
      </w:r>
      <w:r>
        <w:rPr>
          <w:rFonts w:ascii="Times New Roman" w:cs="Times New Roman" w:eastAsia="Times New Roman" w:hAnsi="Times New Roman"/>
          <w:sz w:val="21"/>
          <w:szCs w:val="21"/>
          <w:color w:val="auto"/>
        </w:rPr>
        <w:t>” means the Customer Services and Complaint Resolution Guidelines set forth in</w:t>
      </w:r>
    </w:p>
    <w:p>
      <w:pPr>
        <w:spacing w:after="0" w:line="43" w:lineRule="exact"/>
        <w:rPr>
          <w:rFonts w:ascii="Times New Roman" w:cs="Times New Roman" w:eastAsia="Times New Roman" w:hAnsi="Times New Roman"/>
          <w:sz w:val="21"/>
          <w:szCs w:val="21"/>
          <w:color w:val="auto"/>
        </w:rPr>
      </w:pPr>
    </w:p>
    <w:p>
      <w:pPr>
        <w:ind w:left="644"/>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b w:val="1"/>
          <w:bCs w:val="1"/>
          <w:color w:val="auto"/>
        </w:rPr>
        <w:t>Schedule G.</w:t>
      </w:r>
    </w:p>
    <w:p>
      <w:pPr>
        <w:spacing w:after="0" w:line="191" w:lineRule="exact"/>
        <w:rPr>
          <w:rFonts w:ascii="Times New Roman" w:cs="Times New Roman" w:eastAsia="Times New Roman" w:hAnsi="Times New Roman"/>
          <w:sz w:val="21"/>
          <w:szCs w:val="21"/>
          <w:color w:val="auto"/>
        </w:rPr>
      </w:pPr>
    </w:p>
    <w:p>
      <w:pPr>
        <w:ind w:left="644" w:hanging="644"/>
        <w:spacing w:after="0" w:line="258" w:lineRule="auto"/>
        <w:tabs>
          <w:tab w:leader="none" w:pos="456" w:val="left"/>
        </w:tabs>
        <w:numPr>
          <w:ilvl w:val="0"/>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Line of Credit Account</w:t>
      </w:r>
      <w:r>
        <w:rPr>
          <w:rFonts w:ascii="Times New Roman" w:cs="Times New Roman" w:eastAsia="Times New Roman" w:hAnsi="Times New Roman"/>
          <w:sz w:val="22"/>
          <w:szCs w:val="22"/>
          <w:color w:val="auto"/>
        </w:rPr>
        <w:t>” means a non-recourse open-end, line of credit account: (i) issued by Bank pursuant to a Program and documented by an Account Agreement; (ii) under which a Customer can access funds exceeding the total available credit on the Credit Card Account; and (iii) the Customer’s repayment of such credit is facilitated by deposits made to the Customer’s DDA.</w:t>
      </w:r>
    </w:p>
    <w:p>
      <w:pPr>
        <w:spacing w:after="0" w:line="167" w:lineRule="exact"/>
        <w:rPr>
          <w:rFonts w:ascii="Times New Roman" w:cs="Times New Roman" w:eastAsia="Times New Roman" w:hAnsi="Times New Roman"/>
          <w:sz w:val="22"/>
          <w:szCs w:val="22"/>
          <w:color w:val="auto"/>
        </w:rPr>
      </w:pPr>
    </w:p>
    <w:p>
      <w:pPr>
        <w:ind w:left="644" w:hanging="644"/>
        <w:spacing w:after="0" w:line="275" w:lineRule="auto"/>
        <w:tabs>
          <w:tab w:leader="none" w:pos="618" w:val="left"/>
        </w:tabs>
        <w:numPr>
          <w:ilvl w:val="0"/>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Distribution Channel</w:t>
      </w:r>
      <w:r>
        <w:rPr>
          <w:rFonts w:ascii="Times New Roman" w:cs="Times New Roman" w:eastAsia="Times New Roman" w:hAnsi="Times New Roman"/>
          <w:sz w:val="22"/>
          <w:szCs w:val="22"/>
          <w:color w:val="auto"/>
        </w:rPr>
        <w:t>” means a physical or electronic location or channel where Credit Builder Accounts are being marketed or distributed under this Agreement.</w:t>
      </w:r>
    </w:p>
    <w:p>
      <w:pPr>
        <w:spacing w:after="0" w:line="149" w:lineRule="exact"/>
        <w:rPr>
          <w:rFonts w:ascii="Times New Roman" w:cs="Times New Roman" w:eastAsia="Times New Roman" w:hAnsi="Times New Roman"/>
          <w:sz w:val="22"/>
          <w:szCs w:val="22"/>
          <w:color w:val="auto"/>
        </w:rPr>
      </w:pPr>
    </w:p>
    <w:p>
      <w:pPr>
        <w:ind w:left="644" w:right="20" w:hanging="644"/>
        <w:spacing w:after="0" w:line="287" w:lineRule="auto"/>
        <w:tabs>
          <w:tab w:leader="none" w:pos="545" w:val="left"/>
        </w:tabs>
        <w:numPr>
          <w:ilvl w:val="0"/>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Processing Services</w:t>
      </w:r>
      <w:r>
        <w:rPr>
          <w:rFonts w:ascii="Times New Roman" w:cs="Times New Roman" w:eastAsia="Times New Roman" w:hAnsi="Times New Roman"/>
          <w:sz w:val="22"/>
          <w:szCs w:val="22"/>
          <w:color w:val="auto"/>
        </w:rPr>
        <w:t xml:space="preserve">” means those services that are described in </w:t>
      </w:r>
      <w:r>
        <w:rPr>
          <w:rFonts w:ascii="Times New Roman" w:cs="Times New Roman" w:eastAsia="Times New Roman" w:hAnsi="Times New Roman"/>
          <w:sz w:val="22"/>
          <w:szCs w:val="22"/>
          <w:b w:val="1"/>
          <w:bCs w:val="1"/>
          <w:color w:val="auto"/>
        </w:rPr>
        <w:t>Schedule C</w:t>
      </w:r>
      <w:r>
        <w:rPr>
          <w:rFonts w:ascii="Times New Roman" w:cs="Times New Roman" w:eastAsia="Times New Roman" w:hAnsi="Times New Roman"/>
          <w:sz w:val="22"/>
          <w:szCs w:val="22"/>
          <w:color w:val="auto"/>
        </w:rPr>
        <w:t xml:space="preserve"> to this Addendum, and which are necessary to establish a Program and process a Transaction in accordance with Applicable Law the Rules.</w:t>
      </w:r>
    </w:p>
    <w:p>
      <w:pPr>
        <w:spacing w:after="0" w:line="137" w:lineRule="exact"/>
        <w:rPr>
          <w:rFonts w:ascii="Times New Roman" w:cs="Times New Roman" w:eastAsia="Times New Roman" w:hAnsi="Times New Roman"/>
          <w:sz w:val="22"/>
          <w:szCs w:val="22"/>
          <w:color w:val="auto"/>
        </w:rPr>
      </w:pPr>
    </w:p>
    <w:p>
      <w:pPr>
        <w:jc w:val="both"/>
        <w:ind w:left="644" w:right="20" w:hanging="644"/>
        <w:spacing w:after="0" w:line="259" w:lineRule="auto"/>
        <w:tabs>
          <w:tab w:leader="none" w:pos="585" w:val="left"/>
        </w:tabs>
        <w:numPr>
          <w:ilvl w:val="0"/>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Program</w:t>
      </w:r>
      <w:r>
        <w:rPr>
          <w:rFonts w:ascii="Times New Roman" w:cs="Times New Roman" w:eastAsia="Times New Roman" w:hAnsi="Times New Roman"/>
          <w:sz w:val="22"/>
          <w:szCs w:val="22"/>
          <w:color w:val="auto"/>
        </w:rPr>
        <w:t>” means the marketing, evaluation, servicing, and maintenance of the Credit Builder Accounts to be offered by Bank to qualifying Applicants and pursuant to which Bank will extend credit thereunder pursuant to the terms of this Agreement. The phrase “Account Program” shall mean a unique Credit Builder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584"/>
          </w:cols>
          <w:pgMar w:left="976" w:top="123" w:right="339" w:bottom="1440" w:gutter="0" w:footer="0" w:header="0"/>
        </w:sectPr>
      </w:pPr>
    </w:p>
    <w:bookmarkStart w:id="511" w:name="page512"/>
    <w:bookmarkEnd w:id="511"/>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Account marketing effort approved by Bank pursuant to a Program Authorization Letter.</w:t>
      </w:r>
    </w:p>
    <w:p>
      <w:pPr>
        <w:spacing w:after="0" w:line="202" w:lineRule="exact"/>
        <w:rPr>
          <w:sz w:val="20"/>
          <w:szCs w:val="20"/>
          <w:color w:val="auto"/>
        </w:rPr>
      </w:pPr>
    </w:p>
    <w:p>
      <w:pPr>
        <w:ind w:left="1300" w:hanging="644"/>
        <w:spacing w:after="0" w:line="233" w:lineRule="auto"/>
        <w:tabs>
          <w:tab w:leader="none" w:pos="1133" w:val="left"/>
        </w:tabs>
        <w:numPr>
          <w:ilvl w:val="1"/>
          <w:numId w:val="3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Program Authorization Letter</w:t>
      </w:r>
      <w:r>
        <w:rPr>
          <w:rFonts w:ascii="Times New Roman" w:cs="Times New Roman" w:eastAsia="Times New Roman" w:hAnsi="Times New Roman"/>
          <w:sz w:val="22"/>
          <w:szCs w:val="22"/>
          <w:color w:val="auto"/>
        </w:rPr>
        <w:t xml:space="preserve">” means a letter from Bank authorizing the development and launch of an Account Program, in the same or substantially form of </w:t>
      </w:r>
      <w:r>
        <w:rPr>
          <w:rFonts w:ascii="Times New Roman" w:cs="Times New Roman" w:eastAsia="Times New Roman" w:hAnsi="Times New Roman"/>
          <w:sz w:val="22"/>
          <w:szCs w:val="22"/>
          <w:b w:val="1"/>
          <w:bCs w:val="1"/>
          <w:color w:val="auto"/>
        </w:rPr>
        <w:t>Schedule B.</w:t>
      </w:r>
      <w:r>
        <w:rPr>
          <w:rFonts w:ascii="Times New Roman" w:cs="Times New Roman" w:eastAsia="Times New Roman" w:hAnsi="Times New Roman"/>
          <w:sz w:val="22"/>
          <w:szCs w:val="22"/>
          <w:color w:val="auto"/>
        </w:rPr>
        <w:t xml:space="preserve"> Any Program Authorization Letter shall set forth the general parameters, features, any special terms under which the Account Program is authorized under. The Program Authorization Letter will also indicate whether any third-party model validation or fair lending analysis is required under Section 3 of the Agreement.</w:t>
      </w:r>
    </w:p>
    <w:p>
      <w:pPr>
        <w:spacing w:after="0" w:line="176"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1"/>
          <w:numId w:val="3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Program Area</w:t>
      </w:r>
      <w:r>
        <w:rPr>
          <w:rFonts w:ascii="Times New Roman" w:cs="Times New Roman" w:eastAsia="Times New Roman" w:hAnsi="Times New Roman"/>
          <w:sz w:val="22"/>
          <w:szCs w:val="22"/>
          <w:color w:val="auto"/>
        </w:rPr>
        <w:t>” means the States in which the Program may be marketed.</w:t>
      </w:r>
    </w:p>
    <w:p>
      <w:pPr>
        <w:spacing w:after="0" w:line="192" w:lineRule="exact"/>
        <w:rPr>
          <w:rFonts w:ascii="Times New Roman" w:cs="Times New Roman" w:eastAsia="Times New Roman" w:hAnsi="Times New Roman"/>
          <w:sz w:val="22"/>
          <w:szCs w:val="22"/>
          <w:color w:val="auto"/>
        </w:rPr>
      </w:pPr>
    </w:p>
    <w:p>
      <w:pPr>
        <w:ind w:left="1300" w:right="20" w:hanging="644"/>
        <w:spacing w:after="0" w:line="262" w:lineRule="auto"/>
        <w:tabs>
          <w:tab w:leader="none" w:pos="1178" w:val="left"/>
        </w:tabs>
        <w:numPr>
          <w:ilvl w:val="1"/>
          <w:numId w:val="3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Program Guidelines</w:t>
      </w:r>
      <w:r>
        <w:rPr>
          <w:rFonts w:ascii="Times New Roman" w:cs="Times New Roman" w:eastAsia="Times New Roman" w:hAnsi="Times New Roman"/>
          <w:sz w:val="22"/>
          <w:szCs w:val="22"/>
          <w:color w:val="auto"/>
        </w:rPr>
        <w:t>” means the guidelines and policies under which Client will generally perform, on Bank’s behalf, the duties, responsibilities, and services set forth in this Agreement.</w:t>
      </w:r>
    </w:p>
    <w:p>
      <w:pPr>
        <w:spacing w:after="0" w:line="136" w:lineRule="exact"/>
        <w:rPr>
          <w:rFonts w:ascii="Times New Roman" w:cs="Times New Roman" w:eastAsia="Times New Roman" w:hAnsi="Times New Roman"/>
          <w:sz w:val="22"/>
          <w:szCs w:val="22"/>
          <w:color w:val="auto"/>
        </w:rPr>
      </w:pPr>
    </w:p>
    <w:p>
      <w:pPr>
        <w:ind w:left="1300" w:hanging="644"/>
        <w:spacing w:after="0" w:line="246" w:lineRule="auto"/>
        <w:tabs>
          <w:tab w:leader="none" w:pos="1096" w:val="left"/>
        </w:tabs>
        <w:numPr>
          <w:ilvl w:val="1"/>
          <w:numId w:val="3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Program Start Date</w:t>
      </w:r>
      <w:r>
        <w:rPr>
          <w:rFonts w:ascii="Times New Roman" w:cs="Times New Roman" w:eastAsia="Times New Roman" w:hAnsi="Times New Roman"/>
          <w:sz w:val="22"/>
          <w:szCs w:val="22"/>
          <w:color w:val="auto"/>
        </w:rPr>
        <w:t>” means upon issuance of the Program Authorization Letter the date on which the Parties agree that Client may begin to accept Applications from customers for Credit Builder Accounts, on behalf of Bank, whether from Applicants in all States or initially in a limited number of States.</w:t>
      </w:r>
    </w:p>
    <w:p>
      <w:pPr>
        <w:spacing w:after="0" w:line="153" w:lineRule="exact"/>
        <w:rPr>
          <w:rFonts w:ascii="Times New Roman" w:cs="Times New Roman" w:eastAsia="Times New Roman" w:hAnsi="Times New Roman"/>
          <w:sz w:val="22"/>
          <w:szCs w:val="22"/>
          <w:color w:val="auto"/>
        </w:rPr>
      </w:pPr>
    </w:p>
    <w:p>
      <w:pPr>
        <w:ind w:left="1300" w:hanging="644"/>
        <w:spacing w:after="0" w:line="262" w:lineRule="auto"/>
        <w:tabs>
          <w:tab w:leader="none" w:pos="1180" w:val="left"/>
        </w:tabs>
        <w:numPr>
          <w:ilvl w:val="1"/>
          <w:numId w:val="3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Regulation E</w:t>
      </w:r>
      <w:r>
        <w:rPr>
          <w:rFonts w:ascii="Times New Roman" w:cs="Times New Roman" w:eastAsia="Times New Roman" w:hAnsi="Times New Roman"/>
          <w:sz w:val="22"/>
          <w:szCs w:val="22"/>
          <w:color w:val="auto"/>
        </w:rPr>
        <w:t>” means the regulation set forth in the entirety of 12 CFR Part 1005, and which implements the Electronic Fund Transfer Act (15 U.S.C. 1693 et seq.).</w:t>
      </w:r>
    </w:p>
    <w:p>
      <w:pPr>
        <w:spacing w:after="0" w:line="136" w:lineRule="exact"/>
        <w:rPr>
          <w:rFonts w:ascii="Times New Roman" w:cs="Times New Roman" w:eastAsia="Times New Roman" w:hAnsi="Times New Roman"/>
          <w:sz w:val="22"/>
          <w:szCs w:val="22"/>
          <w:color w:val="auto"/>
        </w:rPr>
      </w:pPr>
    </w:p>
    <w:p>
      <w:pPr>
        <w:ind w:left="1300" w:right="20" w:hanging="644"/>
        <w:spacing w:after="0" w:line="262" w:lineRule="auto"/>
        <w:tabs>
          <w:tab w:leader="none" w:pos="1214" w:val="left"/>
        </w:tabs>
        <w:numPr>
          <w:ilvl w:val="1"/>
          <w:numId w:val="3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Regulation Z</w:t>
      </w:r>
      <w:r>
        <w:rPr>
          <w:rFonts w:ascii="Times New Roman" w:cs="Times New Roman" w:eastAsia="Times New Roman" w:hAnsi="Times New Roman"/>
          <w:sz w:val="22"/>
          <w:szCs w:val="22"/>
          <w:color w:val="auto"/>
        </w:rPr>
        <w:t>” means the regulations set forth in the entirety of 12 CFR Part 1026, and which implements the Truth in Lending Act (15 U.S.C. 1601 et seq.).</w:t>
      </w:r>
    </w:p>
    <w:p>
      <w:pPr>
        <w:spacing w:after="0" w:line="149" w:lineRule="exact"/>
        <w:rPr>
          <w:rFonts w:ascii="Times New Roman" w:cs="Times New Roman" w:eastAsia="Times New Roman" w:hAnsi="Times New Roman"/>
          <w:sz w:val="22"/>
          <w:szCs w:val="22"/>
          <w:color w:val="auto"/>
        </w:rPr>
      </w:pPr>
    </w:p>
    <w:p>
      <w:pPr>
        <w:ind w:left="1300" w:hanging="644"/>
        <w:spacing w:after="0" w:line="249" w:lineRule="auto"/>
        <w:tabs>
          <w:tab w:leader="none" w:pos="1201" w:val="left"/>
        </w:tabs>
        <w:numPr>
          <w:ilvl w:val="1"/>
          <w:numId w:val="3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Required Reports</w:t>
      </w:r>
      <w:r>
        <w:rPr>
          <w:rFonts w:ascii="Times New Roman" w:cs="Times New Roman" w:eastAsia="Times New Roman" w:hAnsi="Times New Roman"/>
          <w:sz w:val="22"/>
          <w:szCs w:val="22"/>
          <w:color w:val="auto"/>
        </w:rPr>
        <w:t xml:space="preserve">” means, in addition to the definition set forth in the Master Services Agreement, the reports listed in </w:t>
      </w:r>
      <w:r>
        <w:rPr>
          <w:rFonts w:ascii="Times New Roman" w:cs="Times New Roman" w:eastAsia="Times New Roman" w:hAnsi="Times New Roman"/>
          <w:sz w:val="22"/>
          <w:szCs w:val="22"/>
          <w:b w:val="1"/>
          <w:bCs w:val="1"/>
          <w:color w:val="auto"/>
        </w:rPr>
        <w:t>Schedule E.</w:t>
      </w:r>
    </w:p>
    <w:p>
      <w:pPr>
        <w:spacing w:after="0" w:line="163" w:lineRule="exact"/>
        <w:rPr>
          <w:rFonts w:ascii="Times New Roman" w:cs="Times New Roman" w:eastAsia="Times New Roman" w:hAnsi="Times New Roman"/>
          <w:sz w:val="22"/>
          <w:szCs w:val="22"/>
          <w:color w:val="auto"/>
        </w:rPr>
      </w:pPr>
    </w:p>
    <w:p>
      <w:pPr>
        <w:ind w:left="1300" w:hanging="644"/>
        <w:spacing w:after="0"/>
        <w:tabs>
          <w:tab w:leader="none" w:pos="1181" w:val="left"/>
        </w:tabs>
        <w:numPr>
          <w:ilvl w:val="1"/>
          <w:numId w:val="3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Secured Account</w:t>
      </w:r>
      <w:r>
        <w:rPr>
          <w:rFonts w:ascii="Times New Roman" w:cs="Times New Roman" w:eastAsia="Times New Roman" w:hAnsi="Times New Roman"/>
          <w:sz w:val="22"/>
          <w:szCs w:val="22"/>
          <w:color w:val="auto"/>
        </w:rPr>
        <w:t>” shall mean a Customer-owned, limited purpose, non-interest bearing deposit account issued by Bank, the deposits of which shall serve as collateral for any extension of credit provided to such Customer under a Credit Card Account, and whereby Customer grants Bank a security interest in such deposits.</w:t>
      </w:r>
    </w:p>
    <w:p>
      <w:pPr>
        <w:spacing w:after="0" w:line="159" w:lineRule="exact"/>
        <w:rPr>
          <w:rFonts w:ascii="Times New Roman" w:cs="Times New Roman" w:eastAsia="Times New Roman" w:hAnsi="Times New Roman"/>
          <w:sz w:val="22"/>
          <w:szCs w:val="22"/>
          <w:color w:val="auto"/>
        </w:rPr>
      </w:pPr>
    </w:p>
    <w:p>
      <w:pPr>
        <w:ind w:left="1300" w:hanging="644"/>
        <w:spacing w:after="0" w:line="262" w:lineRule="auto"/>
        <w:tabs>
          <w:tab w:leader="none" w:pos="1120" w:val="left"/>
        </w:tabs>
        <w:numPr>
          <w:ilvl w:val="1"/>
          <w:numId w:val="3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Service Interruption</w:t>
      </w:r>
      <w:r>
        <w:rPr>
          <w:rFonts w:ascii="Times New Roman" w:cs="Times New Roman" w:eastAsia="Times New Roman" w:hAnsi="Times New Roman"/>
          <w:sz w:val="22"/>
          <w:szCs w:val="22"/>
          <w:color w:val="auto"/>
        </w:rPr>
        <w:t xml:space="preserve">” means a non-scheduled interruption of System Availability (as set forth in </w:t>
      </w:r>
      <w:r>
        <w:rPr>
          <w:rFonts w:ascii="Times New Roman" w:cs="Times New Roman" w:eastAsia="Times New Roman" w:hAnsi="Times New Roman"/>
          <w:sz w:val="22"/>
          <w:szCs w:val="22"/>
          <w:b w:val="1"/>
          <w:bCs w:val="1"/>
          <w:color w:val="auto"/>
        </w:rPr>
        <w:t>Schedule D</w:t>
      </w:r>
      <w:r>
        <w:rPr>
          <w:rFonts w:ascii="Times New Roman" w:cs="Times New Roman" w:eastAsia="Times New Roman" w:hAnsi="Times New Roman"/>
          <w:sz w:val="22"/>
          <w:szCs w:val="22"/>
          <w:color w:val="auto"/>
        </w:rPr>
        <w:t>) that impairs a Customer’s ability to access Card or Credit Builder Account information or perform Transactions.</w:t>
      </w:r>
    </w:p>
    <w:p>
      <w:pPr>
        <w:spacing w:after="0" w:line="149"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1"/>
          <w:numId w:val="3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Service Levels</w:t>
      </w:r>
      <w:r>
        <w:rPr>
          <w:rFonts w:ascii="Times New Roman" w:cs="Times New Roman" w:eastAsia="Times New Roman" w:hAnsi="Times New Roman"/>
          <w:sz w:val="22"/>
          <w:szCs w:val="22"/>
          <w:color w:val="auto"/>
        </w:rPr>
        <w:t xml:space="preserve">” mean the service level agreements set forth in </w:t>
      </w:r>
      <w:r>
        <w:rPr>
          <w:rFonts w:ascii="Times New Roman" w:cs="Times New Roman" w:eastAsia="Times New Roman" w:hAnsi="Times New Roman"/>
          <w:sz w:val="22"/>
          <w:szCs w:val="22"/>
          <w:b w:val="1"/>
          <w:bCs w:val="1"/>
          <w:color w:val="auto"/>
        </w:rPr>
        <w:t>Schedule D</w:t>
      </w:r>
      <w:r>
        <w:rPr>
          <w:rFonts w:ascii="Times New Roman" w:cs="Times New Roman" w:eastAsia="Times New Roman" w:hAnsi="Times New Roman"/>
          <w:sz w:val="22"/>
          <w:szCs w:val="22"/>
          <w:color w:val="auto"/>
        </w:rPr>
        <w:t xml:space="preserve"> to the Agreement.</w:t>
      </w:r>
    </w:p>
    <w:p>
      <w:pPr>
        <w:spacing w:after="0" w:line="192"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1"/>
          <w:numId w:val="3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States</w:t>
      </w:r>
      <w:r>
        <w:rPr>
          <w:rFonts w:ascii="Times New Roman" w:cs="Times New Roman" w:eastAsia="Times New Roman" w:hAnsi="Times New Roman"/>
          <w:sz w:val="22"/>
          <w:szCs w:val="22"/>
          <w:color w:val="auto"/>
        </w:rPr>
        <w:t>” means any state in the United States of America and the District of Columbia.</w:t>
      </w:r>
    </w:p>
    <w:p>
      <w:pPr>
        <w:spacing w:after="0" w:line="206"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3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PROGRAM DESCRIPTION AND BANK RESPONSIBILITIES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23" w:right="339" w:bottom="1440" w:gutter="0" w:footer="0" w:header="0"/>
        </w:sectPr>
      </w:pPr>
    </w:p>
    <w:bookmarkStart w:id="512" w:name="page513"/>
    <w:bookmarkEnd w:id="512"/>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620" w:hanging="647"/>
        <w:spacing w:after="0" w:line="230" w:lineRule="auto"/>
        <w:tabs>
          <w:tab w:leader="none" w:pos="600" w:val="left"/>
        </w:tabs>
        <w:rPr>
          <w:sz w:val="20"/>
          <w:szCs w:val="20"/>
          <w:color w:val="auto"/>
        </w:rPr>
      </w:pPr>
      <w:r>
        <w:rPr>
          <w:rFonts w:ascii="Times New Roman" w:cs="Times New Roman" w:eastAsia="Times New Roman" w:hAnsi="Times New Roman"/>
          <w:sz w:val="22"/>
          <w:szCs w:val="22"/>
          <w:b w:val="1"/>
          <w:bCs w:val="1"/>
          <w:color w:val="auto"/>
        </w:rPr>
        <w:t>2.1</w:t>
      </w:r>
      <w:r>
        <w:rPr>
          <w:sz w:val="20"/>
          <w:szCs w:val="20"/>
          <w:color w:val="auto"/>
        </w:rPr>
        <w:tab/>
      </w:r>
      <w:r>
        <w:rPr>
          <w:rFonts w:ascii="Times New Roman" w:cs="Times New Roman" w:eastAsia="Times New Roman" w:hAnsi="Times New Roman"/>
          <w:sz w:val="22"/>
          <w:szCs w:val="22"/>
          <w:u w:val="single" w:color="auto"/>
          <w:color w:val="auto"/>
        </w:rPr>
        <w:t>Program Description</w:t>
      </w:r>
      <w:r>
        <w:rPr>
          <w:rFonts w:ascii="Times New Roman" w:cs="Times New Roman" w:eastAsia="Times New Roman" w:hAnsi="Times New Roman"/>
          <w:sz w:val="22"/>
          <w:szCs w:val="22"/>
          <w:color w:val="auto"/>
        </w:rPr>
        <w:t>. The Parties agree that, in accordance with the Program Guidelines, the Program generally shall</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involve: Client marketing the Program, and Credit Builder Accounts, on behalf of Bank, to potential Applicants; Bank approving the Program and the Credit Underwriting Standards, accepting Applications and extending credit to Customers residing in the States, issuing Cards providing access to credit extended by Bank, issuing Secured Accounts to Customers and holding funds in such Secured Accounts to collateralize extensions of credit to Customers by Bank under the Credit Card Accounts, and issuing Line of Credit Accounts; and Client processing Applications and servicing and collecting on Credit Builder Accounts on behalf of Bank. The duties of the Parties in connection with the Program shall be as set forth in the terms of this Agreement.</w:t>
      </w:r>
    </w:p>
    <w:p>
      <w:pPr>
        <w:spacing w:after="0" w:line="180" w:lineRule="exact"/>
        <w:rPr>
          <w:sz w:val="20"/>
          <w:szCs w:val="20"/>
          <w:color w:val="auto"/>
        </w:rPr>
      </w:pPr>
    </w:p>
    <w:p>
      <w:pPr>
        <w:jc w:val="both"/>
        <w:ind w:left="620" w:hanging="647"/>
        <w:spacing w:after="0" w:line="238" w:lineRule="auto"/>
        <w:tabs>
          <w:tab w:leader="none" w:pos="600" w:val="left"/>
        </w:tabs>
        <w:rPr>
          <w:sz w:val="20"/>
          <w:szCs w:val="20"/>
          <w:color w:val="auto"/>
        </w:rPr>
      </w:pPr>
      <w:r>
        <w:rPr>
          <w:rFonts w:ascii="Times New Roman" w:cs="Times New Roman" w:eastAsia="Times New Roman" w:hAnsi="Times New Roman"/>
          <w:sz w:val="22"/>
          <w:szCs w:val="22"/>
          <w:b w:val="1"/>
          <w:bCs w:val="1"/>
          <w:color w:val="auto"/>
        </w:rPr>
        <w:t>2.2</w:t>
      </w:r>
      <w:r>
        <w:rPr>
          <w:sz w:val="20"/>
          <w:szCs w:val="20"/>
          <w:color w:val="auto"/>
        </w:rPr>
        <w:tab/>
      </w:r>
      <w:r>
        <w:rPr>
          <w:rFonts w:ascii="Times New Roman" w:cs="Times New Roman" w:eastAsia="Times New Roman" w:hAnsi="Times New Roman"/>
          <w:sz w:val="22"/>
          <w:szCs w:val="22"/>
          <w:u w:val="single" w:color="auto"/>
          <w:color w:val="auto"/>
        </w:rPr>
        <w:t>Marketing</w:t>
      </w:r>
      <w:r>
        <w:rPr>
          <w:rFonts w:ascii="Times New Roman" w:cs="Times New Roman" w:eastAsia="Times New Roman" w:hAnsi="Times New Roman"/>
          <w:sz w:val="22"/>
          <w:szCs w:val="22"/>
          <w:color w:val="auto"/>
        </w:rPr>
        <w:t>. Client shall market Credit Builder Accounts to prospective Customers, subject to Applicable Law, and in</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accordance with this Addendum and any Program Authorization Letter. Client shall be responsible for all costs and expenses associated with the marketing of the Program.</w:t>
      </w:r>
    </w:p>
    <w:p>
      <w:pPr>
        <w:spacing w:after="0" w:line="179" w:lineRule="exact"/>
        <w:rPr>
          <w:sz w:val="20"/>
          <w:szCs w:val="20"/>
          <w:color w:val="auto"/>
        </w:rPr>
      </w:pPr>
    </w:p>
    <w:p>
      <w:pPr>
        <w:jc w:val="both"/>
        <w:ind w:left="520" w:hanging="647"/>
        <w:spacing w:after="0" w:line="232" w:lineRule="auto"/>
        <w:tabs>
          <w:tab w:leader="none" w:pos="500" w:val="left"/>
        </w:tabs>
        <w:rPr>
          <w:sz w:val="20"/>
          <w:szCs w:val="20"/>
          <w:color w:val="auto"/>
        </w:rPr>
      </w:pPr>
      <w:r>
        <w:rPr>
          <w:rFonts w:ascii="Times New Roman" w:cs="Times New Roman" w:eastAsia="Times New Roman" w:hAnsi="Times New Roman"/>
          <w:sz w:val="22"/>
          <w:szCs w:val="22"/>
          <w:b w:val="1"/>
          <w:bCs w:val="1"/>
          <w:color w:val="auto"/>
        </w:rPr>
        <w:t>2.3</w:t>
      </w:r>
      <w:r>
        <w:rPr>
          <w:sz w:val="20"/>
          <w:szCs w:val="20"/>
          <w:color w:val="auto"/>
        </w:rPr>
        <w:tab/>
      </w:r>
      <w:r>
        <w:rPr>
          <w:rFonts w:ascii="Times New Roman" w:cs="Times New Roman" w:eastAsia="Times New Roman" w:hAnsi="Times New Roman"/>
          <w:sz w:val="22"/>
          <w:szCs w:val="22"/>
          <w:u w:val="single" w:color="auto"/>
          <w:color w:val="auto"/>
        </w:rPr>
        <w:t>Marketing Territory</w:t>
      </w:r>
      <w:r>
        <w:rPr>
          <w:rFonts w:ascii="Times New Roman" w:cs="Times New Roman" w:eastAsia="Times New Roman" w:hAnsi="Times New Roman"/>
          <w:sz w:val="22"/>
          <w:szCs w:val="22"/>
          <w:color w:val="auto"/>
        </w:rPr>
        <w:t>. The Program shall only be marketed in the Program Area. The Parties may mutually agree to decline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to offer the Program in certain states related to legal or regulatory concerns (including, but not limited to, state licensing requirements). The Parties may also mutually agree to decline to offer the Program in certain States for reasons unrelated to legal or regulatory concerns, but such other reasons shall be evaluated by the Parties in good faith for compliance with Applicable Law.</w:t>
      </w:r>
    </w:p>
    <w:p>
      <w:pPr>
        <w:spacing w:after="0" w:line="181" w:lineRule="exact"/>
        <w:rPr>
          <w:sz w:val="20"/>
          <w:szCs w:val="20"/>
          <w:color w:val="auto"/>
        </w:rPr>
      </w:pPr>
    </w:p>
    <w:p>
      <w:pPr>
        <w:jc w:val="both"/>
        <w:ind w:left="540" w:hanging="647"/>
        <w:spacing w:after="0" w:line="230" w:lineRule="auto"/>
        <w:tabs>
          <w:tab w:leader="none" w:pos="520" w:val="left"/>
        </w:tabs>
        <w:rPr>
          <w:sz w:val="20"/>
          <w:szCs w:val="20"/>
          <w:color w:val="auto"/>
        </w:rPr>
      </w:pPr>
      <w:r>
        <w:rPr>
          <w:rFonts w:ascii="Times New Roman" w:cs="Times New Roman" w:eastAsia="Times New Roman" w:hAnsi="Times New Roman"/>
          <w:sz w:val="22"/>
          <w:szCs w:val="22"/>
          <w:b w:val="1"/>
          <w:bCs w:val="1"/>
          <w:color w:val="auto"/>
        </w:rPr>
        <w:t>2.4</w:t>
      </w:r>
      <w:r>
        <w:rPr>
          <w:sz w:val="20"/>
          <w:szCs w:val="20"/>
          <w:color w:val="auto"/>
        </w:rPr>
        <w:tab/>
      </w:r>
      <w:r>
        <w:rPr>
          <w:rFonts w:ascii="Times New Roman" w:cs="Times New Roman" w:eastAsia="Times New Roman" w:hAnsi="Times New Roman"/>
          <w:sz w:val="22"/>
          <w:szCs w:val="22"/>
          <w:u w:val="single" w:color="auto"/>
          <w:color w:val="auto"/>
        </w:rPr>
        <w:t>Bank Issuance</w:t>
      </w:r>
      <w:r>
        <w:rPr>
          <w:rFonts w:ascii="Times New Roman" w:cs="Times New Roman" w:eastAsia="Times New Roman" w:hAnsi="Times New Roman"/>
          <w:sz w:val="22"/>
          <w:szCs w:val="22"/>
          <w:color w:val="auto"/>
        </w:rPr>
        <w:t>. Bank shall be the issuer of each of the Credit Builder Accounts and Cards, which each shall be issued in</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accordance with this Addendum and subject to Applicable Law, with the understanding that the Cards are, and shall at all times remain, the property of Bank. Nothing herein shall be interpreted to require Bank to establish a certain number of Credit Builder Accounts, or Cards, and Bank shall have the right to terminate marketing and issuance of new Credit Builder Accounts, and Cards at its discretion, but in no event without providing Client prior written notice of at least one hundred and eighty (180) days, or such shorter period of time as may be required by Applicable Law, Regulatory Authority, or Bank’s safety and soundness standards.</w:t>
      </w:r>
    </w:p>
    <w:p>
      <w:pPr>
        <w:spacing w:after="0" w:line="179" w:lineRule="exact"/>
        <w:rPr>
          <w:sz w:val="20"/>
          <w:szCs w:val="20"/>
          <w:color w:val="auto"/>
        </w:rPr>
      </w:pPr>
    </w:p>
    <w:p>
      <w:pPr>
        <w:jc w:val="both"/>
        <w:ind w:left="500" w:hanging="647"/>
        <w:spacing w:after="0" w:line="229" w:lineRule="auto"/>
        <w:tabs>
          <w:tab w:leader="none" w:pos="480" w:val="left"/>
        </w:tabs>
        <w:rPr>
          <w:sz w:val="20"/>
          <w:szCs w:val="20"/>
          <w:color w:val="auto"/>
        </w:rPr>
      </w:pPr>
      <w:r>
        <w:rPr>
          <w:rFonts w:ascii="Times New Roman" w:cs="Times New Roman" w:eastAsia="Times New Roman" w:hAnsi="Times New Roman"/>
          <w:sz w:val="22"/>
          <w:szCs w:val="22"/>
          <w:b w:val="1"/>
          <w:bCs w:val="1"/>
          <w:color w:val="auto"/>
        </w:rPr>
        <w:t>2.5</w:t>
      </w:r>
      <w:r>
        <w:rPr>
          <w:sz w:val="20"/>
          <w:szCs w:val="20"/>
          <w:color w:val="auto"/>
        </w:rPr>
        <w:tab/>
      </w:r>
      <w:r>
        <w:rPr>
          <w:rFonts w:ascii="Times New Roman" w:cs="Times New Roman" w:eastAsia="Times New Roman" w:hAnsi="Times New Roman"/>
          <w:sz w:val="22"/>
          <w:szCs w:val="22"/>
          <w:u w:val="single" w:color="auto"/>
          <w:color w:val="auto"/>
        </w:rPr>
        <w:t>Customer Relationship</w:t>
      </w:r>
      <w:r>
        <w:rPr>
          <w:rFonts w:ascii="Times New Roman" w:cs="Times New Roman" w:eastAsia="Times New Roman" w:hAnsi="Times New Roman"/>
          <w:sz w:val="22"/>
          <w:szCs w:val="22"/>
          <w:color w:val="auto"/>
        </w:rPr>
        <w:t>. Client acknowledges that approval of an Application, the offering of a Credit Card Account or Line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of Credit Account and the Bank’s extension of credit to any Customer, creates a creditor-borrower relationship between Bank and Customer, and not between Client and Customer. The creditor-borrower relationship between Bank and Customer shall involve, among other things, the establishment of Credit Builder and Secured Accounts and, if applicable, a Line of Credit Account, the extension of credit from time to time, issuance of a Card and the collection of payments from Customers. Nothing in this Addendum shall authorize or require Client to extend credit to an Applicant or Customer, and nothing herein shall obligate Bank to extend credit to an Applicant or Customer if Bank determines, in its reasonable judgment, that doing so would be an unsafe and unsound banking practice, or if an Applicant or Customer fails to qualify for an Account or Line of Credit Account (in the case of an Applicant) or an extension of credit (in the case of a Customer) under the Credit Underwriting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23" w:right="339" w:bottom="1440" w:gutter="0" w:footer="0" w:header="0"/>
        </w:sectPr>
      </w:pPr>
    </w:p>
    <w:bookmarkStart w:id="513" w:name="page514"/>
    <w:bookmarkEnd w:id="513"/>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59" w:lineRule="exact"/>
        <w:rPr>
          <w:sz w:val="20"/>
          <w:szCs w:val="20"/>
          <w:color w:val="auto"/>
        </w:rPr>
      </w:pPr>
    </w:p>
    <w:p>
      <w:pPr>
        <w:ind w:left="9840"/>
        <w:spacing w:after="0"/>
        <w:rPr>
          <w:sz w:val="20"/>
          <w:szCs w:val="20"/>
          <w:color w:val="auto"/>
        </w:rPr>
      </w:pPr>
      <w:r>
        <w:rPr>
          <w:rFonts w:ascii="Times New Roman" w:cs="Times New Roman" w:eastAsia="Times New Roman" w:hAnsi="Times New Roman"/>
          <w:sz w:val="16"/>
          <w:szCs w:val="16"/>
          <w:b w:val="1"/>
          <w:bCs w:val="1"/>
          <w:i w:val="1"/>
          <w:i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left="540" w:hanging="647"/>
        <w:spacing w:after="0" w:line="250" w:lineRule="auto"/>
        <w:tabs>
          <w:tab w:leader="none" w:pos="520" w:val="left"/>
        </w:tabs>
        <w:rPr>
          <w:sz w:val="20"/>
          <w:szCs w:val="20"/>
          <w:color w:val="auto"/>
        </w:rPr>
      </w:pPr>
      <w:r>
        <w:rPr>
          <w:rFonts w:ascii="Times New Roman" w:cs="Times New Roman" w:eastAsia="Times New Roman" w:hAnsi="Times New Roman"/>
          <w:sz w:val="22"/>
          <w:szCs w:val="22"/>
          <w:b w:val="1"/>
          <w:bCs w:val="1"/>
          <w:color w:val="auto"/>
        </w:rPr>
        <w:t>2.6</w:t>
      </w:r>
      <w:r>
        <w:rPr>
          <w:sz w:val="20"/>
          <w:szCs w:val="20"/>
          <w:color w:val="auto"/>
        </w:rPr>
        <w:tab/>
      </w:r>
      <w:r>
        <w:rPr>
          <w:rFonts w:ascii="Times New Roman" w:cs="Times New Roman" w:eastAsia="Times New Roman" w:hAnsi="Times New Roman"/>
          <w:sz w:val="22"/>
          <w:szCs w:val="22"/>
          <w:u w:val="single" w:color="auto"/>
          <w:color w:val="auto"/>
        </w:rPr>
        <w:t>Lending Commitment</w:t>
      </w:r>
      <w:r>
        <w:rPr>
          <w:rFonts w:ascii="Times New Roman" w:cs="Times New Roman" w:eastAsia="Times New Roman" w:hAnsi="Times New Roman"/>
          <w:sz w:val="22"/>
          <w:szCs w:val="22"/>
          <w:color w:val="auto"/>
        </w:rPr>
        <w:t>. Subject to the terms and conditions in this Addendum, from and after the Program Start Date and</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during the Term of this Addendum and any Wind-Down period, if applicable, Bank agrees to offer Credit Builder Accounts to those Applicants who qualify for credit under the Bank’s Credit Underwriting Standards, or as otherwise approved pursuant to Section 3 below, and who reside in the Program Area; and to extend credit to Customers under Account Agreements executed by Bank and Customer for all such Credit Builder Accounts. All Credit Builder Accounts established by Bank under this Agreement shall be originated by Bank using Client’s services described in this Agreement and any credit extended by Bank shall be solely accessed by the Card.</w:t>
      </w:r>
    </w:p>
    <w:p>
      <w:pPr>
        <w:spacing w:after="0" w:line="180" w:lineRule="exact"/>
        <w:rPr>
          <w:sz w:val="20"/>
          <w:szCs w:val="20"/>
          <w:color w:val="auto"/>
        </w:rPr>
      </w:pPr>
    </w:p>
    <w:p>
      <w:pPr>
        <w:jc w:val="both"/>
        <w:ind w:left="580" w:hanging="647"/>
        <w:spacing w:after="0" w:line="272" w:lineRule="auto"/>
        <w:tabs>
          <w:tab w:leader="none" w:pos="560" w:val="left"/>
        </w:tabs>
        <w:rPr>
          <w:sz w:val="20"/>
          <w:szCs w:val="20"/>
          <w:color w:val="auto"/>
        </w:rPr>
      </w:pPr>
      <w:r>
        <w:rPr>
          <w:rFonts w:ascii="Times New Roman" w:cs="Times New Roman" w:eastAsia="Times New Roman" w:hAnsi="Times New Roman"/>
          <w:sz w:val="22"/>
          <w:szCs w:val="22"/>
          <w:b w:val="1"/>
          <w:bCs w:val="1"/>
          <w:color w:val="auto"/>
        </w:rPr>
        <w:t>2.7</w:t>
      </w:r>
      <w:r>
        <w:rPr>
          <w:sz w:val="20"/>
          <w:szCs w:val="20"/>
          <w:color w:val="auto"/>
        </w:rPr>
        <w:tab/>
      </w:r>
      <w:r>
        <w:rPr>
          <w:rFonts w:ascii="Times New Roman" w:cs="Times New Roman" w:eastAsia="Times New Roman" w:hAnsi="Times New Roman"/>
          <w:sz w:val="21"/>
          <w:szCs w:val="21"/>
          <w:u w:val="single" w:color="auto"/>
          <w:color w:val="auto"/>
        </w:rPr>
        <w:t>Secured Account</w:t>
      </w:r>
      <w:r>
        <w:rPr>
          <w:rFonts w:ascii="Times New Roman" w:cs="Times New Roman" w:eastAsia="Times New Roman" w:hAnsi="Times New Roman"/>
          <w:sz w:val="21"/>
          <w:szCs w:val="21"/>
          <w:color w:val="auto"/>
        </w:rPr>
        <w:t>. Bank shall issue a Secured Account to each Customer. Customer may deposit funds into the Secured</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Account to serve as collateral for extensions of credit by Bank to Customer under the Account. Notwithstanding anything in this Addendum, Bank shall have no obligation under this Addendum to extend credit to any Customer in amounts that exceed such Customer’s Secured Account balance and the credit available in the Line of Credit Account (if applicable).</w:t>
      </w:r>
    </w:p>
    <w:p>
      <w:pPr>
        <w:spacing w:after="0" w:line="161" w:lineRule="exact"/>
        <w:rPr>
          <w:sz w:val="20"/>
          <w:szCs w:val="20"/>
          <w:color w:val="auto"/>
        </w:rPr>
      </w:pPr>
    </w:p>
    <w:p>
      <w:pPr>
        <w:jc w:val="both"/>
        <w:ind w:left="580" w:hanging="647"/>
        <w:spacing w:after="0" w:line="251" w:lineRule="auto"/>
        <w:tabs>
          <w:tab w:leader="none" w:pos="560" w:val="left"/>
        </w:tabs>
        <w:rPr>
          <w:sz w:val="20"/>
          <w:szCs w:val="20"/>
          <w:color w:val="auto"/>
        </w:rPr>
      </w:pPr>
      <w:r>
        <w:rPr>
          <w:rFonts w:ascii="Times New Roman" w:cs="Times New Roman" w:eastAsia="Times New Roman" w:hAnsi="Times New Roman"/>
          <w:sz w:val="22"/>
          <w:szCs w:val="22"/>
          <w:b w:val="1"/>
          <w:bCs w:val="1"/>
          <w:color w:val="auto"/>
        </w:rPr>
        <w:t>2.8</w:t>
      </w:r>
      <w:r>
        <w:rPr>
          <w:sz w:val="20"/>
          <w:szCs w:val="20"/>
          <w:color w:val="auto"/>
        </w:rPr>
        <w:tab/>
      </w:r>
      <w:r>
        <w:rPr>
          <w:rFonts w:ascii="Times New Roman" w:cs="Times New Roman" w:eastAsia="Times New Roman" w:hAnsi="Times New Roman"/>
          <w:sz w:val="22"/>
          <w:szCs w:val="22"/>
          <w:u w:val="single" w:color="auto"/>
          <w:color w:val="auto"/>
        </w:rPr>
        <w:t xml:space="preserve">Bank Authority to Make Loans: </w:t>
      </w:r>
      <w:r>
        <w:rPr>
          <w:rFonts w:ascii="Times New Roman" w:cs="Times New Roman" w:eastAsia="Times New Roman" w:hAnsi="Times New Roman"/>
          <w:sz w:val="22"/>
          <w:szCs w:val="22"/>
          <w:color w:val="auto"/>
        </w:rPr>
        <w:t>Bank hereby represents and warrants to Client that Bank is a U.S. nationally-chartered</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financial institution that has the authority to accept deposits, and is a FDIC-insured depository institution for the purposes of Section 521 of the Depository Institutions Deregulation and Monetary Control Act of 1980, 12 U.S.C. § 1831d, and has the full power and authority to make the extensions of credit contemplated by this Addendum to Customers in all States. Bank further represents and warrants that Bank’s operations relating to the Program and creation of Credit Builder Accounts, including Bank’s extensions of credit to Customers are in compliance with Applicable Law.</w:t>
      </w:r>
    </w:p>
    <w:p>
      <w:pPr>
        <w:spacing w:after="0" w:line="181" w:lineRule="exact"/>
        <w:rPr>
          <w:sz w:val="20"/>
          <w:szCs w:val="20"/>
          <w:color w:val="auto"/>
        </w:rPr>
      </w:pPr>
    </w:p>
    <w:p>
      <w:pPr>
        <w:jc w:val="both"/>
        <w:ind w:left="580" w:hanging="647"/>
        <w:spacing w:after="0" w:line="256" w:lineRule="auto"/>
        <w:tabs>
          <w:tab w:leader="none" w:pos="560" w:val="left"/>
        </w:tabs>
        <w:rPr>
          <w:sz w:val="20"/>
          <w:szCs w:val="20"/>
          <w:color w:val="auto"/>
        </w:rPr>
      </w:pPr>
      <w:r>
        <w:rPr>
          <w:rFonts w:ascii="Times New Roman" w:cs="Times New Roman" w:eastAsia="Times New Roman" w:hAnsi="Times New Roman"/>
          <w:sz w:val="22"/>
          <w:szCs w:val="22"/>
          <w:b w:val="1"/>
          <w:bCs w:val="1"/>
          <w:color w:val="auto"/>
        </w:rPr>
        <w:t>2.9</w:t>
      </w:r>
      <w:r>
        <w:rPr>
          <w:sz w:val="20"/>
          <w:szCs w:val="20"/>
          <w:color w:val="auto"/>
        </w:rPr>
        <w:tab/>
      </w:r>
      <w:r>
        <w:rPr>
          <w:rFonts w:ascii="Times New Roman" w:cs="Times New Roman" w:eastAsia="Times New Roman" w:hAnsi="Times New Roman"/>
          <w:sz w:val="22"/>
          <w:szCs w:val="22"/>
          <w:u w:val="single" w:color="auto"/>
          <w:color w:val="auto"/>
        </w:rPr>
        <w:t>Bank Controls</w:t>
      </w:r>
      <w:r>
        <w:rPr>
          <w:rFonts w:ascii="Times New Roman" w:cs="Times New Roman" w:eastAsia="Times New Roman" w:hAnsi="Times New Roman"/>
          <w:sz w:val="22"/>
          <w:szCs w:val="22"/>
          <w:color w:val="auto"/>
        </w:rPr>
        <w:t>. Bank shall have implemented or shall implement such controls as Bank deems reasonably necessary to</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adequately control, monitor and supervise the operation of Bank’s obligations under the Program, including the funding of each Credit Builder Account (the “</w:t>
      </w:r>
      <w:r>
        <w:rPr>
          <w:rFonts w:ascii="Times New Roman" w:cs="Times New Roman" w:eastAsia="Times New Roman" w:hAnsi="Times New Roman"/>
          <w:sz w:val="22"/>
          <w:szCs w:val="22"/>
          <w:b w:val="1"/>
          <w:bCs w:val="1"/>
          <w:color w:val="auto"/>
        </w:rPr>
        <w:t>Bank Controls</w:t>
      </w:r>
      <w:r>
        <w:rPr>
          <w:rFonts w:ascii="Times New Roman" w:cs="Times New Roman" w:eastAsia="Times New Roman" w:hAnsi="Times New Roman"/>
          <w:sz w:val="22"/>
          <w:szCs w:val="22"/>
          <w:color w:val="auto"/>
        </w:rPr>
        <w:t>”). At the written request of Client, but not more than once annually, Bank shall confirm, in writing, to Company that Bank has implemented the Bank Controls.</w:t>
      </w:r>
    </w:p>
    <w:p>
      <w:pPr>
        <w:spacing w:after="0" w:line="176" w:lineRule="exact"/>
        <w:rPr>
          <w:sz w:val="20"/>
          <w:szCs w:val="20"/>
          <w:color w:val="auto"/>
        </w:rPr>
      </w:pPr>
    </w:p>
    <w:p>
      <w:pPr>
        <w:jc w:val="both"/>
        <w:ind w:left="660" w:hanging="647"/>
        <w:spacing w:after="0" w:line="271"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2.10</w:t>
      </w:r>
      <w:r>
        <w:rPr>
          <w:sz w:val="20"/>
          <w:szCs w:val="20"/>
          <w:color w:val="auto"/>
        </w:rPr>
        <w:tab/>
      </w:r>
      <w:r>
        <w:rPr>
          <w:rFonts w:ascii="Times New Roman" w:cs="Times New Roman" w:eastAsia="Times New Roman" w:hAnsi="Times New Roman"/>
          <w:sz w:val="22"/>
          <w:szCs w:val="22"/>
          <w:u w:val="single" w:color="auto"/>
          <w:color w:val="auto"/>
        </w:rPr>
        <w:t>Bank Program Management</w:t>
      </w:r>
      <w:r>
        <w:rPr>
          <w:rFonts w:ascii="Times New Roman" w:cs="Times New Roman" w:eastAsia="Times New Roman" w:hAnsi="Times New Roman"/>
          <w:sz w:val="22"/>
          <w:szCs w:val="22"/>
          <w:color w:val="auto"/>
        </w:rPr>
        <w:t>. Bank shall manage the Program in good faith, employing at least the same degree of care,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skill and attention that Bank devotes to management of its other programs that are similar to Program.</w:t>
      </w:r>
    </w:p>
    <w:p>
      <w:pPr>
        <w:spacing w:after="0" w:line="158" w:lineRule="exact"/>
        <w:rPr>
          <w:sz w:val="20"/>
          <w:szCs w:val="20"/>
          <w:color w:val="auto"/>
        </w:rPr>
      </w:pPr>
    </w:p>
    <w:p>
      <w:pPr>
        <w:ind w:left="380" w:hanging="372"/>
        <w:spacing w:after="0"/>
        <w:tabs>
          <w:tab w:leader="none" w:pos="380" w:val="left"/>
        </w:tabs>
        <w:numPr>
          <w:ilvl w:val="0"/>
          <w:numId w:val="3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FINANCE MATERIALS</w:t>
      </w:r>
    </w:p>
    <w:p>
      <w:pPr>
        <w:spacing w:after="0" w:line="233" w:lineRule="exact"/>
        <w:rPr>
          <w:sz w:val="20"/>
          <w:szCs w:val="20"/>
          <w:color w:val="auto"/>
        </w:rPr>
      </w:pPr>
    </w:p>
    <w:p>
      <w:pPr>
        <w:ind w:left="500" w:right="20" w:hanging="647"/>
        <w:spacing w:after="0" w:line="271" w:lineRule="auto"/>
        <w:tabs>
          <w:tab w:leader="none" w:pos="480" w:val="left"/>
        </w:tabs>
        <w:rPr>
          <w:sz w:val="20"/>
          <w:szCs w:val="20"/>
          <w:color w:val="auto"/>
        </w:rPr>
      </w:pPr>
      <w:r>
        <w:rPr>
          <w:rFonts w:ascii="Times New Roman" w:cs="Times New Roman" w:eastAsia="Times New Roman" w:hAnsi="Times New Roman"/>
          <w:sz w:val="22"/>
          <w:szCs w:val="22"/>
          <w:b w:val="1"/>
          <w:bCs w:val="1"/>
          <w:color w:val="auto"/>
        </w:rPr>
        <w:t>3.1</w:t>
      </w:r>
      <w:r>
        <w:rPr>
          <w:sz w:val="20"/>
          <w:szCs w:val="20"/>
          <w:color w:val="auto"/>
        </w:rPr>
        <w:tab/>
      </w:r>
      <w:r>
        <w:rPr>
          <w:rFonts w:ascii="Times New Roman" w:cs="Times New Roman" w:eastAsia="Times New Roman" w:hAnsi="Times New Roman"/>
          <w:sz w:val="22"/>
          <w:szCs w:val="22"/>
          <w:u w:val="single" w:color="auto"/>
          <w:color w:val="auto"/>
        </w:rPr>
        <w:t>Finance Materials</w:t>
      </w:r>
      <w:r>
        <w:rPr>
          <w:rFonts w:ascii="Times New Roman" w:cs="Times New Roman" w:eastAsia="Times New Roman" w:hAnsi="Times New Roman"/>
          <w:sz w:val="22"/>
          <w:szCs w:val="22"/>
          <w:color w:val="auto"/>
        </w:rPr>
        <w:t>. Bank shall have no obligations under this Addendum unless and until it has provided written approval of</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the following documents (collectively, the “</w:t>
      </w:r>
      <w:r>
        <w:rPr>
          <w:rFonts w:ascii="Times New Roman" w:cs="Times New Roman" w:eastAsia="Times New Roman" w:hAnsi="Times New Roman"/>
          <w:sz w:val="22"/>
          <w:szCs w:val="22"/>
          <w:b w:val="1"/>
          <w:bCs w:val="1"/>
          <w:color w:val="auto"/>
        </w:rPr>
        <w:t>Finance Materials</w:t>
      </w:r>
      <w:r>
        <w:rPr>
          <w:rFonts w:ascii="Times New Roman" w:cs="Times New Roman" w:eastAsia="Times New Roman" w:hAnsi="Times New Roman"/>
          <w:sz w:val="22"/>
          <w:szCs w:val="22"/>
          <w:color w:val="auto"/>
        </w:rPr>
        <w:t>”):</w:t>
      </w:r>
    </w:p>
    <w:p>
      <w:pPr>
        <w:spacing w:after="0" w:line="162" w:lineRule="exact"/>
        <w:rPr>
          <w:sz w:val="20"/>
          <w:szCs w:val="20"/>
          <w:color w:val="auto"/>
        </w:rPr>
      </w:pPr>
    </w:p>
    <w:p>
      <w:pPr>
        <w:ind w:left="1300" w:hanging="644"/>
        <w:spacing w:after="0" w:line="271" w:lineRule="auto"/>
        <w:tabs>
          <w:tab w:leader="none" w:pos="1146" w:val="left"/>
        </w:tabs>
        <w:numPr>
          <w:ilvl w:val="0"/>
          <w:numId w:val="3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description of the Program, including the terms and conditions of Credit Builder Accounts, including any interest rates and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23" w:right="339" w:bottom="1440" w:gutter="0" w:footer="0" w:header="0"/>
        </w:sectPr>
      </w:pPr>
    </w:p>
    <w:bookmarkStart w:id="514" w:name="page515"/>
    <w:bookmarkEnd w:id="514"/>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120" w:hanging="464"/>
        <w:spacing w:after="0"/>
        <w:tabs>
          <w:tab w:leader="none" w:pos="1120" w:val="left"/>
        </w:tabs>
        <w:numPr>
          <w:ilvl w:val="0"/>
          <w:numId w:val="3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Credit Underwriting Standards.</w:t>
      </w:r>
    </w:p>
    <w:p>
      <w:pPr>
        <w:spacing w:after="0" w:line="219" w:lineRule="exact"/>
        <w:rPr>
          <w:rFonts w:ascii="Times New Roman" w:cs="Times New Roman" w:eastAsia="Times New Roman" w:hAnsi="Times New Roman"/>
          <w:sz w:val="22"/>
          <w:szCs w:val="22"/>
          <w:color w:val="auto"/>
        </w:rPr>
      </w:pPr>
    </w:p>
    <w:p>
      <w:pPr>
        <w:jc w:val="both"/>
        <w:ind w:left="1300" w:hanging="644"/>
        <w:spacing w:after="0" w:line="263" w:lineRule="auto"/>
        <w:tabs>
          <w:tab w:leader="none" w:pos="1288" w:val="left"/>
        </w:tabs>
        <w:numPr>
          <w:ilvl w:val="0"/>
          <w:numId w:val="3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forms(s) of electronic, paper and call center Applications (including required data fields, disclosures and, as applicable, electronic signature consent forms). Any Application shall identify Bank as the creditor of the Credit Builder Account and shall include such other names and marks as may be required by Bank.</w:t>
      </w:r>
    </w:p>
    <w:p>
      <w:pPr>
        <w:spacing w:after="0" w:line="167" w:lineRule="exact"/>
        <w:rPr>
          <w:rFonts w:ascii="Times New Roman" w:cs="Times New Roman" w:eastAsia="Times New Roman" w:hAnsi="Times New Roman"/>
          <w:sz w:val="22"/>
          <w:szCs w:val="22"/>
          <w:color w:val="auto"/>
        </w:rPr>
      </w:pPr>
    </w:p>
    <w:p>
      <w:pPr>
        <w:ind w:left="1300" w:right="20" w:hanging="644"/>
        <w:spacing w:after="0" w:line="271" w:lineRule="auto"/>
        <w:tabs>
          <w:tab w:leader="none" w:pos="1150" w:val="left"/>
        </w:tabs>
        <w:numPr>
          <w:ilvl w:val="0"/>
          <w:numId w:val="3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forms of the Account Agreement. Any Account Agreement shall identify Bank as the creditor of the Credit Builder Account and shall include such other names and marks as may be required by Bank.</w:t>
      </w:r>
    </w:p>
    <w:p>
      <w:pPr>
        <w:spacing w:after="0" w:line="157" w:lineRule="exact"/>
        <w:rPr>
          <w:rFonts w:ascii="Times New Roman" w:cs="Times New Roman" w:eastAsia="Times New Roman" w:hAnsi="Times New Roman"/>
          <w:sz w:val="22"/>
          <w:szCs w:val="22"/>
          <w:color w:val="auto"/>
        </w:rPr>
      </w:pPr>
    </w:p>
    <w:p>
      <w:pPr>
        <w:ind w:left="1300" w:right="20" w:hanging="644"/>
        <w:spacing w:after="0" w:line="271" w:lineRule="auto"/>
        <w:tabs>
          <w:tab w:leader="none" w:pos="1150" w:val="left"/>
        </w:tabs>
        <w:numPr>
          <w:ilvl w:val="0"/>
          <w:numId w:val="3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forms of other applicable finance disclosures, including privacy policies and privacy notice required by Applicable Law with respect to the Applications and/or Credit Builder Accounts.</w:t>
      </w:r>
    </w:p>
    <w:p>
      <w:pPr>
        <w:spacing w:after="0" w:line="167" w:lineRule="exact"/>
        <w:rPr>
          <w:sz w:val="20"/>
          <w:szCs w:val="20"/>
          <w:color w:val="auto"/>
        </w:rPr>
      </w:pPr>
    </w:p>
    <w:p>
      <w:pPr>
        <w:jc w:val="both"/>
        <w:ind w:left="540" w:hanging="647"/>
        <w:spacing w:after="0" w:line="252" w:lineRule="auto"/>
        <w:tabs>
          <w:tab w:leader="none" w:pos="520" w:val="left"/>
        </w:tabs>
        <w:rPr>
          <w:sz w:val="20"/>
          <w:szCs w:val="20"/>
          <w:color w:val="auto"/>
        </w:rPr>
      </w:pPr>
      <w:r>
        <w:rPr>
          <w:rFonts w:ascii="Times New Roman" w:cs="Times New Roman" w:eastAsia="Times New Roman" w:hAnsi="Times New Roman"/>
          <w:sz w:val="22"/>
          <w:szCs w:val="22"/>
          <w:b w:val="1"/>
          <w:bCs w:val="1"/>
          <w:color w:val="auto"/>
        </w:rPr>
        <w:t>3.2</w:t>
      </w:r>
      <w:r>
        <w:rPr>
          <w:sz w:val="20"/>
          <w:szCs w:val="20"/>
          <w:color w:val="auto"/>
        </w:rPr>
        <w:tab/>
      </w:r>
      <w:r>
        <w:rPr>
          <w:rFonts w:ascii="Times New Roman" w:cs="Times New Roman" w:eastAsia="Times New Roman" w:hAnsi="Times New Roman"/>
          <w:sz w:val="22"/>
          <w:szCs w:val="22"/>
          <w:u w:val="single" w:color="auto"/>
          <w:color w:val="auto"/>
        </w:rPr>
        <w:t>Updates to Finance Materials</w:t>
      </w:r>
      <w:r>
        <w:rPr>
          <w:rFonts w:ascii="Times New Roman" w:cs="Times New Roman" w:eastAsia="Times New Roman" w:hAnsi="Times New Roman"/>
          <w:sz w:val="22"/>
          <w:szCs w:val="22"/>
          <w:color w:val="auto"/>
        </w:rPr>
        <w:t>. The Parties agree to work together in good faith to develop, and shall use the same process</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and procedures to prepare and approve Finance Materials for products added to the Program after the Program Start Date. Notwithstanding anything to the contrary in this Agreement, no change may be made to the Credit Underwriting Standards unless each such change has been approved by Bank in writing in accordance with this Addendum.</w:t>
      </w:r>
    </w:p>
    <w:p>
      <w:pPr>
        <w:spacing w:after="0" w:line="179" w:lineRule="exact"/>
        <w:rPr>
          <w:sz w:val="20"/>
          <w:szCs w:val="20"/>
          <w:color w:val="auto"/>
        </w:rPr>
      </w:pPr>
    </w:p>
    <w:p>
      <w:pPr>
        <w:ind w:left="380" w:hanging="372"/>
        <w:spacing w:after="0"/>
        <w:tabs>
          <w:tab w:leader="none" w:pos="380" w:val="left"/>
        </w:tabs>
        <w:numPr>
          <w:ilvl w:val="0"/>
          <w:numId w:val="3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CLIENT OBLIGATIONS</w:t>
      </w:r>
    </w:p>
    <w:p>
      <w:pPr>
        <w:spacing w:after="0" w:line="223" w:lineRule="exact"/>
        <w:rPr>
          <w:rFonts w:ascii="Times New Roman" w:cs="Times New Roman" w:eastAsia="Times New Roman" w:hAnsi="Times New Roman"/>
          <w:sz w:val="22"/>
          <w:szCs w:val="22"/>
          <w:b w:val="1"/>
          <w:bCs w:val="1"/>
          <w:color w:val="auto"/>
        </w:rPr>
      </w:pPr>
    </w:p>
    <w:p>
      <w:pPr>
        <w:ind w:left="1300" w:hanging="644"/>
        <w:spacing w:after="0" w:line="256" w:lineRule="auto"/>
        <w:tabs>
          <w:tab w:leader="none" w:pos="1218" w:val="left"/>
        </w:tabs>
        <w:numPr>
          <w:ilvl w:val="1"/>
          <w:numId w:val="3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service provider for Bank, Client shall process Applications from Applicants who desire to establish Credit Builder Accounts and shall determine whether the Applicants meet the eligibility criteria set forth in the Credit Underwriting Standards. Client shall not override the Credit Underwriting Standards, or otherwise deviate from the Credit Underwriting Standards, with respect to any Applications.</w:t>
      </w:r>
    </w:p>
    <w:p>
      <w:pPr>
        <w:spacing w:after="0" w:line="176" w:lineRule="exact"/>
        <w:rPr>
          <w:rFonts w:ascii="Times New Roman" w:cs="Times New Roman" w:eastAsia="Times New Roman" w:hAnsi="Times New Roman"/>
          <w:sz w:val="22"/>
          <w:szCs w:val="22"/>
          <w:color w:val="auto"/>
        </w:rPr>
      </w:pPr>
    </w:p>
    <w:p>
      <w:pPr>
        <w:ind w:left="1300" w:hanging="644"/>
        <w:spacing w:after="0" w:line="263" w:lineRule="auto"/>
        <w:tabs>
          <w:tab w:leader="none" w:pos="1178" w:val="left"/>
        </w:tabs>
        <w:numPr>
          <w:ilvl w:val="1"/>
          <w:numId w:val="3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Client and Bank shall negotiate in good faith to agree prior to the Program Start Date on a method, including any related reporting procedures, for Bank to review Applications approved or declined by Company, including Company’s implementation of the Credit Underwriting Standards.</w:t>
      </w:r>
    </w:p>
    <w:p>
      <w:pPr>
        <w:spacing w:after="0" w:line="167" w:lineRule="exact"/>
        <w:rPr>
          <w:rFonts w:ascii="Times New Roman" w:cs="Times New Roman" w:eastAsia="Times New Roman" w:hAnsi="Times New Roman"/>
          <w:sz w:val="22"/>
          <w:szCs w:val="22"/>
          <w:color w:val="auto"/>
        </w:rPr>
      </w:pPr>
    </w:p>
    <w:p>
      <w:pPr>
        <w:jc w:val="both"/>
        <w:ind w:left="1300" w:hanging="644"/>
        <w:spacing w:after="0" w:line="250" w:lineRule="auto"/>
        <w:tabs>
          <w:tab w:leader="none" w:pos="1264" w:val="left"/>
        </w:tabs>
        <w:numPr>
          <w:ilvl w:val="1"/>
          <w:numId w:val="3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behalf of Bank, Client shall respond to all inquiries from Applicants regarding the application process in accordance with the Accepted Servicing Practices. The Parties shall agree on mutually acceptable procedures with respect to Client providing adverse action notices to Applicants with regard to Applications that do not meet Credit Underwriting Standards criteria or are otherwise denied by Bank (and any adverse action notices shall be subject to Bank’s prior written approval); and Account Agreements to Applicants with regard to Applications that are approved by Bank. On Bank’s behalf, and pursuant to procedures mutually agreed to by the Parties, Client shall provide the foregoing services and deliver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23" w:right="339" w:bottom="1440" w:gutter="0" w:footer="0" w:header="0"/>
        </w:sectPr>
      </w:pPr>
    </w:p>
    <w:bookmarkStart w:id="515" w:name="page516"/>
    <w:bookmarkEnd w:id="515"/>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1300" w:right="20"/>
        <w:spacing w:after="0" w:line="258" w:lineRule="auto"/>
        <w:rPr>
          <w:sz w:val="20"/>
          <w:szCs w:val="20"/>
          <w:color w:val="auto"/>
        </w:rPr>
      </w:pPr>
      <w:r>
        <w:rPr>
          <w:rFonts w:ascii="Times New Roman" w:cs="Times New Roman" w:eastAsia="Times New Roman" w:hAnsi="Times New Roman"/>
          <w:sz w:val="22"/>
          <w:szCs w:val="22"/>
          <w:color w:val="auto"/>
        </w:rPr>
        <w:t>Applications, Account Agreements, adverse action notices and any other customer communications all at its own cost.</w:t>
      </w:r>
    </w:p>
    <w:p>
      <w:pPr>
        <w:spacing w:after="0" w:line="168" w:lineRule="exact"/>
        <w:rPr>
          <w:sz w:val="20"/>
          <w:szCs w:val="20"/>
          <w:color w:val="auto"/>
        </w:rPr>
      </w:pPr>
    </w:p>
    <w:p>
      <w:pPr>
        <w:jc w:val="both"/>
        <w:ind w:left="620" w:hanging="647"/>
        <w:spacing w:after="0" w:line="237" w:lineRule="auto"/>
        <w:tabs>
          <w:tab w:leader="none" w:pos="600" w:val="left"/>
        </w:tabs>
        <w:rPr>
          <w:sz w:val="20"/>
          <w:szCs w:val="20"/>
          <w:color w:val="auto"/>
        </w:rPr>
      </w:pPr>
      <w:r>
        <w:rPr>
          <w:rFonts w:ascii="Times New Roman" w:cs="Times New Roman" w:eastAsia="Times New Roman" w:hAnsi="Times New Roman"/>
          <w:sz w:val="22"/>
          <w:szCs w:val="22"/>
          <w:b w:val="1"/>
          <w:bCs w:val="1"/>
          <w:color w:val="auto"/>
        </w:rPr>
        <w:t>4.1</w:t>
      </w:r>
      <w:r>
        <w:rPr>
          <w:sz w:val="20"/>
          <w:szCs w:val="20"/>
          <w:color w:val="auto"/>
        </w:rPr>
        <w:tab/>
      </w:r>
      <w:r>
        <w:rPr>
          <w:rFonts w:ascii="Times New Roman" w:cs="Times New Roman" w:eastAsia="Times New Roman" w:hAnsi="Times New Roman"/>
          <w:sz w:val="22"/>
          <w:szCs w:val="22"/>
          <w:u w:val="single" w:color="auto"/>
          <w:color w:val="auto"/>
        </w:rPr>
        <w:t>Account Servicing</w:t>
      </w:r>
      <w:r>
        <w:rPr>
          <w:rFonts w:ascii="Times New Roman" w:cs="Times New Roman" w:eastAsia="Times New Roman" w:hAnsi="Times New Roman"/>
          <w:sz w:val="22"/>
          <w:szCs w:val="22"/>
          <w:color w:val="auto"/>
        </w:rPr>
        <w:t>. On behalf of Bank, Client shall, acting alone or through Client’s Affiliates and/or Subcontractors</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approved by Bank in accordance with the Agreement and this Addendum, service and administer the Credit Builder Accounts pursuant to the Accepted Servicing Practices. Such servicing shall include, to the extent the Parties agree that such services are to be provided under the Program in accordance with the Accepted Servicing Practices, approval and/or denial of Applications pursuant to the Credit Underwriting Standards, performing customer identification services, preparation and delivering of Credit Builder Account statements, undertaking collections, providing customer service, crediting Credit Builder Accounts in respect of payments and adjustments, resolving customer disputes, reporting Credit Card Account activity to consumer reporting agencies and providing such other services as are ordinary and customary for a servicer of Credit Builder Accounts. Client shall service and administer each Credit Builder Account in accordance with the Accepted Servicing Practices for the benefit of Bank, and shall have full power and authority, acting alone or through its designee, to do any and all things in connection with such servicing and administration as limited by Accepted Servicing Practices. Client shall perform such servicing in compliance with Applicable Law. The Accepted Servicing Practices shall be subject to Bank’s prior written approval, and shall include (but not be limited to): policies and procedures to ensure the Credit Builder Account’s and Bank’s compliance with, to the extent applicable, Regulation Z (Truth in Lending Act), Regulation B (Equal Credit Opportunity Act), Regulation E (Electronic Fund Transfer Act), the Fair Credit Reporting Act (and its accompanying Regulation V), the Fair Debt Collection Practices Act (and its accompanying Regulation F) (and similarly applicable state laws), UDAAP, the Military Lending Act (MLA), the Servicemembers Civil Relief Act (SCRA), the Bank Secrecy Act, the Electronic Signatures in Global and National Commerce Act (E-SIGN) and applicable fair lending standards.</w:t>
      </w:r>
    </w:p>
    <w:p>
      <w:pPr>
        <w:spacing w:after="0" w:line="185"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22"/>
          <w:szCs w:val="22"/>
          <w:color w:val="auto"/>
        </w:rPr>
        <w:t>Client shall obtain and maintain all licenses (including, but not limited to, loan servicing licenses, loan broker licenses and debt collection licenses) that Client reasonably determines are necessary under Applicable Law (based on the advice of counsel) for Client to perform its obligations under this Agreement.</w:t>
      </w:r>
    </w:p>
    <w:p>
      <w:pPr>
        <w:spacing w:after="0" w:line="16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4.2</w:t>
      </w:r>
      <w:r>
        <w:rPr>
          <w:sz w:val="20"/>
          <w:szCs w:val="20"/>
          <w:color w:val="auto"/>
        </w:rPr>
        <w:tab/>
      </w:r>
      <w:r>
        <w:rPr>
          <w:rFonts w:ascii="Times New Roman" w:cs="Times New Roman" w:eastAsia="Times New Roman" w:hAnsi="Times New Roman"/>
          <w:sz w:val="21"/>
          <w:szCs w:val="21"/>
          <w:u w:val="single" w:color="auto"/>
          <w:color w:val="auto"/>
        </w:rPr>
        <w:t>Customer Service</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ind w:left="1300" w:hanging="644"/>
        <w:spacing w:after="0" w:line="255" w:lineRule="auto"/>
        <w:tabs>
          <w:tab w:leader="none" w:pos="1125" w:val="left"/>
        </w:tabs>
        <w:numPr>
          <w:ilvl w:val="0"/>
          <w:numId w:val="3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Client shall be responsible for providing customer service, whether by Client or through an approved Subcontractor, in connection with the Program, which shall be provided in accordance with the Agreement, this Addendum and the Service Levels. Client specifically acknowledges and agrees that all customer service provided to Applicants and Customers in connection with the Program shall comply with Applicable Law, including but not limited to Section 5 of the Federal Trade Commission Act and BSA/AML, Truth in Lending Act, Equal Credit Opportunity Act, Fair Credit Reporting Act, Fair Debt Collection Practices Act, Gramm-Leach-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23" w:right="339" w:bottom="1440" w:gutter="0" w:footer="0" w:header="0"/>
        </w:sectPr>
      </w:pPr>
    </w:p>
    <w:bookmarkStart w:id="516" w:name="page517"/>
    <w:bookmarkEnd w:id="516"/>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22"/>
          <w:szCs w:val="22"/>
          <w:color w:val="auto"/>
        </w:rPr>
        <w:t>Bliley Act, UDAAP, Servicemembers Civil Relief Act, Military Lending Act, and any regulations thereunder, as may be applicable.</w:t>
      </w:r>
    </w:p>
    <w:p>
      <w:pPr>
        <w:spacing w:after="0" w:line="172" w:lineRule="exact"/>
        <w:rPr>
          <w:sz w:val="20"/>
          <w:szCs w:val="20"/>
          <w:color w:val="auto"/>
        </w:rPr>
      </w:pPr>
    </w:p>
    <w:p>
      <w:pPr>
        <w:ind w:left="1300" w:hanging="644"/>
        <w:spacing w:after="0" w:line="237" w:lineRule="auto"/>
        <w:tabs>
          <w:tab w:leader="none" w:pos="1169" w:val="left"/>
        </w:tabs>
        <w:numPr>
          <w:ilvl w:val="0"/>
          <w:numId w:val="3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Client (or its Bank-approved Subcontractor) receives a complaint in any form from an Applicant, Customer, or non-Customer in connection with the Program, and such complaint is addressed to Client, then Client shall resolve all such complaints pursuant to the Customer Complaint Guidelines set forth in </w:t>
      </w:r>
      <w:r>
        <w:rPr>
          <w:rFonts w:ascii="Times New Roman" w:cs="Times New Roman" w:eastAsia="Times New Roman" w:hAnsi="Times New Roman"/>
          <w:sz w:val="22"/>
          <w:szCs w:val="22"/>
          <w:b w:val="1"/>
          <w:bCs w:val="1"/>
          <w:color w:val="auto"/>
        </w:rPr>
        <w:t>Schedule G.</w:t>
      </w:r>
      <w:r>
        <w:rPr>
          <w:rFonts w:ascii="Times New Roman" w:cs="Times New Roman" w:eastAsia="Times New Roman" w:hAnsi="Times New Roman"/>
          <w:sz w:val="22"/>
          <w:szCs w:val="22"/>
          <w:color w:val="auto"/>
        </w:rPr>
        <w:t xml:space="preserve"> Client may propose specific exceptions from the Customer Complaint Guidelines, which the Bank shall consider in good-faith. Bank may approve or decline any such proposed exceptions in its sole reasonable discretion, and Bank’s decision shall be communicated to Client in writing. In the event that Client (or its Bank-approved subcontractor) receives a complaint in any form from an Applicant, Customer or non-Customer, and such complaint is addressed to Bank, then Client shall promptly forward such complaint to Bank for Bank’s handling and response. Each Party shall provide reasonable cooperation to the other Party in the resolution of all Customer and non-Customer complaints received in connection with the Program, including, but not limited to, in assessing and evaluating the frequency, nature or underlying causes for any complaints or inquiries received from Applicants, Customers and non-Customers.</w:t>
      </w:r>
    </w:p>
    <w:p>
      <w:pPr>
        <w:spacing w:after="0" w:line="188" w:lineRule="exact"/>
        <w:rPr>
          <w:rFonts w:ascii="Times New Roman" w:cs="Times New Roman" w:eastAsia="Times New Roman" w:hAnsi="Times New Roman"/>
          <w:sz w:val="22"/>
          <w:szCs w:val="22"/>
          <w:color w:val="auto"/>
        </w:rPr>
      </w:pPr>
    </w:p>
    <w:p>
      <w:pPr>
        <w:ind w:left="1300" w:hanging="644"/>
        <w:spacing w:after="0" w:line="239" w:lineRule="auto"/>
        <w:tabs>
          <w:tab w:leader="none" w:pos="1175" w:val="left"/>
        </w:tabs>
        <w:numPr>
          <w:ilvl w:val="0"/>
          <w:numId w:val="3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Client agrees that in the event that Client (or its Bank-approved subcontractor) receives an oral or written dispute from an Applicant or Customer regarding an Application or Credit Builder Account (including, but not limited to, claims related to identity theft, unauthorized use, a Customer’s assertion against Bank of any claims and defenses arising out of a Card transaction that such Customer may have against a merchant (as set forth in 12 CFR 1026.12(c)), or a Customer’s assertion of a “billing error” (as defined in 12 CFR 1026.13), Client shall resolve such dispute in accordance with Applicable Law (including, but not limited to, Regulation Z) and the Customer Complaint Guidelines. Client shall retain all dispute-related information and shall provide the same to Bank as it may reasonably request from time to time. To the extent that Bank responds to any such dispute, Client shall use reasonable efforts to cooperate with Bank in the reasonable resolution of any disputes, all in accordance with Applicable Law.</w:t>
      </w:r>
    </w:p>
    <w:p>
      <w:pPr>
        <w:spacing w:after="0" w:line="180" w:lineRule="exact"/>
        <w:rPr>
          <w:rFonts w:ascii="Times New Roman" w:cs="Times New Roman" w:eastAsia="Times New Roman" w:hAnsi="Times New Roman"/>
          <w:sz w:val="22"/>
          <w:szCs w:val="22"/>
          <w:color w:val="auto"/>
        </w:rPr>
      </w:pPr>
    </w:p>
    <w:p>
      <w:pPr>
        <w:jc w:val="both"/>
        <w:ind w:left="1300" w:hanging="644"/>
        <w:spacing w:after="0" w:line="241" w:lineRule="auto"/>
        <w:tabs>
          <w:tab w:leader="none" w:pos="1242" w:val="left"/>
        </w:tabs>
        <w:numPr>
          <w:ilvl w:val="0"/>
          <w:numId w:val="3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Regulation E is applicable to the Secured Account, Client agrees that in the event it or any Subcontractor receives from a Customer an oral or written notice of “error” (as defined in Regulation E) in connection with the Secured Account, Client will promptly respond to such inquiries in accordance with the terms of the Account Agreement and Applicable Law. Client shall retain all error-related information and shall provide the same to Bank as it may reasonably request from time to time. To the extent Bank responds to any such errors, Client shall use reasonable efforts to cooperate with Bank in the reasonable resolution of any Customer-reported error, all in accordance with Applicable Law.</w:t>
      </w:r>
    </w:p>
    <w:p>
      <w:pPr>
        <w:spacing w:after="0" w:line="175" w:lineRule="exact"/>
        <w:rPr>
          <w:sz w:val="20"/>
          <w:szCs w:val="20"/>
          <w:color w:val="auto"/>
        </w:rPr>
      </w:pPr>
    </w:p>
    <w:p>
      <w:pPr>
        <w:ind w:left="540" w:hanging="647"/>
        <w:spacing w:after="0" w:line="271" w:lineRule="auto"/>
        <w:tabs>
          <w:tab w:leader="none" w:pos="520" w:val="left"/>
        </w:tabs>
        <w:rPr>
          <w:sz w:val="20"/>
          <w:szCs w:val="20"/>
          <w:color w:val="auto"/>
        </w:rPr>
      </w:pPr>
      <w:r>
        <w:rPr>
          <w:rFonts w:ascii="Times New Roman" w:cs="Times New Roman" w:eastAsia="Times New Roman" w:hAnsi="Times New Roman"/>
          <w:sz w:val="22"/>
          <w:szCs w:val="22"/>
          <w:b w:val="1"/>
          <w:bCs w:val="1"/>
          <w:color w:val="auto"/>
        </w:rPr>
        <w:t>4.3</w:t>
      </w:r>
      <w:r>
        <w:rPr>
          <w:sz w:val="20"/>
          <w:szCs w:val="20"/>
          <w:color w:val="auto"/>
        </w:rPr>
        <w:tab/>
      </w:r>
      <w:r>
        <w:rPr>
          <w:rFonts w:ascii="Times New Roman" w:cs="Times New Roman" w:eastAsia="Times New Roman" w:hAnsi="Times New Roman"/>
          <w:sz w:val="22"/>
          <w:szCs w:val="22"/>
          <w:u w:val="single" w:color="auto"/>
          <w:color w:val="auto"/>
        </w:rPr>
        <w:t>Credit Reporting</w:t>
      </w:r>
      <w:r>
        <w:rPr>
          <w:rFonts w:ascii="Times New Roman" w:cs="Times New Roman" w:eastAsia="Times New Roman" w:hAnsi="Times New Roman"/>
          <w:sz w:val="22"/>
          <w:szCs w:val="22"/>
          <w:color w:val="auto"/>
        </w:rPr>
        <w:t>. Client agrees to accurately furnish certain information regarding Applicants or Credit Card Accounts to</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Consumer Reporting Agencies (as that term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23" w:right="339" w:bottom="1440" w:gutter="0" w:footer="0" w:header="0"/>
        </w:sectPr>
      </w:pPr>
    </w:p>
    <w:bookmarkStart w:id="517" w:name="page518"/>
    <w:bookmarkEnd w:id="517"/>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660"/>
        <w:spacing w:after="0" w:line="238" w:lineRule="auto"/>
        <w:rPr>
          <w:sz w:val="20"/>
          <w:szCs w:val="20"/>
          <w:color w:val="auto"/>
        </w:rPr>
      </w:pPr>
      <w:r>
        <w:rPr>
          <w:rFonts w:ascii="Times New Roman" w:cs="Times New Roman" w:eastAsia="Times New Roman" w:hAnsi="Times New Roman"/>
          <w:sz w:val="22"/>
          <w:szCs w:val="22"/>
          <w:color w:val="auto"/>
        </w:rPr>
        <w:t>defined by the Fair Credit Reporting Act) (“</w:t>
      </w:r>
      <w:r>
        <w:rPr>
          <w:rFonts w:ascii="Times New Roman" w:cs="Times New Roman" w:eastAsia="Times New Roman" w:hAnsi="Times New Roman"/>
          <w:sz w:val="22"/>
          <w:szCs w:val="22"/>
          <w:b w:val="1"/>
          <w:bCs w:val="1"/>
          <w:color w:val="auto"/>
        </w:rPr>
        <w:t>CRA’s</w:t>
      </w:r>
      <w:r>
        <w:rPr>
          <w:rFonts w:ascii="Times New Roman" w:cs="Times New Roman" w:eastAsia="Times New Roman" w:hAnsi="Times New Roman"/>
          <w:sz w:val="22"/>
          <w:szCs w:val="22"/>
          <w:color w:val="auto"/>
        </w:rPr>
        <w:t>”) on behalf of Bank, with such CRA’s approved in writing by Bank. Client shall promptly respond to Applicant or Borrower disputes of Application or Credit Card Account information furnished by Client to CRA’s, which are received either from a CRA or from an Applicant or Customer directly, in accordance with Applicable Law (including, but not limited to, the Fair Credit Reporting Act). In the event that such dispute identifies any errors associated with the information furnished by Client to CRA’s regarding an Application or Credit Card Account, Client shall promptly correct such error with the CRA’s in accordance with Applicable Law. Between Client and Bank, Client shall be responsible for establishing a contractual relationship with each of the CRA’s to which Application or Credit Card Account information shall be furnished by Client. Client’s policies and procedures governing the furnishing of Application or Credit Card Account information to CRA’s, and the processing of disputes related to such furnishing of Application or Credit Card Account information to CRA’s, shall be subject to Bank’s prior written approval.</w:t>
      </w:r>
    </w:p>
    <w:p>
      <w:pPr>
        <w:spacing w:after="0" w:line="183" w:lineRule="exact"/>
        <w:rPr>
          <w:sz w:val="20"/>
          <w:szCs w:val="20"/>
          <w:color w:val="auto"/>
        </w:rPr>
      </w:pPr>
    </w:p>
    <w:p>
      <w:pPr>
        <w:jc w:val="both"/>
        <w:ind w:left="520" w:hanging="647"/>
        <w:spacing w:after="0" w:line="244" w:lineRule="auto"/>
        <w:tabs>
          <w:tab w:leader="none" w:pos="500" w:val="left"/>
        </w:tabs>
        <w:rPr>
          <w:sz w:val="20"/>
          <w:szCs w:val="20"/>
          <w:color w:val="auto"/>
        </w:rPr>
      </w:pPr>
      <w:r>
        <w:rPr>
          <w:rFonts w:ascii="Times New Roman" w:cs="Times New Roman" w:eastAsia="Times New Roman" w:hAnsi="Times New Roman"/>
          <w:sz w:val="22"/>
          <w:szCs w:val="22"/>
          <w:b w:val="1"/>
          <w:bCs w:val="1"/>
          <w:color w:val="auto"/>
        </w:rPr>
        <w:t>4.4</w:t>
      </w:r>
      <w:r>
        <w:rPr>
          <w:sz w:val="20"/>
          <w:szCs w:val="20"/>
          <w:color w:val="auto"/>
        </w:rPr>
        <w:tab/>
      </w:r>
      <w:r>
        <w:rPr>
          <w:rFonts w:ascii="Times New Roman" w:cs="Times New Roman" w:eastAsia="Times New Roman" w:hAnsi="Times New Roman"/>
          <w:sz w:val="22"/>
          <w:szCs w:val="22"/>
          <w:u w:val="single" w:color="auto"/>
          <w:color w:val="auto"/>
        </w:rPr>
        <w:t>Debt Collection</w:t>
      </w:r>
      <w:r>
        <w:rPr>
          <w:rFonts w:ascii="Times New Roman" w:cs="Times New Roman" w:eastAsia="Times New Roman" w:hAnsi="Times New Roman"/>
          <w:sz w:val="22"/>
          <w:szCs w:val="22"/>
          <w:color w:val="auto"/>
        </w:rPr>
        <w:t>. Client and its Affiliates and/or third-party service providers shall be responsible for all obligations related</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to performing collections activity on past due Credit Card Accounts. Such debt collection activity shall be conducted in accordance with Applicable Law, and Client’s policies and procedures under which it will conduct such debt collection activity shall be subject to Bank’s prior written approval.</w:t>
      </w:r>
    </w:p>
    <w:p>
      <w:pPr>
        <w:spacing w:after="0" w:line="186" w:lineRule="exact"/>
        <w:rPr>
          <w:sz w:val="20"/>
          <w:szCs w:val="20"/>
          <w:color w:val="auto"/>
        </w:rPr>
      </w:pPr>
    </w:p>
    <w:p>
      <w:pPr>
        <w:jc w:val="both"/>
        <w:ind w:left="560" w:hanging="647"/>
        <w:spacing w:after="0" w:line="237" w:lineRule="auto"/>
        <w:tabs>
          <w:tab w:leader="none" w:pos="540" w:val="left"/>
        </w:tabs>
        <w:rPr>
          <w:sz w:val="20"/>
          <w:szCs w:val="20"/>
          <w:color w:val="auto"/>
        </w:rPr>
      </w:pPr>
      <w:r>
        <w:rPr>
          <w:rFonts w:ascii="Times New Roman" w:cs="Times New Roman" w:eastAsia="Times New Roman" w:hAnsi="Times New Roman"/>
          <w:sz w:val="22"/>
          <w:szCs w:val="22"/>
          <w:b w:val="1"/>
          <w:bCs w:val="1"/>
          <w:color w:val="auto"/>
        </w:rPr>
        <w:t>4.5</w:t>
      </w:r>
      <w:r>
        <w:rPr>
          <w:sz w:val="20"/>
          <w:szCs w:val="20"/>
          <w:color w:val="auto"/>
        </w:rPr>
        <w:tab/>
      </w:r>
      <w:r>
        <w:rPr>
          <w:rFonts w:ascii="Times New Roman" w:cs="Times New Roman" w:eastAsia="Times New Roman" w:hAnsi="Times New Roman"/>
          <w:sz w:val="22"/>
          <w:szCs w:val="22"/>
          <w:u w:val="single" w:color="auto"/>
          <w:color w:val="auto"/>
        </w:rPr>
        <w:t>Processing Services</w:t>
      </w:r>
      <w:r>
        <w:rPr>
          <w:rFonts w:ascii="Times New Roman" w:cs="Times New Roman" w:eastAsia="Times New Roman" w:hAnsi="Times New Roman"/>
          <w:sz w:val="22"/>
          <w:szCs w:val="22"/>
          <w:color w:val="auto"/>
        </w:rPr>
        <w:t>. Unless otherwise agreed or amended by the provisions of any Program Authorization Letter, Client</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shall ensure that the Processing Services are provided in accordance with the minimum Service Levels. Client shall contract with a Processor approved in writing by Bank (through a “</w:t>
      </w:r>
      <w:r>
        <w:rPr>
          <w:rFonts w:ascii="Times New Roman" w:cs="Times New Roman" w:eastAsia="Times New Roman" w:hAnsi="Times New Roman"/>
          <w:sz w:val="22"/>
          <w:szCs w:val="22"/>
          <w:b w:val="1"/>
          <w:bCs w:val="1"/>
          <w:color w:val="auto"/>
        </w:rPr>
        <w:t>Processor Agreement</w:t>
      </w:r>
      <w:r>
        <w:rPr>
          <w:rFonts w:ascii="Times New Roman" w:cs="Times New Roman" w:eastAsia="Times New Roman" w:hAnsi="Times New Roman"/>
          <w:sz w:val="22"/>
          <w:szCs w:val="22"/>
          <w:color w:val="auto"/>
        </w:rPr>
        <w:t>”) for purposes of providing Processing Services. Such Processor Agreement shall specifically provide that Bank, Client and Processor shall enter into a tri-party agreement whereby Bank shall be entitled to rely upon and enforce as a third party beneficiary the provisions of the Processing Agreement in the event of a breach of this Agreement by Client. The Processor Agreement shall entitle Bank to directly receive all Customer data and those reports provided by Processor to Client as well as any additional reports that the Bank may reasonably request from time to time. In no event may Client materially alter, change, amend, or otherwise terminate any contractual relationship with Processor without the consent of Bank. Any and all Processor Agreements shall include a service level agreement requiring that the Processing Services be provided in a professional manner in accordance with industry standards and, further, providing for appropriate monitoring, [***] reporting, and penalties for performance outside of parameters specified by Bank. Notwithstanding the foregoing, pursuant to Section 3.8 of the Agreement, Client may directly perform any Processing Services related to this Addendum, subject to Bank’s prior written approval. In the event that Client directly performs such Processing Services, the Parties shall negotiate in good faith any additional agreement required to facilitate such Processing Services, prior to Client commencing such services directly.</w:t>
      </w:r>
    </w:p>
    <w:p>
      <w:pPr>
        <w:spacing w:after="0" w:line="188" w:lineRule="exact"/>
        <w:rPr>
          <w:sz w:val="20"/>
          <w:szCs w:val="20"/>
          <w:color w:val="auto"/>
        </w:rPr>
      </w:pPr>
    </w:p>
    <w:p>
      <w:pPr>
        <w:jc w:val="both"/>
        <w:ind w:left="620" w:right="20" w:hanging="647"/>
        <w:spacing w:after="0" w:line="271" w:lineRule="auto"/>
        <w:tabs>
          <w:tab w:leader="none" w:pos="600" w:val="left"/>
        </w:tabs>
        <w:rPr>
          <w:sz w:val="20"/>
          <w:szCs w:val="20"/>
          <w:color w:val="auto"/>
        </w:rPr>
      </w:pPr>
      <w:r>
        <w:rPr>
          <w:rFonts w:ascii="Times New Roman" w:cs="Times New Roman" w:eastAsia="Times New Roman" w:hAnsi="Times New Roman"/>
          <w:sz w:val="22"/>
          <w:szCs w:val="22"/>
          <w:b w:val="1"/>
          <w:bCs w:val="1"/>
          <w:color w:val="auto"/>
        </w:rPr>
        <w:t>4.6</w:t>
      </w:r>
      <w:r>
        <w:rPr>
          <w:sz w:val="20"/>
          <w:szCs w:val="20"/>
          <w:color w:val="auto"/>
        </w:rPr>
        <w:tab/>
      </w:r>
      <w:r>
        <w:rPr>
          <w:rFonts w:ascii="Times New Roman" w:cs="Times New Roman" w:eastAsia="Times New Roman" w:hAnsi="Times New Roman"/>
          <w:sz w:val="22"/>
          <w:szCs w:val="22"/>
          <w:u w:val="single" w:color="auto"/>
          <w:color w:val="auto"/>
        </w:rPr>
        <w:t>Processor System Service Interruptions</w:t>
      </w:r>
      <w:r>
        <w:rPr>
          <w:rFonts w:ascii="Times New Roman" w:cs="Times New Roman" w:eastAsia="Times New Roman" w:hAnsi="Times New Roman"/>
          <w:sz w:val="22"/>
          <w:szCs w:val="22"/>
          <w:color w:val="auto"/>
        </w:rPr>
        <w:t>. In the event that Processor experiences any Service Interruption, Client shall</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inform Bank of such Service Interruption within twenty-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23" w:right="339" w:bottom="1440" w:gutter="0" w:footer="0" w:header="0"/>
        </w:sectPr>
      </w:pPr>
    </w:p>
    <w:bookmarkStart w:id="518" w:name="page519"/>
    <w:bookmarkEnd w:id="518"/>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660"/>
        <w:spacing w:after="0" w:line="238" w:lineRule="auto"/>
        <w:rPr>
          <w:sz w:val="20"/>
          <w:szCs w:val="20"/>
          <w:color w:val="auto"/>
        </w:rPr>
      </w:pPr>
      <w:r>
        <w:rPr>
          <w:rFonts w:ascii="Times New Roman" w:cs="Times New Roman" w:eastAsia="Times New Roman" w:hAnsi="Times New Roman"/>
          <w:sz w:val="22"/>
          <w:szCs w:val="22"/>
          <w:color w:val="auto"/>
        </w:rPr>
        <w:t>four hours of Client’s discovery. Client shall make commercially reasonable efforts to resolve the Service Interruption as promptly as possible, in addition to taking all reasonable actions to remediate the root cause of the Service Interruption, and will provide Bank with bi-hourly updates until the Service Interruption is resolved. Client shall perform a root cause analysis of the Service Interruption and provide Bank a report detailing the root cause analysis and the actions taken by Client to resolve the Service Interruption within [***] of resolving the Service Interruption. Bank reserves the right to perform an audit of the Service Interruption, Client’s resolution and remediation of the root cause of the Service Interruption, and Client’s communication with Bank throughout the Service Interruption, which shall not be subject to the audit frequency limitations of Section 3.10(c) of the Agreement. Failure to adhere to any of the requirements in this Section 4.6 shall be subject to termination of the Agreement or this Addendum by Bank.</w:t>
      </w:r>
    </w:p>
    <w:p>
      <w:pPr>
        <w:spacing w:after="0" w:line="195" w:lineRule="exact"/>
        <w:rPr>
          <w:sz w:val="20"/>
          <w:szCs w:val="20"/>
          <w:color w:val="auto"/>
        </w:rPr>
      </w:pPr>
    </w:p>
    <w:p>
      <w:pPr>
        <w:jc w:val="both"/>
        <w:ind w:left="520" w:hanging="647"/>
        <w:spacing w:after="0"/>
        <w:tabs>
          <w:tab w:leader="none" w:pos="500" w:val="left"/>
        </w:tabs>
        <w:rPr>
          <w:sz w:val="20"/>
          <w:szCs w:val="20"/>
          <w:color w:val="auto"/>
        </w:rPr>
      </w:pPr>
      <w:r>
        <w:rPr>
          <w:rFonts w:ascii="Times New Roman" w:cs="Times New Roman" w:eastAsia="Times New Roman" w:hAnsi="Times New Roman"/>
          <w:sz w:val="22"/>
          <w:szCs w:val="22"/>
          <w:b w:val="1"/>
          <w:bCs w:val="1"/>
          <w:color w:val="auto"/>
        </w:rPr>
        <w:t>4.7</w:t>
      </w:r>
      <w:r>
        <w:rPr>
          <w:sz w:val="20"/>
          <w:szCs w:val="20"/>
          <w:color w:val="auto"/>
        </w:rPr>
        <w:tab/>
      </w:r>
      <w:r>
        <w:rPr>
          <w:rFonts w:ascii="Times New Roman" w:cs="Times New Roman" w:eastAsia="Times New Roman" w:hAnsi="Times New Roman"/>
          <w:sz w:val="22"/>
          <w:szCs w:val="22"/>
          <w:u w:val="single" w:color="auto"/>
          <w:color w:val="auto"/>
        </w:rPr>
        <w:t>No Extensions of Credit Exceeding Secured Account Balance</w:t>
      </w:r>
      <w:r>
        <w:rPr>
          <w:rFonts w:ascii="Times New Roman" w:cs="Times New Roman" w:eastAsia="Times New Roman" w:hAnsi="Times New Roman"/>
          <w:sz w:val="22"/>
          <w:szCs w:val="22"/>
          <w:color w:val="auto"/>
        </w:rPr>
        <w:t>. Client or Processor shall not authorize any Card transaction</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for any Customer which would result in Customer’s Credit Card Account balance (including, but not limited to, Bank’s aggregate outstanding extensions of credit to Customer under the Program, accrued finance charges, accrued penalty fees and/or any other accrued Credit Card Account fees) to exceed the deposit amount in such Customer’s Secured Account and, as applicable, the available credit in the Line of Credit Account.</w:t>
      </w:r>
    </w:p>
    <w:p>
      <w:pPr>
        <w:spacing w:after="0" w:line="180" w:lineRule="exact"/>
        <w:rPr>
          <w:sz w:val="20"/>
          <w:szCs w:val="20"/>
          <w:color w:val="auto"/>
        </w:rPr>
      </w:pPr>
    </w:p>
    <w:p>
      <w:pPr>
        <w:jc w:val="both"/>
        <w:ind w:left="620" w:hanging="647"/>
        <w:spacing w:after="0" w:line="241" w:lineRule="auto"/>
        <w:tabs>
          <w:tab w:leader="none" w:pos="600" w:val="left"/>
        </w:tabs>
        <w:rPr>
          <w:sz w:val="20"/>
          <w:szCs w:val="20"/>
          <w:color w:val="auto"/>
        </w:rPr>
      </w:pPr>
      <w:r>
        <w:rPr>
          <w:rFonts w:ascii="Times New Roman" w:cs="Times New Roman" w:eastAsia="Times New Roman" w:hAnsi="Times New Roman"/>
          <w:sz w:val="22"/>
          <w:szCs w:val="22"/>
          <w:b w:val="1"/>
          <w:bCs w:val="1"/>
          <w:color w:val="auto"/>
        </w:rPr>
        <w:t>4.8</w:t>
      </w:r>
      <w:r>
        <w:rPr>
          <w:sz w:val="20"/>
          <w:szCs w:val="20"/>
          <w:color w:val="auto"/>
        </w:rPr>
        <w:tab/>
      </w:r>
      <w:r>
        <w:rPr>
          <w:rFonts w:ascii="Times New Roman" w:cs="Times New Roman" w:eastAsia="Times New Roman" w:hAnsi="Times New Roman"/>
          <w:sz w:val="22"/>
          <w:szCs w:val="22"/>
          <w:u w:val="single" w:color="auto"/>
          <w:color w:val="auto"/>
        </w:rPr>
        <w:t>Application Fraud</w:t>
      </w:r>
      <w:r>
        <w:rPr>
          <w:rFonts w:ascii="Times New Roman" w:cs="Times New Roman" w:eastAsia="Times New Roman" w:hAnsi="Times New Roman"/>
          <w:sz w:val="22"/>
          <w:szCs w:val="22"/>
          <w:color w:val="auto"/>
        </w:rPr>
        <w:t>. Client agrees that it shall be responsible for, and liable to Bank, for all losses arising out of any</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fraudulent Application, up to and including the full amount of any credit extended by Bank in connection such fraudulent Application. Client further agrees that it shall be responsible for, and liable to Bank, for claims from a consumer related to any fraudulent Application submitted on their behalf, except to the extent such claim arise out of Bank’s (i) error or omission, gross negligence, willful misconduct or bad faith, or (ii) the failure of Bank to comply with, or to perform its obligations under, this Agreement.</w:t>
      </w:r>
    </w:p>
    <w:p>
      <w:pPr>
        <w:spacing w:after="0" w:line="190" w:lineRule="exact"/>
        <w:rPr>
          <w:sz w:val="20"/>
          <w:szCs w:val="20"/>
          <w:color w:val="auto"/>
        </w:rPr>
      </w:pPr>
    </w:p>
    <w:p>
      <w:pPr>
        <w:jc w:val="both"/>
        <w:ind w:left="500" w:hanging="647"/>
        <w:spacing w:after="0" w:line="241" w:lineRule="auto"/>
        <w:tabs>
          <w:tab w:leader="none" w:pos="480" w:val="left"/>
        </w:tabs>
        <w:rPr>
          <w:sz w:val="20"/>
          <w:szCs w:val="20"/>
          <w:color w:val="auto"/>
        </w:rPr>
      </w:pPr>
      <w:r>
        <w:rPr>
          <w:rFonts w:ascii="Times New Roman" w:cs="Times New Roman" w:eastAsia="Times New Roman" w:hAnsi="Times New Roman"/>
          <w:sz w:val="22"/>
          <w:szCs w:val="22"/>
          <w:b w:val="1"/>
          <w:bCs w:val="1"/>
          <w:color w:val="auto"/>
        </w:rPr>
        <w:t>4.9</w:t>
      </w:r>
      <w:r>
        <w:rPr>
          <w:sz w:val="20"/>
          <w:szCs w:val="20"/>
          <w:color w:val="auto"/>
        </w:rPr>
        <w:tab/>
      </w:r>
      <w:r>
        <w:rPr>
          <w:rFonts w:ascii="Times New Roman" w:cs="Times New Roman" w:eastAsia="Times New Roman" w:hAnsi="Times New Roman"/>
          <w:sz w:val="22"/>
          <w:szCs w:val="22"/>
          <w:u w:val="single" w:color="auto"/>
          <w:color w:val="auto"/>
        </w:rPr>
        <w:t>Negative Balances, Customer Fraud and Fraud Recovery</w:t>
      </w:r>
      <w:r>
        <w:rPr>
          <w:rFonts w:ascii="Times New Roman" w:cs="Times New Roman" w:eastAsia="Times New Roman" w:hAnsi="Times New Roman"/>
          <w:sz w:val="22"/>
          <w:szCs w:val="22"/>
          <w:color w:val="auto"/>
        </w:rPr>
        <w:t>. Client agrees that it shall be responsible for and liable to Bank for</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all negative balances and expenses associated with, and any direct or indirect losses incurred from, unauthorized transactions, chargebacks, force posted transactions, fraud, or Bank’s efforts at recovery under Applicable Law in connection with a Credit Builder Account or Card. The Parties shall cooperate fully with one another’s efforts and engage in any commercially reasonable efforts to locate and prosecute the perpetrator of any such unauthorized activity or fraud. The Party initiating such efforts shall bear the costs thereof.</w:t>
      </w:r>
    </w:p>
    <w:p>
      <w:pPr>
        <w:spacing w:after="0" w:line="177" w:lineRule="exact"/>
        <w:rPr>
          <w:sz w:val="20"/>
          <w:szCs w:val="20"/>
          <w:color w:val="auto"/>
        </w:rPr>
      </w:pPr>
    </w:p>
    <w:p>
      <w:pPr>
        <w:ind w:left="380" w:hanging="372"/>
        <w:spacing w:after="0"/>
        <w:tabs>
          <w:tab w:leader="none" w:pos="380" w:val="left"/>
        </w:tabs>
        <w:numPr>
          <w:ilvl w:val="0"/>
          <w:numId w:val="3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DISTRIBUTION OF CARDS AND CUSTOMER DISCLOSURES</w:t>
      </w:r>
    </w:p>
    <w:p>
      <w:pPr>
        <w:spacing w:after="0" w:line="220" w:lineRule="exact"/>
        <w:rPr>
          <w:sz w:val="20"/>
          <w:szCs w:val="20"/>
          <w:color w:val="auto"/>
        </w:rPr>
      </w:pPr>
    </w:p>
    <w:p>
      <w:pPr>
        <w:jc w:val="both"/>
        <w:ind w:left="520" w:hanging="647"/>
        <w:spacing w:after="0" w:line="244" w:lineRule="auto"/>
        <w:tabs>
          <w:tab w:leader="none" w:pos="500" w:val="left"/>
        </w:tabs>
        <w:rPr>
          <w:sz w:val="20"/>
          <w:szCs w:val="20"/>
          <w:color w:val="auto"/>
        </w:rPr>
      </w:pPr>
      <w:r>
        <w:rPr>
          <w:rFonts w:ascii="Times New Roman" w:cs="Times New Roman" w:eastAsia="Times New Roman" w:hAnsi="Times New Roman"/>
          <w:sz w:val="22"/>
          <w:szCs w:val="22"/>
          <w:b w:val="1"/>
          <w:bCs w:val="1"/>
          <w:color w:val="auto"/>
        </w:rPr>
        <w:t>5.1</w:t>
      </w:r>
      <w:r>
        <w:rPr>
          <w:sz w:val="20"/>
          <w:szCs w:val="20"/>
          <w:color w:val="auto"/>
        </w:rPr>
        <w:tab/>
      </w:r>
      <w:r>
        <w:rPr>
          <w:rFonts w:ascii="Times New Roman" w:cs="Times New Roman" w:eastAsia="Times New Roman" w:hAnsi="Times New Roman"/>
          <w:sz w:val="22"/>
          <w:szCs w:val="22"/>
          <w:u w:val="single" w:color="auto"/>
          <w:color w:val="auto"/>
        </w:rPr>
        <w:t xml:space="preserve">Card Production: </w:t>
      </w:r>
      <w:r>
        <w:rPr>
          <w:rFonts w:ascii="Times New Roman" w:cs="Times New Roman" w:eastAsia="Times New Roman" w:hAnsi="Times New Roman"/>
          <w:sz w:val="22"/>
          <w:szCs w:val="22"/>
          <w:color w:val="auto"/>
        </w:rPr>
        <w:t>Client shall be responsible for, including all expenses associated with, the manufacturing and printing of</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all Cards and the applicable Customer Disclosures as approved by Bank from time to time. All such Cards and Customer Disclosures shall comply with Applicable Law and identify Bank as issuer. Any design for Cards and Customer Disclosures shall be subject to Bank’s prior approval, which shall not be unreasonably withheld or delayed.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23" w:right="339" w:bottom="1440" w:gutter="0" w:footer="0" w:header="0"/>
        </w:sectPr>
      </w:pPr>
    </w:p>
    <w:bookmarkStart w:id="519" w:name="page520"/>
    <w:bookmarkEnd w:id="519"/>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left="540" w:hanging="647"/>
        <w:spacing w:after="0" w:line="268" w:lineRule="auto"/>
        <w:tabs>
          <w:tab w:leader="none" w:pos="520" w:val="left"/>
        </w:tabs>
        <w:rPr>
          <w:sz w:val="20"/>
          <w:szCs w:val="20"/>
          <w:color w:val="auto"/>
        </w:rPr>
      </w:pPr>
      <w:r>
        <w:rPr>
          <w:rFonts w:ascii="Times New Roman" w:cs="Times New Roman" w:eastAsia="Times New Roman" w:hAnsi="Times New Roman"/>
          <w:sz w:val="22"/>
          <w:szCs w:val="22"/>
          <w:b w:val="1"/>
          <w:bCs w:val="1"/>
          <w:color w:val="auto"/>
        </w:rPr>
        <w:t>5.2</w:t>
      </w:r>
      <w:r>
        <w:rPr>
          <w:sz w:val="20"/>
          <w:szCs w:val="20"/>
          <w:color w:val="auto"/>
        </w:rPr>
        <w:tab/>
      </w:r>
      <w:r>
        <w:rPr>
          <w:rFonts w:ascii="Times New Roman" w:cs="Times New Roman" w:eastAsia="Times New Roman" w:hAnsi="Times New Roman"/>
          <w:sz w:val="21"/>
          <w:szCs w:val="21"/>
          <w:u w:val="single" w:color="auto"/>
          <w:color w:val="auto"/>
        </w:rPr>
        <w:t>Card Distribution</w:t>
      </w:r>
      <w:r>
        <w:rPr>
          <w:rFonts w:ascii="Times New Roman" w:cs="Times New Roman" w:eastAsia="Times New Roman" w:hAnsi="Times New Roman"/>
          <w:sz w:val="21"/>
          <w:szCs w:val="21"/>
          <w:color w:val="auto"/>
        </w:rPr>
        <w:t>. Client shall be responsible for the distribution of Cards (or Card Packs) and Customer Disclosures, as</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may be described in any Program Authorization Letter. Client shall ensure that any and all Cards are handled, shipped and distributed in accordance with Applicable Law. Client agrees that it shall implement any and all inventory management controls required by Applicable Law for any and all Cards that are maintained in its possession or in the possession of any Subcontractor. Client agrees that it will send inventory reports as may be requested by the Bank from time to time.</w:t>
      </w:r>
    </w:p>
    <w:p>
      <w:pPr>
        <w:spacing w:after="0" w:line="164" w:lineRule="exact"/>
        <w:rPr>
          <w:sz w:val="20"/>
          <w:szCs w:val="20"/>
          <w:color w:val="auto"/>
        </w:rPr>
      </w:pPr>
    </w:p>
    <w:p>
      <w:pPr>
        <w:jc w:val="both"/>
        <w:ind w:left="580" w:hanging="647"/>
        <w:spacing w:after="0" w:line="271" w:lineRule="auto"/>
        <w:tabs>
          <w:tab w:leader="none" w:pos="560" w:val="left"/>
        </w:tabs>
        <w:rPr>
          <w:sz w:val="20"/>
          <w:szCs w:val="20"/>
          <w:color w:val="auto"/>
        </w:rPr>
      </w:pPr>
      <w:r>
        <w:rPr>
          <w:rFonts w:ascii="Times New Roman" w:cs="Times New Roman" w:eastAsia="Times New Roman" w:hAnsi="Times New Roman"/>
          <w:sz w:val="22"/>
          <w:szCs w:val="22"/>
          <w:b w:val="1"/>
          <w:bCs w:val="1"/>
          <w:color w:val="auto"/>
        </w:rPr>
        <w:t>5.3</w:t>
      </w:r>
      <w:r>
        <w:rPr>
          <w:sz w:val="20"/>
          <w:szCs w:val="20"/>
          <w:color w:val="auto"/>
        </w:rPr>
        <w:tab/>
      </w:r>
      <w:r>
        <w:rPr>
          <w:rFonts w:ascii="Times New Roman" w:cs="Times New Roman" w:eastAsia="Times New Roman" w:hAnsi="Times New Roman"/>
          <w:sz w:val="22"/>
          <w:szCs w:val="22"/>
          <w:u w:val="single" w:color="auto"/>
          <w:color w:val="auto"/>
        </w:rPr>
        <w:t>Card Activation</w:t>
      </w:r>
      <w:r>
        <w:rPr>
          <w:rFonts w:ascii="Times New Roman" w:cs="Times New Roman" w:eastAsia="Times New Roman" w:hAnsi="Times New Roman"/>
          <w:sz w:val="22"/>
          <w:szCs w:val="22"/>
          <w:color w:val="auto"/>
        </w:rPr>
        <w:t>. Cards may be activated by Customers by: (i) calling an interactive voice response unit (“IVRU”), (ii)</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accessing a webpage, or (iii) as otherwise described and approved in the applicable Program Authorization Letter.</w:t>
      </w:r>
    </w:p>
    <w:p>
      <w:pPr>
        <w:spacing w:after="0" w:line="158" w:lineRule="exact"/>
        <w:rPr>
          <w:sz w:val="20"/>
          <w:szCs w:val="20"/>
          <w:color w:val="auto"/>
        </w:rPr>
      </w:pPr>
    </w:p>
    <w:p>
      <w:pPr>
        <w:jc w:val="both"/>
        <w:ind w:left="540" w:hanging="647"/>
        <w:spacing w:after="0" w:line="253" w:lineRule="auto"/>
        <w:tabs>
          <w:tab w:leader="none" w:pos="520" w:val="left"/>
        </w:tabs>
        <w:rPr>
          <w:sz w:val="20"/>
          <w:szCs w:val="20"/>
          <w:color w:val="auto"/>
        </w:rPr>
      </w:pPr>
      <w:r>
        <w:rPr>
          <w:rFonts w:ascii="Times New Roman" w:cs="Times New Roman" w:eastAsia="Times New Roman" w:hAnsi="Times New Roman"/>
          <w:sz w:val="22"/>
          <w:szCs w:val="22"/>
          <w:b w:val="1"/>
          <w:bCs w:val="1"/>
          <w:color w:val="auto"/>
        </w:rPr>
        <w:t>5.4</w:t>
      </w:r>
      <w:r>
        <w:rPr>
          <w:sz w:val="20"/>
          <w:szCs w:val="20"/>
          <w:color w:val="auto"/>
        </w:rPr>
        <w:tab/>
      </w:r>
      <w:r>
        <w:rPr>
          <w:rFonts w:ascii="Times New Roman" w:cs="Times New Roman" w:eastAsia="Times New Roman" w:hAnsi="Times New Roman"/>
          <w:sz w:val="22"/>
          <w:szCs w:val="22"/>
          <w:u w:val="single" w:color="auto"/>
          <w:color w:val="auto"/>
        </w:rPr>
        <w:t>Modifications</w:t>
      </w:r>
      <w:r>
        <w:rPr>
          <w:rFonts w:ascii="Times New Roman" w:cs="Times New Roman" w:eastAsia="Times New Roman" w:hAnsi="Times New Roman"/>
          <w:sz w:val="22"/>
          <w:szCs w:val="22"/>
          <w:color w:val="auto"/>
        </w:rPr>
        <w:t>. In the event that Bank, in its sole discretion, determines that the Customer Disclosures do not comply with</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any Applicable Law, Client shall immediately cease delivery of such Customer Disclosures as directed by Bank. The Parties shall reasonably cooperate with one another to promptly include any amended Customer Disclosures in Card Packs, including replacing any Card Packs or printed materials with amended Customer Disclosures. Unless otherwise agreed, all costs and expenses associated therewith shall be borne solely by Client.</w:t>
      </w:r>
    </w:p>
    <w:p>
      <w:pPr>
        <w:spacing w:after="0" w:line="179" w:lineRule="exact"/>
        <w:rPr>
          <w:sz w:val="20"/>
          <w:szCs w:val="20"/>
          <w:color w:val="auto"/>
        </w:rPr>
      </w:pPr>
    </w:p>
    <w:p>
      <w:pPr>
        <w:ind w:left="380" w:hanging="372"/>
        <w:spacing w:after="0"/>
        <w:tabs>
          <w:tab w:leader="none" w:pos="380" w:val="left"/>
        </w:tabs>
        <w:numPr>
          <w:ilvl w:val="0"/>
          <w:numId w:val="3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PROGRAM ACCOUNTING AND FLOW OF FUNDS</w:t>
      </w:r>
    </w:p>
    <w:p>
      <w:pPr>
        <w:spacing w:after="0" w:line="220" w:lineRule="exact"/>
        <w:rPr>
          <w:sz w:val="20"/>
          <w:szCs w:val="20"/>
          <w:color w:val="auto"/>
        </w:rPr>
      </w:pPr>
    </w:p>
    <w:p>
      <w:pPr>
        <w:jc w:val="both"/>
        <w:ind w:left="660" w:hanging="404"/>
        <w:spacing w:after="0" w:line="254" w:lineRule="auto"/>
        <w:rPr>
          <w:sz w:val="20"/>
          <w:szCs w:val="20"/>
          <w:color w:val="auto"/>
        </w:rPr>
      </w:pPr>
      <w:r>
        <w:rPr>
          <w:rFonts w:ascii="Times New Roman" w:cs="Times New Roman" w:eastAsia="Times New Roman" w:hAnsi="Times New Roman"/>
          <w:sz w:val="22"/>
          <w:szCs w:val="22"/>
          <w:u w:val="single" w:color="auto"/>
          <w:color w:val="auto"/>
        </w:rPr>
        <w:t>Program Accounting and Flow of Funds</w:t>
      </w:r>
      <w:r>
        <w:rPr>
          <w:rFonts w:ascii="Times New Roman" w:cs="Times New Roman" w:eastAsia="Times New Roman" w:hAnsi="Times New Roman"/>
          <w:sz w:val="22"/>
          <w:szCs w:val="22"/>
          <w:color w:val="auto"/>
        </w:rPr>
        <w:t xml:space="preserve">. All accounting processes and flow of funds shall be as further set forth in </w:t>
      </w:r>
      <w:r>
        <w:rPr>
          <w:rFonts w:ascii="Times New Roman" w:cs="Times New Roman" w:eastAsia="Times New Roman" w:hAnsi="Times New Roman"/>
          <w:sz w:val="22"/>
          <w:szCs w:val="22"/>
          <w:b w:val="1"/>
          <w:bCs w:val="1"/>
          <w:color w:val="auto"/>
        </w:rPr>
        <w:t>Schedule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F</w:t>
      </w:r>
      <w:r>
        <w:rPr>
          <w:rFonts w:ascii="Times New Roman" w:cs="Times New Roman" w:eastAsia="Times New Roman" w:hAnsi="Times New Roman"/>
          <w:sz w:val="22"/>
          <w:szCs w:val="22"/>
          <w:color w:val="auto"/>
        </w:rPr>
        <w:t>, or as set forth in applicable Schedules to the applicable Program Authorization Letter, and shall include, but not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limited to, delivery of Customer payments to Bank, timing of charge-off for past due Credit Card Accounts and Line of Credit Accounts, the establishment of a Client-funded reserve account at Bank and payment of charged-off Credit Card Accounts and Line of Credit Accounts by Client to Bank.</w:t>
      </w:r>
    </w:p>
    <w:p>
      <w:pPr>
        <w:spacing w:after="0" w:line="173" w:lineRule="exact"/>
        <w:rPr>
          <w:sz w:val="20"/>
          <w:szCs w:val="20"/>
          <w:color w:val="auto"/>
        </w:rPr>
      </w:pPr>
    </w:p>
    <w:p>
      <w:pPr>
        <w:ind w:left="380" w:hanging="372"/>
        <w:spacing w:after="0"/>
        <w:tabs>
          <w:tab w:leader="none" w:pos="380" w:val="left"/>
        </w:tabs>
        <w:numPr>
          <w:ilvl w:val="0"/>
          <w:numId w:val="3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CLIENT REPRESENTATION AND WARRANTIES</w:t>
      </w:r>
    </w:p>
    <w:p>
      <w:pPr>
        <w:spacing w:after="0" w:line="23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b w:val="1"/>
          <w:bCs w:val="1"/>
          <w:color w:val="auto"/>
        </w:rPr>
        <w:t>7.1.</w:t>
      </w:r>
      <w:r>
        <w:rPr>
          <w:sz w:val="20"/>
          <w:szCs w:val="20"/>
          <w:color w:val="auto"/>
        </w:rPr>
        <w:tab/>
      </w:r>
      <w:r>
        <w:rPr>
          <w:rFonts w:ascii="Times New Roman" w:cs="Times New Roman" w:eastAsia="Times New Roman" w:hAnsi="Times New Roman"/>
          <w:sz w:val="21"/>
          <w:szCs w:val="21"/>
          <w:color w:val="auto"/>
        </w:rPr>
        <w:t>Client hereby represents and warrants to Bank as of each extension of credit by Bank under this Addendum:</w:t>
      </w:r>
    </w:p>
    <w:p>
      <w:pPr>
        <w:spacing w:after="0" w:line="224" w:lineRule="exact"/>
        <w:rPr>
          <w:sz w:val="20"/>
          <w:szCs w:val="20"/>
          <w:color w:val="auto"/>
        </w:rPr>
      </w:pPr>
    </w:p>
    <w:p>
      <w:pPr>
        <w:ind w:left="1300" w:hanging="644"/>
        <w:spacing w:after="0" w:line="265" w:lineRule="auto"/>
        <w:tabs>
          <w:tab w:leader="none" w:pos="1113" w:val="left"/>
        </w:tabs>
        <w:numPr>
          <w:ilvl w:val="0"/>
          <w:numId w:val="3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each related Credit Builder Account: to the best of Client’s knowledge, all information in the related Application is true and correct; all required disclosures to Applicants and Customers have been delivered in compliance with Applicable Law; and assuming the due authorization, execution and delivery thereof by each Customer, the Account Agreement and any other Credit Builder Account documents are genuine and legally binding and enforceable, conform to the requirements of the Program and were prepared in conformity with Client’s policies and Applicable Law, with all required disclosures to Customers delivered in compliance with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23" w:right="339" w:bottom="1440" w:gutter="0" w:footer="0" w:header="0"/>
        </w:sectPr>
      </w:pPr>
    </w:p>
    <w:bookmarkStart w:id="520" w:name="page521"/>
    <w:bookmarkEnd w:id="520"/>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59" w:lineRule="exact"/>
        <w:rPr>
          <w:sz w:val="20"/>
          <w:szCs w:val="20"/>
          <w:color w:val="auto"/>
        </w:rPr>
      </w:pPr>
    </w:p>
    <w:p>
      <w:pPr>
        <w:ind w:left="9840"/>
        <w:spacing w:after="0"/>
        <w:rPr>
          <w:sz w:val="20"/>
          <w:szCs w:val="20"/>
          <w:color w:val="auto"/>
        </w:rPr>
      </w:pPr>
      <w:r>
        <w:rPr>
          <w:rFonts w:ascii="Times New Roman" w:cs="Times New Roman" w:eastAsia="Times New Roman" w:hAnsi="Times New Roman"/>
          <w:sz w:val="16"/>
          <w:szCs w:val="16"/>
          <w:b w:val="1"/>
          <w:bCs w:val="1"/>
          <w:i w:val="1"/>
          <w:i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300" w:hanging="644"/>
        <w:spacing w:after="0" w:line="256" w:lineRule="auto"/>
        <w:tabs>
          <w:tab w:leader="none" w:pos="1168" w:val="left"/>
        </w:tabs>
        <w:numPr>
          <w:ilvl w:val="1"/>
          <w:numId w:val="3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each Credit Builder Account: Client’s services with respect to such Credit Builder Account were performed in compliance with the Credit Underwriting Standards; Client used the form of Application (as amended from time to time in accordance with Section 3) approved by Bank; and such Credit Builder Account is evidenced by an Account Agreement that is in the form approved in accordance with Section 3.</w:t>
      </w:r>
    </w:p>
    <w:p>
      <w:pPr>
        <w:spacing w:after="0" w:line="176" w:lineRule="exact"/>
        <w:rPr>
          <w:rFonts w:ascii="Times New Roman" w:cs="Times New Roman" w:eastAsia="Times New Roman" w:hAnsi="Times New Roman"/>
          <w:sz w:val="22"/>
          <w:szCs w:val="22"/>
          <w:color w:val="auto"/>
        </w:rPr>
      </w:pPr>
    </w:p>
    <w:p>
      <w:pPr>
        <w:ind w:left="1300" w:hanging="644"/>
        <w:spacing w:after="0" w:line="271" w:lineRule="auto"/>
        <w:tabs>
          <w:tab w:leader="none" w:pos="1330" w:val="left"/>
        </w:tabs>
        <w:numPr>
          <w:ilvl w:val="1"/>
          <w:numId w:val="3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approved Customer is eligible for the applicable Credit Builder Account under the applicable Credit Underwriting Standards; or has otherwise been approved for a Credit Builder Account by Bank.</w:t>
      </w:r>
    </w:p>
    <w:p>
      <w:pPr>
        <w:spacing w:after="0" w:line="157" w:lineRule="exact"/>
        <w:rPr>
          <w:rFonts w:ascii="Times New Roman" w:cs="Times New Roman" w:eastAsia="Times New Roman" w:hAnsi="Times New Roman"/>
          <w:sz w:val="22"/>
          <w:szCs w:val="22"/>
          <w:color w:val="auto"/>
        </w:rPr>
      </w:pPr>
    </w:p>
    <w:p>
      <w:pPr>
        <w:ind w:left="1300" w:hanging="644"/>
        <w:spacing w:after="0" w:line="250" w:lineRule="auto"/>
        <w:tabs>
          <w:tab w:leader="none" w:pos="1134" w:val="left"/>
        </w:tabs>
        <w:numPr>
          <w:ilvl w:val="1"/>
          <w:numId w:val="3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Client provides to Bank any information regarding an Applicant or Customer that is not an existing customer of Bank (including, but not limited to, customers of other Client financial institution partners), Client hereby represents and warrants to Bank that such information: (i) is materially accurate to Client’s knowledge; (ii) Client has the requisite authority under Applicable Law and its agreements with such other financial institution partners to share such information with Bank; and (iii) Bank, under Applicable Law and Client’s agreements with such other financial institution partners, is authorized use such information for the purposes of fulfilling Bank’s obligations under Applicable Law and this Addendum.</w:t>
      </w:r>
    </w:p>
    <w:p>
      <w:pPr>
        <w:spacing w:after="0" w:line="176"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3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 PROGRAM PROVISIONS</w:t>
      </w:r>
    </w:p>
    <w:p>
      <w:pPr>
        <w:spacing w:after="0" w:line="23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b w:val="1"/>
          <w:bCs w:val="1"/>
          <w:color w:val="auto"/>
        </w:rPr>
        <w:t>8.1.</w:t>
      </w:r>
      <w:r>
        <w:rPr>
          <w:sz w:val="20"/>
          <w:szCs w:val="20"/>
          <w:color w:val="auto"/>
        </w:rPr>
        <w:tab/>
      </w:r>
      <w:r>
        <w:rPr>
          <w:rFonts w:ascii="Times New Roman" w:cs="Times New Roman" w:eastAsia="Times New Roman" w:hAnsi="Times New Roman"/>
          <w:sz w:val="21"/>
          <w:szCs w:val="21"/>
          <w:u w:val="single" w:color="auto"/>
          <w:color w:val="auto"/>
        </w:rPr>
        <w:t>Secured Account Funding</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ind w:left="1960" w:hanging="656"/>
        <w:spacing w:after="0" w:line="257" w:lineRule="auto"/>
        <w:tabs>
          <w:tab w:leader="none" w:pos="1669" w:val="left"/>
        </w:tabs>
        <w:numPr>
          <w:ilvl w:val="0"/>
          <w:numId w:val="3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Funding Mechanisms.</w:t>
      </w:r>
      <w:r>
        <w:rPr>
          <w:rFonts w:ascii="Times New Roman" w:cs="Times New Roman" w:eastAsia="Times New Roman" w:hAnsi="Times New Roman"/>
          <w:sz w:val="22"/>
          <w:szCs w:val="22"/>
          <w:color w:val="auto"/>
        </w:rPr>
        <w:t xml:space="preserve"> All Networks and mechanisms for funding Secured Accounts and Program Accounts will be as set forth in this Addendum or the applicable Program Authorization Letter, and/or </w:t>
      </w:r>
      <w:r>
        <w:rPr>
          <w:rFonts w:ascii="Times New Roman" w:cs="Times New Roman" w:eastAsia="Times New Roman" w:hAnsi="Times New Roman"/>
          <w:sz w:val="22"/>
          <w:szCs w:val="22"/>
          <w:b w:val="1"/>
          <w:bCs w:val="1"/>
          <w:color w:val="auto"/>
        </w:rPr>
        <w:t>Schedule F.</w:t>
      </w:r>
      <w:r>
        <w:rPr>
          <w:rFonts w:ascii="Times New Roman" w:cs="Times New Roman" w:eastAsia="Times New Roman" w:hAnsi="Times New Roman"/>
          <w:sz w:val="22"/>
          <w:szCs w:val="22"/>
          <w:color w:val="auto"/>
        </w:rPr>
        <w:t xml:space="preserve"> No funding mechanism may be utilized or altered unless approved by Bank in writing.</w:t>
      </w:r>
    </w:p>
    <w:p>
      <w:pPr>
        <w:spacing w:after="0" w:line="169" w:lineRule="exact"/>
        <w:rPr>
          <w:sz w:val="20"/>
          <w:szCs w:val="20"/>
          <w:color w:val="auto"/>
        </w:rPr>
      </w:pPr>
    </w:p>
    <w:p>
      <w:pPr>
        <w:jc w:val="both"/>
        <w:ind w:left="660" w:hanging="647"/>
        <w:spacing w:after="0" w:line="284"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8.2.</w:t>
      </w:r>
      <w:r>
        <w:rPr>
          <w:sz w:val="20"/>
          <w:szCs w:val="20"/>
          <w:color w:val="auto"/>
        </w:rPr>
        <w:tab/>
      </w: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 Bank shall collect all program revenues generated by the Program, and Bank shall pay Client the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 xml:space="preserve">compensation set forth in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 xml:space="preserve"> to the Agreement as consideration for Client’s servicing of the Program.</w:t>
      </w:r>
    </w:p>
    <w:p>
      <w:pPr>
        <w:spacing w:after="0" w:line="14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b w:val="1"/>
          <w:bCs w:val="1"/>
          <w:color w:val="auto"/>
        </w:rPr>
        <w:t>8.3.</w:t>
      </w:r>
      <w:r>
        <w:rPr>
          <w:sz w:val="20"/>
          <w:szCs w:val="20"/>
          <w:color w:val="auto"/>
        </w:rPr>
        <w:tab/>
      </w:r>
      <w:r>
        <w:rPr>
          <w:rFonts w:ascii="Times New Roman" w:cs="Times New Roman" w:eastAsia="Times New Roman" w:hAnsi="Times New Roman"/>
          <w:sz w:val="21"/>
          <w:szCs w:val="21"/>
          <w:u w:val="single" w:color="auto"/>
          <w:color w:val="auto"/>
        </w:rPr>
        <w:t>Required Reports</w:t>
      </w:r>
      <w:r>
        <w:rPr>
          <w:rFonts w:ascii="Times New Roman" w:cs="Times New Roman" w:eastAsia="Times New Roman" w:hAnsi="Times New Roman"/>
          <w:sz w:val="21"/>
          <w:szCs w:val="21"/>
          <w:color w:val="auto"/>
        </w:rPr>
        <w:t>. Client shall make available to Bank upon request all Required Reports reasonably requested by Bank.</w:t>
      </w:r>
    </w:p>
    <w:p>
      <w:pPr>
        <w:spacing w:after="0" w:line="220" w:lineRule="exact"/>
        <w:rPr>
          <w:sz w:val="20"/>
          <w:szCs w:val="20"/>
          <w:color w:val="auto"/>
        </w:rPr>
      </w:pPr>
    </w:p>
    <w:p>
      <w:pPr>
        <w:jc w:val="both"/>
        <w:ind w:left="560" w:hanging="647"/>
        <w:spacing w:after="0" w:line="253" w:lineRule="auto"/>
        <w:tabs>
          <w:tab w:leader="none" w:pos="540" w:val="left"/>
        </w:tabs>
        <w:rPr>
          <w:sz w:val="20"/>
          <w:szCs w:val="20"/>
          <w:color w:val="auto"/>
        </w:rPr>
      </w:pPr>
      <w:r>
        <w:rPr>
          <w:rFonts w:ascii="Times New Roman" w:cs="Times New Roman" w:eastAsia="Times New Roman" w:hAnsi="Times New Roman"/>
          <w:sz w:val="22"/>
          <w:szCs w:val="22"/>
          <w:b w:val="1"/>
          <w:bCs w:val="1"/>
          <w:color w:val="auto"/>
        </w:rPr>
        <w:t>8.4.</w:t>
      </w:r>
      <w:r>
        <w:rPr>
          <w:sz w:val="20"/>
          <w:szCs w:val="20"/>
          <w:color w:val="auto"/>
        </w:rPr>
        <w:tab/>
      </w:r>
      <w:r>
        <w:rPr>
          <w:rFonts w:ascii="Times New Roman" w:cs="Times New Roman" w:eastAsia="Times New Roman" w:hAnsi="Times New Roman"/>
          <w:sz w:val="22"/>
          <w:szCs w:val="22"/>
          <w:u w:val="single" w:color="auto"/>
          <w:color w:val="auto"/>
        </w:rPr>
        <w:t>Escheat</w:t>
      </w:r>
      <w:r>
        <w:rPr>
          <w:rFonts w:ascii="Times New Roman" w:cs="Times New Roman" w:eastAsia="Times New Roman" w:hAnsi="Times New Roman"/>
          <w:sz w:val="22"/>
          <w:szCs w:val="22"/>
          <w:color w:val="auto"/>
        </w:rPr>
        <w:t>. To the extent required by Applicable Law, Bank shall facilitate and shall be responsible for compliance with state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unclaimed property laws as they relate to the Credit Builder Accounts, provided Client and Processor provide accurate and timely reporting required by Bank to do so. Bank represents it has adequate reporting systems established to identify Credit Builder Accounts that would meet the criteria under the various state unclaimed property laws, and will facilitate the reporting and remittance of funds as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23" w:right="339" w:bottom="1440" w:gutter="0" w:footer="0" w:header="0"/>
        </w:sectPr>
      </w:pPr>
    </w:p>
    <w:bookmarkStart w:id="521" w:name="page522"/>
    <w:bookmarkEnd w:id="521"/>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9.</w:t>
      </w:r>
      <w:r>
        <w:rPr>
          <w:sz w:val="20"/>
          <w:szCs w:val="20"/>
          <w:color w:val="auto"/>
        </w:rPr>
        <w:tab/>
      </w:r>
      <w:r>
        <w:rPr>
          <w:rFonts w:ascii="Times New Roman" w:cs="Times New Roman" w:eastAsia="Times New Roman" w:hAnsi="Times New Roman"/>
          <w:sz w:val="21"/>
          <w:szCs w:val="21"/>
          <w:b w:val="1"/>
          <w:bCs w:val="1"/>
          <w:color w:val="auto"/>
        </w:rPr>
        <w:t>TERM AND TERMINATION</w:t>
      </w:r>
    </w:p>
    <w:p>
      <w:pPr>
        <w:spacing w:after="0" w:line="220" w:lineRule="exact"/>
        <w:rPr>
          <w:sz w:val="20"/>
          <w:szCs w:val="20"/>
          <w:color w:val="auto"/>
        </w:rPr>
      </w:pPr>
    </w:p>
    <w:p>
      <w:pPr>
        <w:jc w:val="both"/>
        <w:ind w:left="640" w:hanging="647"/>
        <w:spacing w:after="0" w:line="271" w:lineRule="auto"/>
        <w:tabs>
          <w:tab w:leader="none" w:pos="620" w:val="left"/>
        </w:tabs>
        <w:rPr>
          <w:sz w:val="20"/>
          <w:szCs w:val="20"/>
          <w:color w:val="auto"/>
        </w:rPr>
      </w:pPr>
      <w:r>
        <w:rPr>
          <w:rFonts w:ascii="Times New Roman" w:cs="Times New Roman" w:eastAsia="Times New Roman" w:hAnsi="Times New Roman"/>
          <w:sz w:val="22"/>
          <w:szCs w:val="22"/>
          <w:b w:val="1"/>
          <w:bCs w:val="1"/>
          <w:color w:val="auto"/>
        </w:rPr>
        <w:t>9.1.</w:t>
      </w:r>
      <w:r>
        <w:rPr>
          <w:sz w:val="20"/>
          <w:szCs w:val="20"/>
          <w:color w:val="auto"/>
        </w:rPr>
        <w:tab/>
      </w:r>
      <w:r>
        <w:rPr>
          <w:rFonts w:ascii="Times New Roman" w:cs="Times New Roman" w:eastAsia="Times New Roman" w:hAnsi="Times New Roman"/>
          <w:sz w:val="22"/>
          <w:szCs w:val="22"/>
          <w:u w:val="single" w:color="auto"/>
          <w:color w:val="auto"/>
        </w:rPr>
        <w:t>Relation to Agreement</w:t>
      </w:r>
      <w:r>
        <w:rPr>
          <w:rFonts w:ascii="Times New Roman" w:cs="Times New Roman" w:eastAsia="Times New Roman" w:hAnsi="Times New Roman"/>
          <w:sz w:val="22"/>
          <w:szCs w:val="22"/>
          <w:color w:val="auto"/>
        </w:rPr>
        <w:t>. The Term of this Addendum shall be the same as the Agreement, and this Addendum will be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automatically terminated upon the termination or expiration of the Agreement.</w:t>
      </w:r>
    </w:p>
    <w:p>
      <w:pPr>
        <w:spacing w:after="0" w:line="171"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9.2.</w:t>
      </w:r>
      <w:r>
        <w:rPr>
          <w:sz w:val="20"/>
          <w:szCs w:val="20"/>
          <w:color w:val="auto"/>
        </w:rPr>
        <w:tab/>
      </w:r>
      <w:r>
        <w:rPr>
          <w:rFonts w:ascii="Times New Roman" w:cs="Times New Roman" w:eastAsia="Times New Roman" w:hAnsi="Times New Roman"/>
          <w:sz w:val="21"/>
          <w:szCs w:val="21"/>
          <w:color w:val="auto"/>
        </w:rPr>
        <w:t>Client Account Transfer Option. Upon the termination or expiration of this Addendum, Client shall have the right, exercisable by providing notice to Bank within [***] prior to the termination, to transfer all of the Credit Builder Accounts or Programs and direct their transfer to a successor qualified financial institution (the “Successor Bank”) (the “Account Transfer Option”). Client may only exercise the Account Transfer Option if Client is in compliance with all of its obligations under the Agreement. In the event Client exercises its Account Transfer Option, Client shall complete the purchase within [***] of the termination of the Agreement. Prior to the closing date, Client shall provide Bank with a detailed outline of its intentions in connection with the Programs, including the identity of the Successor Bank, the transition procedures for the transfer, and any other information reasonably requested by Bank. Client shall reimburse Bank for all expenses incurred by Bank in connection with the Account Transfer Option, including, but not limited to, any conversion costs or termination fees payable to any Subcontractor with respect to the Programs, Bank’s reasonable attorneys’ fees incurred in connection with the transfer, and all other out-of-pocket costs and expenses incurred by Bank in connection with the transfer of the Program with such expenses not to exceed [***]. Client shall ensure that all aspects of the transfer are accomplished in compliance with Applicable Law. Through the date of purchase and until closing, Client shall remain in compliance with all provisions of this Agreement, including the maintenance of the appropriate balances in any Program Account, and the timely payment of all other fees and sums called for under the applicable Addendum. Provided Client complies with the provisions of this subsection, Bank shall transfer the Credit Builder Account balances to the Successor Bank at closing. In connection with the transfer of such Credit Builder Account balances, Client shall pay Bank the fees as set forth in Exhibit A – Schedule 2 to the Agreement; provided, however, that Client may elect to discontinue the services described in this Section 9.2 upon [***] written notice to Bank and, upon the effectiveness of such notice, the obligations of Bank and Client under this Section 9.2 shall terminate.</w:t>
      </w:r>
    </w:p>
    <w:p>
      <w:pPr>
        <w:spacing w:after="0" w:line="179" w:lineRule="exact"/>
        <w:rPr>
          <w:sz w:val="20"/>
          <w:szCs w:val="20"/>
          <w:color w:val="auto"/>
        </w:rPr>
      </w:pPr>
    </w:p>
    <w:p>
      <w:pPr>
        <w:ind w:left="1120" w:hanging="464"/>
        <w:spacing w:after="0"/>
        <w:tabs>
          <w:tab w:leader="none" w:pos="1120" w:val="left"/>
        </w:tabs>
        <w:numPr>
          <w:ilvl w:val="0"/>
          <w:numId w:val="3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Client exercises the Account Transfer Option, Bank may, in Client’s reasonable discretion:</w:t>
      </w:r>
    </w:p>
    <w:p>
      <w:pPr>
        <w:spacing w:after="0" w:line="233" w:lineRule="exact"/>
        <w:rPr>
          <w:rFonts w:ascii="Times New Roman" w:cs="Times New Roman" w:eastAsia="Times New Roman" w:hAnsi="Times New Roman"/>
          <w:sz w:val="22"/>
          <w:szCs w:val="22"/>
          <w:color w:val="auto"/>
        </w:rPr>
      </w:pPr>
    </w:p>
    <w:p>
      <w:pPr>
        <w:ind w:left="1960" w:hanging="656"/>
        <w:spacing w:after="0" w:line="252" w:lineRule="auto"/>
        <w:tabs>
          <w:tab w:leader="none" w:pos="1732" w:val="left"/>
        </w:tabs>
        <w:numPr>
          <w:ilvl w:val="1"/>
          <w:numId w:val="3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 all designated Credit Builder Account funds on deposit at Bank to the Successor Bank, which shall be effected at the par balance of the Credit Builder Accounts as of the date of transfer (i.e. on the closing date the Bank shall transfer to the Successor Bank an amount in immediately available funds equal to the balances of the Credit Builder Accounts being transferred).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23" w:right="339" w:bottom="1440" w:gutter="0" w:footer="0" w:header="0"/>
        </w:sectPr>
      </w:pPr>
    </w:p>
    <w:bookmarkStart w:id="522" w:name="page523"/>
    <w:bookmarkEnd w:id="522"/>
    <w:p>
      <w:pPr>
        <w:jc w:val="center"/>
        <w:ind w:right="636"/>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636"/>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304" w:hanging="656"/>
        <w:spacing w:after="0" w:line="282" w:lineRule="auto"/>
        <w:tabs>
          <w:tab w:leader="none" w:pos="1224" w:val="left"/>
        </w:tabs>
        <w:numPr>
          <w:ilvl w:val="1"/>
          <w:numId w:val="3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assign all of Bank’s rights, duties and obligations with respect to such Credit Builder Accounts, Account Agreements, Customer information, and Bank’s relationship with each Customer to such Successor Bank.</w:t>
      </w:r>
    </w:p>
    <w:p>
      <w:pPr>
        <w:spacing w:after="0" w:line="121" w:lineRule="exact"/>
        <w:rPr>
          <w:rFonts w:ascii="Times New Roman" w:cs="Times New Roman" w:eastAsia="Times New Roman" w:hAnsi="Times New Roman"/>
          <w:sz w:val="21"/>
          <w:szCs w:val="21"/>
          <w:color w:val="auto"/>
        </w:rPr>
      </w:pPr>
    </w:p>
    <w:p>
      <w:pPr>
        <w:jc w:val="both"/>
        <w:ind w:left="1304" w:hanging="656"/>
        <w:spacing w:after="0" w:line="238" w:lineRule="auto"/>
        <w:tabs>
          <w:tab w:leader="none" w:pos="1236" w:val="left"/>
        </w:tabs>
        <w:numPr>
          <w:ilvl w:val="1"/>
          <w:numId w:val="3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and all regulatory filings necessary to effect the transition of its undertakings in connection with this Section 9.2 to such Successor Bank (excluding those filings and approvals required to be made by Successor Bank).</w:t>
      </w:r>
    </w:p>
    <w:p>
      <w:pPr>
        <w:spacing w:after="0" w:line="178" w:lineRule="exact"/>
        <w:rPr>
          <w:rFonts w:ascii="Times New Roman" w:cs="Times New Roman" w:eastAsia="Times New Roman" w:hAnsi="Times New Roman"/>
          <w:sz w:val="22"/>
          <w:szCs w:val="22"/>
          <w:color w:val="auto"/>
        </w:rPr>
      </w:pPr>
    </w:p>
    <w:p>
      <w:pPr>
        <w:ind w:left="1304" w:hanging="656"/>
        <w:spacing w:after="0" w:line="258" w:lineRule="auto"/>
        <w:tabs>
          <w:tab w:leader="none" w:pos="1346" w:val="left"/>
        </w:tabs>
        <w:numPr>
          <w:ilvl w:val="1"/>
          <w:numId w:val="3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all filings and taking all other actions necessary for Bank to transfer the related dedicated and exclusive routing and transit number and BINs to such Successor Bank.</w:t>
      </w:r>
    </w:p>
    <w:p>
      <w:pPr>
        <w:spacing w:after="0" w:line="144" w:lineRule="exact"/>
        <w:rPr>
          <w:rFonts w:ascii="Times New Roman" w:cs="Times New Roman" w:eastAsia="Times New Roman" w:hAnsi="Times New Roman"/>
          <w:sz w:val="22"/>
          <w:szCs w:val="22"/>
          <w:color w:val="auto"/>
        </w:rPr>
      </w:pPr>
    </w:p>
    <w:p>
      <w:pPr>
        <w:jc w:val="both"/>
        <w:ind w:left="1304" w:hanging="656"/>
        <w:spacing w:after="0" w:line="238" w:lineRule="auto"/>
        <w:tabs>
          <w:tab w:leader="none" w:pos="1314" w:val="left"/>
        </w:tabs>
        <w:numPr>
          <w:ilvl w:val="1"/>
          <w:numId w:val="3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and deliver, if necessary or appropriate, an account transfer agreement containing terms and conditions generally consistent with banking industry practice for the transfer of accounts between institutions.</w:t>
      </w:r>
    </w:p>
    <w:p>
      <w:pPr>
        <w:spacing w:after="0" w:line="178" w:lineRule="exact"/>
        <w:rPr>
          <w:rFonts w:ascii="Times New Roman" w:cs="Times New Roman" w:eastAsia="Times New Roman" w:hAnsi="Times New Roman"/>
          <w:sz w:val="22"/>
          <w:szCs w:val="22"/>
          <w:color w:val="auto"/>
        </w:rPr>
      </w:pPr>
    </w:p>
    <w:p>
      <w:pPr>
        <w:ind w:left="1304" w:right="20" w:hanging="656"/>
        <w:spacing w:after="0" w:line="258" w:lineRule="auto"/>
        <w:tabs>
          <w:tab w:leader="none" w:pos="1222" w:val="left"/>
        </w:tabs>
        <w:numPr>
          <w:ilvl w:val="1"/>
          <w:numId w:val="3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such other documents as may reasonably be requested by Client, or necessary for Bank to perform its obligations under this Section 9.2.</w:t>
      </w:r>
    </w:p>
    <w:p>
      <w:pPr>
        <w:spacing w:after="0" w:line="144" w:lineRule="exact"/>
        <w:rPr>
          <w:rFonts w:ascii="Times New Roman" w:cs="Times New Roman" w:eastAsia="Times New Roman" w:hAnsi="Times New Roman"/>
          <w:sz w:val="22"/>
          <w:szCs w:val="22"/>
          <w:color w:val="auto"/>
        </w:rPr>
      </w:pPr>
    </w:p>
    <w:p>
      <w:pPr>
        <w:jc w:val="both"/>
        <w:ind w:left="1304" w:hanging="656"/>
        <w:spacing w:after="0" w:line="232" w:lineRule="auto"/>
        <w:tabs>
          <w:tab w:leader="none" w:pos="1312" w:val="left"/>
        </w:tabs>
        <w:numPr>
          <w:ilvl w:val="1"/>
          <w:numId w:val="3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payment of fees set forth in Exhibit A – Schedule 2 to the Agreement, continue to receive recurring ACH credits to Credit Builder Accounts, forward such deposits to the Successor Bank, and provide the originator of such credit with a Notification of Change instructing such originator to change future instructions to reflect the new account at the Successor Bank (and Client shall provide Bank such information as Bank may reasonably require in order to perform such forwarding and notification services).</w:t>
      </w:r>
    </w:p>
    <w:p>
      <w:pPr>
        <w:spacing w:after="0" w:line="179" w:lineRule="exact"/>
        <w:rPr>
          <w:rFonts w:ascii="Times New Roman" w:cs="Times New Roman" w:eastAsia="Times New Roman" w:hAnsi="Times New Roman"/>
          <w:sz w:val="22"/>
          <w:szCs w:val="22"/>
          <w:color w:val="auto"/>
        </w:rPr>
      </w:pPr>
    </w:p>
    <w:p>
      <w:pPr>
        <w:jc w:val="both"/>
        <w:ind w:left="1304" w:hanging="656"/>
        <w:spacing w:after="0" w:line="232" w:lineRule="auto"/>
        <w:tabs>
          <w:tab w:leader="none" w:pos="1313" w:val="left"/>
        </w:tabs>
        <w:numPr>
          <w:ilvl w:val="1"/>
          <w:numId w:val="3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payment of fees set forth in Exhibit A – Schedule 2 to the Agreement, if requested by Client, and provided Client has pre-funded all associated liabilities to Bank’s reasonable satisfaction, continuing to accept recurring ACH debits and providing the originators thereof with Notification of Change instructing such originator to change future instructions to reflect the new account at the Successor Bank (and Company shall, in such event, provide Bank with such information as Bank may reasonably require in order to perform such notification services).</w:t>
      </w:r>
    </w:p>
    <w:p>
      <w:pPr>
        <w:spacing w:after="0" w:line="166" w:lineRule="exact"/>
        <w:rPr>
          <w:rFonts w:ascii="Times New Roman" w:cs="Times New Roman" w:eastAsia="Times New Roman" w:hAnsi="Times New Roman"/>
          <w:sz w:val="22"/>
          <w:szCs w:val="22"/>
          <w:color w:val="auto"/>
        </w:rPr>
      </w:pPr>
    </w:p>
    <w:p>
      <w:pPr>
        <w:ind w:left="644" w:hanging="644"/>
        <w:spacing w:after="0" w:line="232" w:lineRule="auto"/>
        <w:tabs>
          <w:tab w:leader="none" w:pos="479" w:val="left"/>
        </w:tabs>
        <w:numPr>
          <w:ilvl w:val="0"/>
          <w:numId w:val="3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Client exercises the Account Transfer Option, Client shall not issue any new Program collateral or other materials that contains the Bank’s Marks following transfer of the Credit Builder Accounts to the Successor Bank. Following transfer of the Credit Builder Accounts to Successor Bank, Client shall have limited, non-exclusive, royalty free license to continue to use Bank’s Marks on all existing Cards until such existing Cards expire or [***] following the transfer of the Credit Builder Accounts, whichever is sooner. For the avoidance of doubt, Client shall not issue any new cards with Bank Marks following the transfer of the Credit Builder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0584"/>
          </w:cols>
          <w:pgMar w:left="976" w:top="123" w:right="339" w:bottom="1440" w:gutter="0" w:footer="0" w:header="0"/>
        </w:sectPr>
      </w:pPr>
    </w:p>
    <w:bookmarkStart w:id="523" w:name="page524"/>
    <w:bookmarkEnd w:id="523"/>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59" w:lineRule="exact"/>
        <w:rPr>
          <w:sz w:val="20"/>
          <w:szCs w:val="20"/>
          <w:color w:val="auto"/>
        </w:rPr>
      </w:pPr>
    </w:p>
    <w:p>
      <w:pPr>
        <w:ind w:left="9840"/>
        <w:spacing w:after="0"/>
        <w:rPr>
          <w:sz w:val="20"/>
          <w:szCs w:val="20"/>
          <w:color w:val="auto"/>
        </w:rPr>
      </w:pPr>
      <w:r>
        <w:rPr>
          <w:rFonts w:ascii="Times New Roman" w:cs="Times New Roman" w:eastAsia="Times New Roman" w:hAnsi="Times New Roman"/>
          <w:sz w:val="16"/>
          <w:szCs w:val="16"/>
          <w:b w:val="1"/>
          <w:bCs w:val="1"/>
          <w:i w:val="1"/>
          <w:i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300" w:right="20"/>
        <w:spacing w:after="0" w:line="236" w:lineRule="auto"/>
        <w:rPr>
          <w:sz w:val="20"/>
          <w:szCs w:val="20"/>
          <w:color w:val="auto"/>
        </w:rPr>
      </w:pPr>
      <w:r>
        <w:rPr>
          <w:rFonts w:ascii="Times New Roman" w:cs="Times New Roman" w:eastAsia="Times New Roman" w:hAnsi="Times New Roman"/>
          <w:sz w:val="22"/>
          <w:szCs w:val="22"/>
          <w:color w:val="auto"/>
        </w:rPr>
        <w:t>Accounts. Bank shall cease use of any Program collateral or other materials that contain Client’s Marks following the transfer of the Credit Builder Accounts to Successor Bank.</w:t>
      </w:r>
    </w:p>
    <w:p>
      <w:pPr>
        <w:spacing w:after="0" w:line="173" w:lineRule="exact"/>
        <w:rPr>
          <w:sz w:val="20"/>
          <w:szCs w:val="20"/>
          <w:color w:val="auto"/>
        </w:rPr>
      </w:pPr>
    </w:p>
    <w:p>
      <w:pPr>
        <w:jc w:val="both"/>
        <w:ind w:left="560" w:hanging="647"/>
        <w:spacing w:after="0" w:line="247" w:lineRule="auto"/>
        <w:tabs>
          <w:tab w:leader="none" w:pos="540" w:val="left"/>
        </w:tabs>
        <w:rPr>
          <w:sz w:val="20"/>
          <w:szCs w:val="20"/>
          <w:color w:val="auto"/>
        </w:rPr>
      </w:pPr>
      <w:r>
        <w:rPr>
          <w:rFonts w:ascii="Times New Roman" w:cs="Times New Roman" w:eastAsia="Times New Roman" w:hAnsi="Times New Roman"/>
          <w:sz w:val="22"/>
          <w:szCs w:val="22"/>
          <w:b w:val="1"/>
          <w:bCs w:val="1"/>
          <w:color w:val="auto"/>
        </w:rPr>
        <w:t>9.3.</w:t>
      </w:r>
      <w:r>
        <w:rPr>
          <w:sz w:val="20"/>
          <w:szCs w:val="20"/>
          <w:color w:val="auto"/>
        </w:rPr>
        <w:tab/>
      </w:r>
      <w:r>
        <w:rPr>
          <w:rFonts w:ascii="Times New Roman" w:cs="Times New Roman" w:eastAsia="Times New Roman" w:hAnsi="Times New Roman"/>
          <w:sz w:val="22"/>
          <w:szCs w:val="22"/>
          <w:color w:val="auto"/>
        </w:rPr>
        <w:t>Bank Retention or Termination. In the event (i) Client fails to provide effective notice of its intent to exercise the Account Transfer Option, (ii) Client provides effective notice of its intent to exercise the Account Transfer Option, but Client fails to close its purchase of the Programs within [***] after termination of the Agreement or Addendum, or (iii) the Agreement is terminated by Bank for cause pursuant to Section 9.2 of the Agreement, Bank may at its sole discretion terminate the Programs, continue the same and retain the benefits thereof, or sell the Programs (and all rights and benefits thereof) to a successor company. Unless Bank elects to continue the Programs or sell the same to a third party, the Agreement shall continue in full force and effect until all Programs, Cards, and Credit Builder Accounts are terminated, but in no event exceeding [***] from the termination of the Agreement, or a mutually agreed upon wind down period (the “Wind Down Period”). During said time, Bank shall be entitled to withhold and pay directly all Program expenses from Program Revenues including the costs of all necessary servicing and processing for the Programs. In such event, Bank shall have no further obligation to accept any new Customers. In the event Bank elects to continue the Programs or sell the same to a third party, Bank shall so notify Client, and Client’s rights in connection with the Programs originated under this Agreement shall thereafter be immediately terminated. In such event, however, Client shall remain liable for any obligations owed to Bank under the Agreement. Upon termination of the Agreement or this Addendum, and repayment in full of all obligations of Client owed to Bank, and Bank’s reasonable determination that no additional sums are likely to be owed by Client to Bank in connection with this Agreement, Bank shall return any remaining amounts owed to Client in the Program Accounts within [***].</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pages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23" w:right="339" w:bottom="1440" w:gutter="0" w:footer="0" w:header="0"/>
        </w:sectPr>
      </w:pPr>
    </w:p>
    <w:bookmarkStart w:id="524" w:name="page525"/>
    <w:bookmarkEnd w:id="524"/>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have caused this Addendum to be executed by their duly authorized officers as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December 6, 2023.</w:t>
      </w:r>
    </w:p>
    <w:p>
      <w:pPr>
        <w:spacing w:after="0" w:line="17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b w:val="1"/>
          <w:bCs w:val="1"/>
          <w:color w:val="auto"/>
        </w:rPr>
        <w:t>BANK:</w:t>
      </w:r>
    </w:p>
    <w:p>
      <w:pPr>
        <w:spacing w:after="0" w:line="23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color w:val="auto"/>
        </w:rPr>
        <w:t>THE BANCORP BANK, N.A.</w:t>
      </w:r>
    </w:p>
    <w:p>
      <w:pPr>
        <w:spacing w:after="0" w:line="200" w:lineRule="exact"/>
        <w:rPr>
          <w:sz w:val="20"/>
          <w:szCs w:val="20"/>
          <w:color w:val="auto"/>
        </w:rPr>
      </w:pPr>
    </w:p>
    <w:p>
      <w:pPr>
        <w:spacing w:after="0" w:line="249" w:lineRule="exact"/>
        <w:rPr>
          <w:sz w:val="20"/>
          <w:szCs w:val="20"/>
          <w:color w:val="auto"/>
        </w:rPr>
      </w:pPr>
    </w:p>
    <w:p>
      <w:pPr>
        <w:ind w:left="5120"/>
        <w:spacing w:after="0"/>
        <w:tabs>
          <w:tab w:leader="none" w:pos="5660" w:val="left"/>
        </w:tabs>
        <w:rPr>
          <w:sz w:val="20"/>
          <w:szCs w:val="20"/>
          <w:color w:val="auto"/>
        </w:rPr>
      </w:pPr>
      <w:r>
        <w:rPr>
          <w:rFonts w:ascii="Times New Roman" w:cs="Times New Roman" w:eastAsia="Times New Roman" w:hAnsi="Times New Roman"/>
          <w:sz w:val="22"/>
          <w:szCs w:val="22"/>
          <w:color w:val="auto"/>
        </w:rPr>
        <w:t>By:</w:t>
        <w:tab/>
        <w:t>/s/ Ryan Harris</w:t>
      </w:r>
    </w:p>
    <w:p>
      <w:pPr>
        <w:spacing w:after="0" w:line="31" w:lineRule="exact"/>
        <w:rPr>
          <w:sz w:val="20"/>
          <w:szCs w:val="20"/>
          <w:color w:val="auto"/>
        </w:rPr>
      </w:pPr>
    </w:p>
    <w:p>
      <w:pPr>
        <w:ind w:left="5120"/>
        <w:spacing w:after="0"/>
        <w:tabs>
          <w:tab w:leader="none" w:pos="60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2"/>
          <w:szCs w:val="22"/>
          <w:color w:val="auto"/>
        </w:rPr>
        <w:t>Ryan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-160020</wp:posOffset>
            </wp:positionV>
            <wp:extent cx="339471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9" w:lineRule="exact"/>
        <w:rPr>
          <w:sz w:val="20"/>
          <w:szCs w:val="20"/>
          <w:color w:val="auto"/>
        </w:rPr>
      </w:pPr>
    </w:p>
    <w:p>
      <w:pPr>
        <w:ind w:left="5120"/>
        <w:spacing w:after="0"/>
        <w:tabs>
          <w:tab w:leader="none" w:pos="5880" w:val="left"/>
        </w:tabs>
        <w:rPr>
          <w:sz w:val="20"/>
          <w:szCs w:val="20"/>
          <w:color w:val="auto"/>
        </w:rPr>
      </w:pPr>
      <w:r>
        <w:rPr>
          <w:rFonts w:ascii="Times New Roman" w:cs="Times New Roman" w:eastAsia="Times New Roman" w:hAnsi="Times New Roman"/>
          <w:sz w:val="22"/>
          <w:szCs w:val="22"/>
          <w:color w:val="auto"/>
        </w:rPr>
        <w:t>Title:</w:t>
        <w:tab/>
        <w:t>EVP, Head of Fintech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12065</wp:posOffset>
            </wp:positionV>
            <wp:extent cx="325755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25755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-158750</wp:posOffset>
            </wp:positionV>
            <wp:extent cx="314642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146425" cy="8890"/>
                    </a:xfrm>
                    <a:prstGeom prst="rect">
                      <a:avLst/>
                    </a:prstGeom>
                    <a:noFill/>
                  </pic:spPr>
                </pic:pic>
              </a:graphicData>
            </a:graphic>
          </wp:anchor>
        </w:drawing>
      </w:r>
    </w:p>
    <w:p>
      <w:pPr>
        <w:spacing w:after="0" w:line="25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b w:val="1"/>
          <w:bCs w:val="1"/>
          <w:color w:val="auto"/>
        </w:rPr>
        <w:t>CLIENT</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color w:val="auto"/>
        </w:rPr>
        <w:t>CHIME FINANCIAL, INC.</w:t>
      </w:r>
    </w:p>
    <w:p>
      <w:pPr>
        <w:spacing w:after="0" w:line="200" w:lineRule="exact"/>
        <w:rPr>
          <w:sz w:val="20"/>
          <w:szCs w:val="20"/>
          <w:color w:val="auto"/>
        </w:rPr>
      </w:pPr>
    </w:p>
    <w:p>
      <w:pPr>
        <w:spacing w:after="0" w:line="249" w:lineRule="exact"/>
        <w:rPr>
          <w:sz w:val="20"/>
          <w:szCs w:val="20"/>
          <w:color w:val="auto"/>
        </w:rPr>
      </w:pPr>
    </w:p>
    <w:p>
      <w:pPr>
        <w:ind w:left="5120"/>
        <w:spacing w:after="0"/>
        <w:tabs>
          <w:tab w:leader="none" w:pos="5660" w:val="left"/>
        </w:tabs>
        <w:rPr>
          <w:sz w:val="20"/>
          <w:szCs w:val="20"/>
          <w:color w:val="auto"/>
        </w:rPr>
      </w:pPr>
      <w:r>
        <w:rPr>
          <w:rFonts w:ascii="Times New Roman" w:cs="Times New Roman" w:eastAsia="Times New Roman" w:hAnsi="Times New Roman"/>
          <w:sz w:val="22"/>
          <w:szCs w:val="22"/>
          <w:color w:val="auto"/>
        </w:rPr>
        <w:t>By:</w:t>
        <w:tab/>
        <w:t>/s/ Aaron Plante</w:t>
      </w:r>
    </w:p>
    <w:p>
      <w:pPr>
        <w:spacing w:after="0" w:line="31" w:lineRule="exact"/>
        <w:rPr>
          <w:sz w:val="20"/>
          <w:szCs w:val="20"/>
          <w:color w:val="auto"/>
        </w:rPr>
      </w:pPr>
    </w:p>
    <w:p>
      <w:pPr>
        <w:ind w:left="5120"/>
        <w:spacing w:after="0"/>
        <w:tabs>
          <w:tab w:leader="none" w:pos="60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2"/>
          <w:szCs w:val="22"/>
          <w:color w:val="auto"/>
        </w:rPr>
        <w:t>Aaron Plante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-160020</wp:posOffset>
            </wp:positionV>
            <wp:extent cx="339471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9" w:lineRule="exact"/>
        <w:rPr>
          <w:sz w:val="20"/>
          <w:szCs w:val="20"/>
          <w:color w:val="auto"/>
        </w:rPr>
      </w:pPr>
    </w:p>
    <w:p>
      <w:pPr>
        <w:ind w:left="5120"/>
        <w:spacing w:after="0"/>
        <w:tabs>
          <w:tab w:leader="none" w:pos="5880" w:val="left"/>
        </w:tabs>
        <w:rPr>
          <w:sz w:val="20"/>
          <w:szCs w:val="20"/>
          <w:color w:val="auto"/>
        </w:rPr>
      </w:pPr>
      <w:r>
        <w:rPr>
          <w:rFonts w:ascii="Times New Roman" w:cs="Times New Roman" w:eastAsia="Times New Roman" w:hAnsi="Times New Roman"/>
          <w:sz w:val="22"/>
          <w:szCs w:val="22"/>
          <w:color w:val="auto"/>
        </w:rPr>
        <w:t>Title:</w:t>
        <w:tab/>
        <w:t>VP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12065</wp:posOffset>
            </wp:positionV>
            <wp:extent cx="325755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25755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-158750</wp:posOffset>
            </wp:positionV>
            <wp:extent cx="314642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1464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23" w:right="339" w:bottom="1440" w:gutter="0" w:footer="0" w:header="0"/>
        </w:sectPr>
      </w:pPr>
    </w:p>
    <w:bookmarkStart w:id="525" w:name="page526"/>
    <w:bookmarkEnd w:id="525"/>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SCHEDULE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CREDIT UNDERWRITING STANDARDS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23" w:right="339" w:bottom="1440" w:gutter="0" w:footer="0" w:header="0"/>
        </w:sectPr>
      </w:pPr>
    </w:p>
    <w:bookmarkStart w:id="526" w:name="page527"/>
    <w:bookmarkEnd w:id="526"/>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Base Credit Builder Eligibility </w:t>
      </w:r>
      <w:r>
        <w:rPr>
          <w:rFonts w:ascii="Times New Roman" w:cs="Times New Roman" w:eastAsia="Times New Roman" w:hAnsi="Times New Roman"/>
          <w:sz w:val="22"/>
          <w:szCs w:val="22"/>
          <w:b w:val="1"/>
          <w:bCs w:val="1"/>
          <w:i w:val="1"/>
          <w:iCs w:val="1"/>
          <w:color w:val="auto"/>
        </w:rPr>
        <w:t>&amp;</w:t>
      </w:r>
      <w:r>
        <w:rPr>
          <w:rFonts w:ascii="Times New Roman" w:cs="Times New Roman" w:eastAsia="Times New Roman" w:hAnsi="Times New Roman"/>
          <w:sz w:val="22"/>
          <w:szCs w:val="22"/>
          <w:b w:val="1"/>
          <w:bCs w:val="1"/>
          <w:color w:val="auto"/>
        </w:rPr>
        <w:t xml:space="preserve"> Line Management Criteria</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23" w:right="339" w:bottom="1440" w:gutter="0" w:footer="0" w:header="0"/>
        </w:sectPr>
      </w:pPr>
    </w:p>
    <w:bookmarkStart w:id="527" w:name="page528"/>
    <w:bookmarkEnd w:id="527"/>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Appendix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SpotMe on Credit Builder</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23" w:right="339" w:bottom="1440" w:gutter="0" w:footer="0" w:header="0"/>
        </w:sectPr>
      </w:pPr>
    </w:p>
    <w:bookmarkStart w:id="528" w:name="page529"/>
    <w:bookmarkEnd w:id="528"/>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SMLoC Eligibility &amp; Line Assignment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23" w:right="339" w:bottom="1440" w:gutter="0" w:footer="0" w:header="0"/>
        </w:sectPr>
      </w:pPr>
    </w:p>
    <w:bookmarkStart w:id="529" w:name="page530"/>
    <w:bookmarkEnd w:id="529"/>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SCHEDULE B</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23" w:right="339" w:bottom="1440" w:gutter="0" w:footer="0" w:header="0"/>
        </w:sectPr>
      </w:pPr>
    </w:p>
    <w:bookmarkStart w:id="530" w:name="page531"/>
    <w:bookmarkEnd w:id="530"/>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SCHEDULE 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Processing Services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23" w:right="339" w:bottom="1440" w:gutter="0" w:footer="0" w:header="0"/>
        </w:sectPr>
      </w:pPr>
    </w:p>
    <w:bookmarkStart w:id="531" w:name="page532"/>
    <w:bookmarkEnd w:id="531"/>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SCHEDULE D</w:t>
      </w:r>
    </w:p>
    <w:p>
      <w:pPr>
        <w:spacing w:after="0" w:line="3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Service Level Agreements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0139"/>
          </w:cols>
          <w:pgMar w:left="320" w:top="123" w:right="1440" w:bottom="1440" w:gutter="0" w:footer="0" w:header="0"/>
        </w:sectPr>
      </w:pPr>
    </w:p>
    <w:bookmarkStart w:id="532" w:name="page533"/>
    <w:bookmarkEnd w:id="532"/>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SCHEDULE E</w:t>
      </w:r>
    </w:p>
    <w:p>
      <w:pPr>
        <w:spacing w:after="0" w:line="3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Required Reports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0139"/>
          </w:cols>
          <w:pgMar w:left="320" w:top="123" w:right="1440" w:bottom="1440" w:gutter="0" w:footer="0" w:header="0"/>
        </w:sectPr>
      </w:pPr>
    </w:p>
    <w:bookmarkStart w:id="533" w:name="page534"/>
    <w:bookmarkEnd w:id="533"/>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SCHEDULE F</w:t>
      </w:r>
    </w:p>
    <w:p>
      <w:pPr>
        <w:spacing w:after="0" w:line="3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Program Accounting and Funds Flow</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0139"/>
          </w:cols>
          <w:pgMar w:left="320" w:top="123" w:right="1440" w:bottom="1440" w:gutter="0" w:footer="0" w:header="0"/>
        </w:sectPr>
      </w:pPr>
    </w:p>
    <w:bookmarkStart w:id="534" w:name="page535"/>
    <w:bookmarkEnd w:id="534"/>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SCHEDULE G</w:t>
      </w:r>
    </w:p>
    <w:p>
      <w:pPr>
        <w:spacing w:after="0" w:line="3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Customer Service and Complaint Resolution Guidelines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0139"/>
          </w:cols>
          <w:pgMar w:left="320" w:top="123" w:right="1440" w:bottom="1440" w:gutter="0" w:footer="0" w:header="0"/>
        </w:sectPr>
      </w:pPr>
    </w:p>
    <w:bookmarkStart w:id="535" w:name="page536"/>
    <w:bookmarkEnd w:id="535"/>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FIRST AMENDMENT TO THE MASTER SERVICES AGREEMENT</w:t>
      </w:r>
    </w:p>
    <w:p>
      <w:pPr>
        <w:spacing w:after="0" w:line="220"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1"/>
          <w:szCs w:val="21"/>
          <w:color w:val="auto"/>
        </w:rPr>
        <w:t>This First Amendment (“</w:t>
      </w:r>
      <w:r>
        <w:rPr>
          <w:rFonts w:ascii="Times New Roman" w:cs="Times New Roman" w:eastAsia="Times New Roman" w:hAnsi="Times New Roman"/>
          <w:sz w:val="21"/>
          <w:szCs w:val="21"/>
          <w:b w:val="1"/>
          <w:bCs w:val="1"/>
          <w:color w:val="auto"/>
        </w:rPr>
        <w:t>First Amendment</w:t>
      </w:r>
      <w:r>
        <w:rPr>
          <w:rFonts w:ascii="Times New Roman" w:cs="Times New Roman" w:eastAsia="Times New Roman" w:hAnsi="Times New Roman"/>
          <w:sz w:val="21"/>
          <w:szCs w:val="21"/>
          <w:color w:val="auto"/>
        </w:rPr>
        <w:t>”) to the Master Services Agreement dated June 9, 2023, effective as of July 1, 2023 (the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is made and entered into on January 6, 2025 (the “</w:t>
      </w:r>
      <w:r>
        <w:rPr>
          <w:rFonts w:ascii="Times New Roman" w:cs="Times New Roman" w:eastAsia="Times New Roman" w:hAnsi="Times New Roman"/>
          <w:sz w:val="21"/>
          <w:szCs w:val="21"/>
          <w:b w:val="1"/>
          <w:bCs w:val="1"/>
          <w:color w:val="auto"/>
        </w:rPr>
        <w:t>First Amendment Effective Date</w:t>
      </w:r>
      <w:r>
        <w:rPr>
          <w:rFonts w:ascii="Times New Roman" w:cs="Times New Roman" w:eastAsia="Times New Roman" w:hAnsi="Times New Roman"/>
          <w:sz w:val="21"/>
          <w:szCs w:val="21"/>
          <w:color w:val="auto"/>
        </w:rPr>
        <w:t xml:space="preserve">”), and is made by and between </w:t>
      </w:r>
      <w:r>
        <w:rPr>
          <w:rFonts w:ascii="Times New Roman" w:cs="Times New Roman" w:eastAsia="Times New Roman" w:hAnsi="Times New Roman"/>
          <w:sz w:val="21"/>
          <w:szCs w:val="21"/>
          <w:b w:val="1"/>
          <w:bCs w:val="1"/>
          <w:color w:val="auto"/>
        </w:rPr>
        <w:t>Chime Financial, Inc.</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b w:val="1"/>
          <w:bCs w:val="1"/>
          <w:color w:val="auto"/>
        </w:rPr>
        <w:t>Client</w:t>
      </w:r>
      <w:r>
        <w:rPr>
          <w:rFonts w:ascii="Times New Roman" w:cs="Times New Roman" w:eastAsia="Times New Roman" w:hAnsi="Times New Roman"/>
          <w:sz w:val="21"/>
          <w:szCs w:val="21"/>
          <w:color w:val="auto"/>
        </w:rPr>
        <w:t xml:space="preserve">”) whose principal office is located at 101 California, #500, San Francisco CA 94111 and </w:t>
      </w:r>
      <w:r>
        <w:rPr>
          <w:rFonts w:ascii="Times New Roman" w:cs="Times New Roman" w:eastAsia="Times New Roman" w:hAnsi="Times New Roman"/>
          <w:sz w:val="21"/>
          <w:szCs w:val="21"/>
          <w:b w:val="1"/>
          <w:bCs w:val="1"/>
          <w:color w:val="auto"/>
        </w:rPr>
        <w:t>The Bancorp Bank, N.A.</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b w:val="1"/>
          <w:bCs w:val="1"/>
          <w:color w:val="auto"/>
        </w:rPr>
        <w:t>Bank</w:t>
      </w:r>
      <w:r>
        <w:rPr>
          <w:rFonts w:ascii="Times New Roman" w:cs="Times New Roman" w:eastAsia="Times New Roman" w:hAnsi="Times New Roman"/>
          <w:sz w:val="21"/>
          <w:szCs w:val="21"/>
          <w:color w:val="auto"/>
        </w:rPr>
        <w:t>”) a nationally chartered bank with its principal offices at 345 N Reid Pl, Sioux Falls, 57103. Client and Bank are collectively referred to the “</w:t>
      </w:r>
      <w:r>
        <w:rPr>
          <w:rFonts w:ascii="Times New Roman" w:cs="Times New Roman" w:eastAsia="Times New Roman" w:hAnsi="Times New Roman"/>
          <w:sz w:val="21"/>
          <w:szCs w:val="21"/>
          <w:b w:val="1"/>
          <w:bCs w:val="1"/>
          <w:color w:val="auto"/>
        </w:rPr>
        <w:t>Parties</w:t>
      </w:r>
      <w:r>
        <w:rPr>
          <w:rFonts w:ascii="Times New Roman" w:cs="Times New Roman" w:eastAsia="Times New Roman" w:hAnsi="Times New Roman"/>
          <w:sz w:val="21"/>
          <w:szCs w:val="21"/>
          <w:color w:val="auto"/>
        </w:rPr>
        <w:t>” and are individually referred to as a “</w:t>
      </w:r>
      <w:r>
        <w:rPr>
          <w:rFonts w:ascii="Times New Roman" w:cs="Times New Roman" w:eastAsia="Times New Roman" w:hAnsi="Times New Roman"/>
          <w:sz w:val="21"/>
          <w:szCs w:val="21"/>
          <w:b w:val="1"/>
          <w:bCs w:val="1"/>
          <w:color w:val="auto"/>
        </w:rPr>
        <w:t>Party</w:t>
      </w:r>
      <w:r>
        <w:rPr>
          <w:rFonts w:ascii="Times New Roman" w:cs="Times New Roman" w:eastAsia="Times New Roman" w:hAnsi="Times New Roman"/>
          <w:sz w:val="21"/>
          <w:szCs w:val="21"/>
          <w:color w:val="auto"/>
        </w:rPr>
        <w:t>.”</w:t>
      </w:r>
    </w:p>
    <w:p>
      <w:pPr>
        <w:spacing w:after="0" w:line="34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3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Client and Bank entered into the Agreement as of July 1, 2023.</w:t>
      </w:r>
    </w:p>
    <w:p>
      <w:pPr>
        <w:spacing w:after="0" w:line="206" w:lineRule="exact"/>
        <w:rPr>
          <w:sz w:val="20"/>
          <w:szCs w:val="20"/>
          <w:color w:val="auto"/>
        </w:rPr>
      </w:pPr>
    </w:p>
    <w:p>
      <w:pPr>
        <w:ind w:right="6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Parties wish to amend the Agreement in accordance with the terms and conditions set forth in this First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Amendment to the Agreement.</w:t>
      </w:r>
    </w:p>
    <w:p>
      <w:pPr>
        <w:spacing w:after="0" w:line="163" w:lineRule="exact"/>
        <w:rPr>
          <w:sz w:val="20"/>
          <w:szCs w:val="20"/>
          <w:color w:val="auto"/>
        </w:rPr>
      </w:pPr>
    </w:p>
    <w:p>
      <w:pPr>
        <w:ind w:right="320"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covenants contained herein, and for other good and valuable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consideration, the receipt and sufficiency of which is hereby acknowledged, the Parties hereto, intending to be legally bound, agree as follows:</w:t>
      </w:r>
    </w:p>
    <w:p>
      <w:pPr>
        <w:spacing w:after="0" w:line="170" w:lineRule="exact"/>
        <w:rPr>
          <w:sz w:val="20"/>
          <w:szCs w:val="20"/>
          <w:color w:val="auto"/>
        </w:rPr>
      </w:pPr>
    </w:p>
    <w:p>
      <w:pPr>
        <w:ind w:left="660" w:hanging="328"/>
        <w:spacing w:after="0"/>
        <w:tabs>
          <w:tab w:leader="none" w:pos="660" w:val="left"/>
        </w:tabs>
        <w:numPr>
          <w:ilvl w:val="0"/>
          <w:numId w:val="3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Section 1 of the Agreement is hereby amended by adding the following definitions:</w:t>
      </w:r>
    </w:p>
    <w:p>
      <w:pPr>
        <w:spacing w:after="0" w:line="22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2"/>
          <w:szCs w:val="22"/>
          <w:color w:val="auto"/>
        </w:rPr>
        <w:t>“Advanced Stride ACH Funds” means the amount of funds Bank has transferred to Stride Bank, N.A. in connection with a Customer’s Secured Deposit Account (i.e. Credit Builder Account) held at Stride Bank, N.A., where such funds have been made available by Bank to Customer pursuant to an early ACH transaction, but for which Bank has not yet received settlement from ACH.</w:t>
      </w:r>
    </w:p>
    <w:p>
      <w:pPr>
        <w:spacing w:after="0" w:line="176" w:lineRule="exact"/>
        <w:rPr>
          <w:sz w:val="20"/>
          <w:szCs w:val="20"/>
          <w:color w:val="auto"/>
        </w:rPr>
      </w:pPr>
    </w:p>
    <w:p>
      <w:pPr>
        <w:ind w:right="380"/>
        <w:spacing w:after="0" w:line="271" w:lineRule="auto"/>
        <w:rPr>
          <w:sz w:val="20"/>
          <w:szCs w:val="20"/>
          <w:color w:val="auto"/>
        </w:rPr>
      </w:pPr>
      <w:r>
        <w:rPr>
          <w:rFonts w:ascii="Times New Roman" w:cs="Times New Roman" w:eastAsia="Times New Roman" w:hAnsi="Times New Roman"/>
          <w:sz w:val="22"/>
          <w:szCs w:val="22"/>
          <w:color w:val="auto"/>
        </w:rPr>
        <w:t>“Bank-Funded Overdrafts and Non-Interest-Bearing Liquidity Extensions” means the balances held on Bank’s balance sheet related to the Asset Based Programs.</w:t>
      </w:r>
    </w:p>
    <w:p>
      <w:pPr>
        <w:spacing w:after="0" w:line="158" w:lineRule="exact"/>
        <w:rPr>
          <w:sz w:val="20"/>
          <w:szCs w:val="20"/>
          <w:color w:val="auto"/>
        </w:rPr>
      </w:pPr>
    </w:p>
    <w:p>
      <w:pPr>
        <w:ind w:right="420"/>
        <w:spacing w:after="0" w:line="284" w:lineRule="auto"/>
        <w:rPr>
          <w:sz w:val="20"/>
          <w:szCs w:val="20"/>
          <w:color w:val="auto"/>
        </w:rPr>
      </w:pPr>
      <w:r>
        <w:rPr>
          <w:rFonts w:ascii="Times New Roman" w:cs="Times New Roman" w:eastAsia="Times New Roman" w:hAnsi="Times New Roman"/>
          <w:sz w:val="22"/>
          <w:szCs w:val="22"/>
          <w:color w:val="auto"/>
        </w:rPr>
        <w:t>“Chime Capital MSA” means the Master Services Agreement dated June 9, 2023, and effective as of July 1, 2023, executed between Bank and Chime Capital, LLC, as may be amended from time to time.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“Non-Cash Secured Assets” means assets that are not originated under the Secured Credit Addendum to the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“Projected Stressed Loss Liquidity Event” shall be defined as follows:</w:t>
      </w:r>
    </w:p>
    <w:p>
      <w:pPr>
        <w:spacing w:after="0" w:line="220" w:lineRule="exact"/>
        <w:rPr>
          <w:sz w:val="20"/>
          <w:szCs w:val="20"/>
          <w:color w:val="auto"/>
        </w:rPr>
      </w:pPr>
    </w:p>
    <w:p>
      <w:pPr>
        <w:ind w:right="40" w:firstLine="656"/>
        <w:spacing w:after="0" w:line="281" w:lineRule="auto"/>
        <w:tabs>
          <w:tab w:leader="none" w:pos="960" w:val="left"/>
        </w:tabs>
        <w:numPr>
          <w:ilvl w:val="0"/>
          <w:numId w:val="3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from the First Amendment Effective Date until [***], Stressed Loss Liquidity Event shall mean: if [***] of expected losses for Liquidity Products (as defined below) for [***] on assets originated under the Asset Based Programs less expected product revenue and recoveries over [***] are greater than the sum of Client’s unencumbered assets held at the Bank outlined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140"/>
          </w:cols>
          <w:pgMar w:left="320" w:top="123" w:right="439" w:bottom="1440" w:gutter="0" w:footer="0" w:header="0"/>
        </w:sectPr>
      </w:pPr>
    </w:p>
    <w:bookmarkStart w:id="536" w:name="page537"/>
    <w:bookmarkEnd w:id="536"/>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22"/>
          <w:szCs w:val="22"/>
          <w:color w:val="auto"/>
        </w:rPr>
        <w:t>Exhibit A - Schedule 8: Unencumbered Asset Calculation and [***] of the sum of Client’s cash and marketable securities, as reported on Client-provided financial statements. For purposes of this defined term, “Liquidity Products” means the following Bank-funded products: Instant Loans, MyPay, SpotMe, and non-SpotMe Negative Balances, in addition to Purchased MyPay Program Receivables; and,</w:t>
      </w:r>
    </w:p>
    <w:p>
      <w:pPr>
        <w:spacing w:after="0" w:line="176" w:lineRule="exact"/>
        <w:rPr>
          <w:sz w:val="20"/>
          <w:szCs w:val="20"/>
          <w:color w:val="auto"/>
        </w:rPr>
      </w:pPr>
    </w:p>
    <w:p>
      <w:pPr>
        <w:ind w:right="60" w:firstLine="656"/>
        <w:spacing w:after="0" w:line="250" w:lineRule="auto"/>
        <w:tabs>
          <w:tab w:leader="none" w:pos="966" w:val="left"/>
        </w:tabs>
        <w:numPr>
          <w:ilvl w:val="0"/>
          <w:numId w:val="3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 and thereafter, Stressed Loss Liquidity Event shall mean if [***] of expected losses for Liquidity Products (as defined below) for [***] on a rolling basis on assets originated under the Asset Based Programs, less expected product revenue and recoveries over [***] are greater than the sum of Client’s unencumbered assets held at the Bank outlined in Exhibit A - Schedule 8: Unencumbered Asset Calculation and [***] of the sum of Client’s cash and marketable securities, as reported on Client-provided financial statements. For purposes of this defined term, “Liquidity Products” means the following Bank-funded products: Instant Loans, MyPay, SpotMe, and non-SpotMe Negative Balances, in addition to Purchased MyPay Program Receivables.”</w:t>
      </w:r>
    </w:p>
    <w:p>
      <w:pPr>
        <w:spacing w:after="0" w:line="180" w:lineRule="exact"/>
        <w:rPr>
          <w:sz w:val="20"/>
          <w:szCs w:val="20"/>
          <w:color w:val="auto"/>
        </w:rPr>
      </w:pPr>
    </w:p>
    <w:p>
      <w:pPr>
        <w:ind w:right="400"/>
        <w:spacing w:after="0" w:line="271" w:lineRule="auto"/>
        <w:rPr>
          <w:sz w:val="20"/>
          <w:szCs w:val="20"/>
          <w:color w:val="auto"/>
        </w:rPr>
      </w:pPr>
      <w:r>
        <w:rPr>
          <w:rFonts w:ascii="Times New Roman" w:cs="Times New Roman" w:eastAsia="Times New Roman" w:hAnsi="Times New Roman"/>
          <w:sz w:val="22"/>
          <w:szCs w:val="22"/>
          <w:color w:val="auto"/>
        </w:rPr>
        <w:t>“Purchased MyPay Program Receivables” means MyPay program receivables purchased by Bank from Client’s other partner banks.</w:t>
      </w:r>
    </w:p>
    <w:p>
      <w:pPr>
        <w:spacing w:after="0" w:line="158"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22"/>
          <w:szCs w:val="22"/>
          <w:color w:val="auto"/>
        </w:rPr>
        <w:t>“Unfunded Credit Builder Transfer” means, for the time period the Advanced Stride ACH Funds remain unsettled with Bank, the difference between the amount of settled funds that a Customer holds in their Bank-issued demand deposit account and the Advanced Stride ACH Funds; provided, however, that a Unfunded Credit Builder Transfer shall only be applicable if the amount of the Advanced Stride ACH Funds is greater than the amount of funds in such Customer’s DDA at the time of such transfer. For clarity, the applicable transaction codes for ‘Unfunded Credit Builder Transfers’ are listed in the ‘Notes’ column of the ‘Unfunded Credit Builder Transfer’ row in Exhibit A - Schedule 2: ACH Processing Fees.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“Unfunded Credit Builder Transfer Fee” shall be calculated as, [***].</w:t>
      </w:r>
    </w:p>
    <w:p>
      <w:pPr>
        <w:spacing w:after="0" w:line="220" w:lineRule="exact"/>
        <w:rPr>
          <w:sz w:val="20"/>
          <w:szCs w:val="20"/>
          <w:color w:val="auto"/>
        </w:rPr>
      </w:pPr>
    </w:p>
    <w:p>
      <w:pPr>
        <w:ind w:left="660" w:hanging="328"/>
        <w:spacing w:after="0"/>
        <w:tabs>
          <w:tab w:leader="none" w:pos="660" w:val="left"/>
        </w:tabs>
        <w:numPr>
          <w:ilvl w:val="0"/>
          <w:numId w:val="3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Section 2.10 (a) of the Agreement is hereby deleted in its entirety and in lieu thereof, is replaced with the following:</w:t>
      </w:r>
    </w:p>
    <w:p>
      <w:pPr>
        <w:spacing w:after="0" w:line="22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2"/>
          <w:szCs w:val="22"/>
          <w:color w:val="auto"/>
        </w:rPr>
        <w:t>“(a) Asset Based Program Thresholds. Subject to the terms and conditions in this Agreement, from and after the First Amendment Effective Date and during the Term of this Agreement, any Renewal Term, and any Wind-Down Period, if applicable, Bank agrees that it shall originate and hold Accounts originated under any Asset Based Program on its balance sheet, including on an aggregated basis all Client Affiliates’ Asset Based Programs, not to exceed on an aggregated basis (and measured on the last day of a calendar quarter) two hundred percent (200%) of Bank’s Tier 1 Capital, with Non-Cash Secured Assets not to exceed on an aggregate basis (and measured on the last day of a calendar quarter) one hundred twenty five percent (125%) of Bank’s Tier 1 Capital (the “</w:t>
      </w:r>
      <w:r>
        <w:rPr>
          <w:rFonts w:ascii="Times New Roman" w:cs="Times New Roman" w:eastAsia="Times New Roman" w:hAnsi="Times New Roman"/>
          <w:sz w:val="22"/>
          <w:szCs w:val="22"/>
          <w:b w:val="1"/>
          <w:bCs w:val="1"/>
          <w:color w:val="auto"/>
        </w:rPr>
        <w:t>Asset Based Program Threshold Limit</w:t>
      </w:r>
      <w:r>
        <w:rPr>
          <w:rFonts w:ascii="Times New Roman" w:cs="Times New Roman" w:eastAsia="Times New Roman" w:hAnsi="Times New Roman"/>
          <w:sz w:val="22"/>
          <w:szCs w:val="22"/>
          <w:color w:val="auto"/>
        </w:rPr>
        <w:t>”). Bank shall provide Client, on a quarterly basis, a good faith [***] Tier 1 Capital forecast (the “Tier 1 Forecast”); provided, that the Tier 1 Forecast period shall be within the same forecast period as the Program Volume Forecast provided to Bank by Client. For the avoidance of doubt, Purchased MyPay Program Receivables, shall be included in the Asset Based Program Threshold Limit. For the further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20"/>
          </w:cols>
          <w:pgMar w:left="320" w:top="123" w:right="359" w:bottom="1440" w:gutter="0" w:footer="0" w:header="0"/>
        </w:sectPr>
      </w:pPr>
    </w:p>
    <w:bookmarkStart w:id="537" w:name="page538"/>
    <w:bookmarkEnd w:id="537"/>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2"/>
          <w:szCs w:val="22"/>
          <w:color w:val="auto"/>
        </w:rPr>
        <w:t>avoidance of doubt, the Asset Based Program Threshold Limit set forth in this Section 2.10(a) shall include any Asset Based Program Threshold Limit set forth in the Chime Capital MSA, and Client (on behalf of itself and its wholly-owned subsidiary Chime Capital, LLC) acknowledges that any Asset Based Program Threshold Limit set forth in the Chime Capital MSA shall not be interpreted to be in addition to the Asset Based Program Threshold Limit set forth in this Section 2.10(a). The Parties acknowledge and agree that, within [***] of First Amendment Effective Date, the Parties will work together in good faith to identify and develop a mutually agreed upon plan to build capital market outlets for loans and other non-credit liquidity products originated by Bank under an Asset Based Program, including but not limited to, asset sales and asset-backed securitizations. The Parties agree to restructure pricing and product terms for products distributed through such capital market outlets as necessary to reflect market rate structure, and such that products qualify for appropriate true-lender and true-sale accounting treatment. For the avoidance of doubt, no Accounts originated under an Asset Based Program shall be sold, securitized, or otherwise transfer or change economic ownership except and until as may be provided under this Agreement or as otherwise agreed in writing by Bank and Client, and subject to any terms and conditions set forth therein.</w:t>
      </w:r>
    </w:p>
    <w:p>
      <w:pPr>
        <w:spacing w:after="0" w:line="184" w:lineRule="exact"/>
        <w:rPr>
          <w:sz w:val="20"/>
          <w:szCs w:val="20"/>
          <w:color w:val="auto"/>
        </w:rPr>
      </w:pPr>
    </w:p>
    <w:p>
      <w:pPr>
        <w:ind w:left="660" w:right="80" w:hanging="328"/>
        <w:spacing w:after="0" w:line="271" w:lineRule="auto"/>
        <w:tabs>
          <w:tab w:leader="none" w:pos="660" w:val="left"/>
        </w:tabs>
        <w:numPr>
          <w:ilvl w:val="0"/>
          <w:numId w:val="3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Parties acknowledge that Section 2 of this First Amendment is subject to approval by Bank’s Board of Directors, and Section 2 of this First Amendment shall not be effective until such approval.</w:t>
      </w:r>
    </w:p>
    <w:p>
      <w:pPr>
        <w:spacing w:after="0" w:line="171" w:lineRule="exact"/>
        <w:rPr>
          <w:rFonts w:ascii="Times New Roman" w:cs="Times New Roman" w:eastAsia="Times New Roman" w:hAnsi="Times New Roman"/>
          <w:sz w:val="22"/>
          <w:szCs w:val="22"/>
          <w:b w:val="1"/>
          <w:bCs w:val="1"/>
          <w:color w:val="auto"/>
        </w:rPr>
      </w:pPr>
    </w:p>
    <w:p>
      <w:pPr>
        <w:ind w:left="660" w:hanging="328"/>
        <w:spacing w:after="0"/>
        <w:tabs>
          <w:tab w:leader="none" w:pos="660" w:val="left"/>
        </w:tabs>
        <w:numPr>
          <w:ilvl w:val="0"/>
          <w:numId w:val="3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Section 2.10 (c) of the Agreement is amended by adding the following sentence at the end of the paragraph:</w:t>
      </w:r>
    </w:p>
    <w:p>
      <w:pPr>
        <w:spacing w:after="0" w:line="220"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22"/>
          <w:szCs w:val="22"/>
          <w:color w:val="auto"/>
        </w:rPr>
        <w:t>“Notwithstanding anything to the contrary herein, the Asset Based Program Threshold Limit may be increased at any time during the Term of this Agreement by mutual written agreement of the Parties.”</w:t>
      </w:r>
    </w:p>
    <w:p>
      <w:pPr>
        <w:spacing w:after="0" w:line="158" w:lineRule="exact"/>
        <w:rPr>
          <w:sz w:val="20"/>
          <w:szCs w:val="20"/>
          <w:color w:val="auto"/>
        </w:rPr>
      </w:pPr>
    </w:p>
    <w:p>
      <w:pPr>
        <w:ind w:left="660" w:hanging="328"/>
        <w:spacing w:after="0"/>
        <w:tabs>
          <w:tab w:leader="none" w:pos="660" w:val="left"/>
        </w:tabs>
        <w:numPr>
          <w:ilvl w:val="0"/>
          <w:numId w:val="3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Section 3.20 of the Agreement is hereby deleted in its entirety and in lieu thereof, is replaced with the following:</w:t>
      </w:r>
    </w:p>
    <w:p>
      <w:pPr>
        <w:spacing w:after="0" w:line="22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21"/>
          <w:szCs w:val="21"/>
          <w:color w:val="auto"/>
        </w:rPr>
        <w:t xml:space="preserve">“3.20 </w:t>
      </w:r>
      <w:r>
        <w:rPr>
          <w:rFonts w:ascii="Times New Roman" w:cs="Times New Roman" w:eastAsia="Times New Roman" w:hAnsi="Times New Roman"/>
          <w:sz w:val="21"/>
          <w:szCs w:val="21"/>
          <w:u w:val="single" w:color="auto"/>
          <w:color w:val="auto"/>
        </w:rPr>
        <w:t>Program Volume Forecasts</w:t>
      </w:r>
      <w:r>
        <w:rPr>
          <w:rFonts w:ascii="Times New Roman" w:cs="Times New Roman" w:eastAsia="Times New Roman" w:hAnsi="Times New Roman"/>
          <w:sz w:val="21"/>
          <w:szCs w:val="21"/>
          <w:color w:val="auto"/>
        </w:rPr>
        <w:t>. Beginning on the First Amendment Effective Date, Client shall provide Bank, on a quarterly basis, a reasonable, good faith [***] forecast, of projected Program volumes for such following [***] period (a “</w:t>
      </w:r>
      <w:r>
        <w:rPr>
          <w:rFonts w:ascii="Times New Roman" w:cs="Times New Roman" w:eastAsia="Times New Roman" w:hAnsi="Times New Roman"/>
          <w:sz w:val="21"/>
          <w:szCs w:val="21"/>
          <w:b w:val="1"/>
          <w:bCs w:val="1"/>
          <w:color w:val="auto"/>
        </w:rPr>
        <w:t>Program</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Volume Forecast</w:t>
      </w:r>
      <w:r>
        <w:rPr>
          <w:rFonts w:ascii="Times New Roman" w:cs="Times New Roman" w:eastAsia="Times New Roman" w:hAnsi="Times New Roman"/>
          <w:sz w:val="21"/>
          <w:szCs w:val="21"/>
          <w:color w:val="auto"/>
        </w:rPr>
        <w:t>”). Client shall provide each Program Volume Forecast to Bank no later than the last business day of the second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month of each quarter (i.e., February, May, August, November). Bank shall review the applicable Program Volume Forecast, and provide written notice to Client of Bank’s acceptance of, or request for changes to, the Program volumes set forth in the applicable Program Volume Forecast no later than the last business day of each quarter. If Bank notifies Client of its acceptance of an applicable Program Volume Forecast, Bank shall commit to originate the Program volumes set forth in such Program Volume Forecast for the [***] following such Program Volume Forecast (“</w:t>
      </w:r>
      <w:r>
        <w:rPr>
          <w:rFonts w:ascii="Times New Roman" w:cs="Times New Roman" w:eastAsia="Times New Roman" w:hAnsi="Times New Roman"/>
          <w:sz w:val="21"/>
          <w:szCs w:val="21"/>
          <w:b w:val="1"/>
          <w:bCs w:val="1"/>
          <w:color w:val="auto"/>
        </w:rPr>
        <w:t>Program Volume Commitment</w:t>
      </w:r>
      <w:r>
        <w:rPr>
          <w:rFonts w:ascii="Times New Roman" w:cs="Times New Roman" w:eastAsia="Times New Roman" w:hAnsi="Times New Roman"/>
          <w:sz w:val="21"/>
          <w:szCs w:val="21"/>
          <w:color w:val="auto"/>
        </w:rPr>
        <w:t>”). Bank shall have the responsibility to ensure that any Program Volume Commitment does not violate Bank’s approved Asset Based Program Threshold Limit. Notwithstanding anything in this Agreement, Bank may modify the Program Volume Commitment to the extent required by any Regulatory Authority, and in such event, Bank shall notify Client of such modification in writing as soon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23" w:right="339" w:bottom="1440" w:gutter="0" w:footer="0" w:header="0"/>
        </w:sectPr>
      </w:pPr>
    </w:p>
    <w:bookmarkStart w:id="538" w:name="page539"/>
    <w:bookmarkEnd w:id="538"/>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2"/>
          <w:szCs w:val="22"/>
          <w:color w:val="auto"/>
        </w:rPr>
        <w:t>commercially practicable upon receiving such Regulatory Authority requirement. Client shall use commercially reasonable efforts to market the Programs to achieve the Program Volume Forecast. In the event a Projected Stressed Loss Liquidity Event is projected to occur, Bank reserves the right to limit Bank’s asset originations solely during the month, and any subsequent following months, in which such Projected Stressed Loss Liquidity Event is projected to occur, until such Projected Stressed Loss Liquidity Event has been rectified. Client shall take all necessary actions to comply with such limitations. Based upon the Program Volume Forecast, Bank shall provide to Client no less than [***] prior written notice of any reasonably anticipated constraints in its ability to fulfill such Program Volume Forecast. Should Bank become unable to support Program volumes as set forth in a Program Volume Forecast, the Parties agree to use commercially reasonable efforts to resolve such inability. Client shall not, without providing Bank with notice at least [***] in advance, take any steps that would deliberately decrease the asset originations expected under the Program Volume Forecast. Without limiting the foregoing, should Client become unable to meet the Program Volume Forecast due to a request, direction or any other action by any Regulatory Authority or as may be required to comply by Applicable Law, the Parties agree to use commercially reasonable efforts to resolve such inability and such inability shall not be considered a breach hereunder.”</w:t>
      </w:r>
    </w:p>
    <w:p>
      <w:pPr>
        <w:spacing w:after="0" w:line="193" w:lineRule="exact"/>
        <w:rPr>
          <w:sz w:val="20"/>
          <w:szCs w:val="20"/>
          <w:color w:val="auto"/>
        </w:rPr>
      </w:pPr>
    </w:p>
    <w:p>
      <w:pPr>
        <w:ind w:left="660" w:hanging="328"/>
        <w:spacing w:after="0"/>
        <w:tabs>
          <w:tab w:leader="none" w:pos="660" w:val="left"/>
        </w:tabs>
        <w:numPr>
          <w:ilvl w:val="0"/>
          <w:numId w:val="3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Section 3 of the Agreement is amended by adding the following subsection 3.21:</w:t>
      </w:r>
    </w:p>
    <w:p>
      <w:pPr>
        <w:spacing w:after="0" w:line="233"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2"/>
          <w:szCs w:val="22"/>
          <w:color w:val="auto"/>
        </w:rPr>
        <w:t xml:space="preserve">“3.21 </w:t>
      </w:r>
      <w:r>
        <w:rPr>
          <w:rFonts w:ascii="Times New Roman" w:cs="Times New Roman" w:eastAsia="Times New Roman" w:hAnsi="Times New Roman"/>
          <w:sz w:val="22"/>
          <w:szCs w:val="22"/>
          <w:u w:val="single" w:color="auto"/>
          <w:color w:val="auto"/>
        </w:rPr>
        <w:t>Financial Reporting Meetings</w:t>
      </w:r>
      <w:r>
        <w:rPr>
          <w:rFonts w:ascii="Times New Roman" w:cs="Times New Roman" w:eastAsia="Times New Roman" w:hAnsi="Times New Roman"/>
          <w:sz w:val="22"/>
          <w:szCs w:val="22"/>
          <w:color w:val="auto"/>
        </w:rPr>
        <w:t>. Beginning on the First Amendment Effective Date, Client shall, on a quarterly basis, meet with Bank and any of its committees to review and discuss information related to Bank’s balance sheet management strategy, the Program Volume Forecast and other general financial metrics related to the Program. The Bank shall cause at least two voting members of Bank’s Asset-Liability Committee to be present at such meetings.”</w:t>
      </w:r>
    </w:p>
    <w:p>
      <w:pPr>
        <w:spacing w:after="0" w:line="179" w:lineRule="exact"/>
        <w:rPr>
          <w:sz w:val="20"/>
          <w:szCs w:val="20"/>
          <w:color w:val="auto"/>
        </w:rPr>
      </w:pPr>
    </w:p>
    <w:p>
      <w:pPr>
        <w:ind w:right="2980" w:firstLine="332"/>
        <w:spacing w:after="0" w:line="454" w:lineRule="auto"/>
        <w:tabs>
          <w:tab w:leader="none" w:pos="648" w:val="left"/>
        </w:tabs>
        <w:numPr>
          <w:ilvl w:val="0"/>
          <w:numId w:val="3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Section 7 of the Agreement is hereby amended by adding the following subsection 7(h): “7(h) In connection with Bank and Client’s [***] relationship with [***]:</w:t>
      </w:r>
    </w:p>
    <w:p>
      <w:pPr>
        <w:spacing w:after="0" w:line="1" w:lineRule="exact"/>
        <w:rPr>
          <w:rFonts w:ascii="Times New Roman" w:cs="Times New Roman" w:eastAsia="Times New Roman" w:hAnsi="Times New Roman"/>
          <w:sz w:val="22"/>
          <w:szCs w:val="22"/>
          <w:b w:val="1"/>
          <w:bCs w:val="1"/>
          <w:color w:val="auto"/>
        </w:rPr>
      </w:pPr>
    </w:p>
    <w:p>
      <w:pPr>
        <w:ind w:right="40" w:firstLine="656"/>
        <w:spacing w:after="0" w:line="252" w:lineRule="auto"/>
        <w:tabs>
          <w:tab w:leader="none" w:pos="960" w:val="left"/>
        </w:tabs>
        <w:numPr>
          <w:ilvl w:val="1"/>
          <w:numId w:val="3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 and Client shall work in good faith to amend the [***] (as amended, the “Amended Client [***] Agreement”) to reflect the updated pricing agreed to by the Parties as documented in the [***] dated [***]. The updated pricing in the Amended Client [***] Agreement shall be applied retroactively to the earlier of: (i) the effective date of the Amended Client [***] Agreement, or (ii) the First Amendment Effective Date.</w:t>
      </w:r>
    </w:p>
    <w:p>
      <w:pPr>
        <w:spacing w:after="0" w:line="192" w:lineRule="exact"/>
        <w:rPr>
          <w:rFonts w:ascii="Times New Roman" w:cs="Times New Roman" w:eastAsia="Times New Roman" w:hAnsi="Times New Roman"/>
          <w:sz w:val="22"/>
          <w:szCs w:val="22"/>
          <w:color w:val="auto"/>
        </w:rPr>
      </w:pPr>
    </w:p>
    <w:p>
      <w:pPr>
        <w:ind w:right="120" w:firstLine="656"/>
        <w:spacing w:after="0" w:line="249" w:lineRule="auto"/>
        <w:tabs>
          <w:tab w:leader="none" w:pos="966" w:val="left"/>
        </w:tabs>
        <w:numPr>
          <w:ilvl w:val="1"/>
          <w:numId w:val="3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 shall provide Client with[***] prior written notice of Bank’s [***] agreement with [***] expiring (the “[***] Negotiation Period”). During the [***] Negotiation Period, Bank and Client shall jointly negotiate new pricing terms for Client-related services with [***]. For the avoidance of doubt, during the [***] Negotiation Period, Client may negotiate such new pricing directly with [***]; provided, however, such negotiations shall not be materially adverse to Bank. Upon Bank entering into a new [***] agreement with [***] (“New [***] Agreement”), but in no event later than thirty (30) days thereafter, Bank and Client shall enter into a new amendment to the Amended Client [***] Agreement (“New Amended Client [***] Agreement”) to reflect any updated pricing set forth in the New [***] Agreement, including any costs savings and favorable terms. To the extent that the [***] by and between Bank, Client and [***]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23" w:right="339" w:bottom="1440" w:gutter="0" w:footer="0" w:header="0"/>
        </w:sectPr>
      </w:pPr>
    </w:p>
    <w:bookmarkStart w:id="539" w:name="page540"/>
    <w:bookmarkEnd w:id="539"/>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2"/>
          <w:szCs w:val="22"/>
          <w:color w:val="auto"/>
        </w:rPr>
        <w:t>amended, the “[***]Agreement”) also requires updates to reflect any changes in the New [***] Agreement, the Parties shall work in good faith with [***]to amend the [***] Agreement. Further, any updated pricing in the New Amended Client [***] Agreement shall be applied retroactively to the effective date of the New [***] Agreement. Notwithstanding anything to the contrary herein, in the event Bank has not entered into a New [***] Agreement within [***] of the First Amendment Effective Date, the Parties agree to negotiate in good faith updated pricing in Amended Client [***] Agreement.</w:t>
      </w:r>
    </w:p>
    <w:p>
      <w:pPr>
        <w:spacing w:after="0" w:line="179" w:lineRule="exact"/>
        <w:rPr>
          <w:sz w:val="20"/>
          <w:szCs w:val="20"/>
          <w:color w:val="auto"/>
        </w:rPr>
      </w:pPr>
    </w:p>
    <w:p>
      <w:pPr>
        <w:ind w:left="660" w:hanging="328"/>
        <w:spacing w:after="0"/>
        <w:tabs>
          <w:tab w:leader="none" w:pos="660" w:val="left"/>
        </w:tabs>
        <w:numPr>
          <w:ilvl w:val="0"/>
          <w:numId w:val="3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Section 10.1 of the Agreement is hereby deleted in its entirety and in lieu thereof, is replaced with the following:</w:t>
      </w:r>
    </w:p>
    <w:p>
      <w:pPr>
        <w:spacing w:after="0" w:line="220"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2"/>
          <w:szCs w:val="22"/>
          <w:color w:val="auto"/>
        </w:rPr>
        <w:t xml:space="preserve">“10.1 </w:t>
      </w:r>
      <w:r>
        <w:rPr>
          <w:rFonts w:ascii="Times New Roman" w:cs="Times New Roman" w:eastAsia="Times New Roman" w:hAnsi="Times New Roman"/>
          <w:sz w:val="22"/>
          <w:szCs w:val="22"/>
          <w:u w:val="single" w:color="auto"/>
          <w:color w:val="auto"/>
        </w:rPr>
        <w:t>Account Transfer Option</w:t>
      </w:r>
      <w:r>
        <w:rPr>
          <w:rFonts w:ascii="Times New Roman" w:cs="Times New Roman" w:eastAsia="Times New Roman" w:hAnsi="Times New Roman"/>
          <w:sz w:val="22"/>
          <w:szCs w:val="22"/>
          <w:color w:val="auto"/>
        </w:rPr>
        <w:t>. Each Program, as set forth in an Addendum to this Agreement, may give Client the right to purchase the applicable Accounts and Program upon termination of such Addendum and direct the transfer of such Accounts and Program to a successor qualified financial institution (a “</w:t>
      </w:r>
      <w:r>
        <w:rPr>
          <w:rFonts w:ascii="Times New Roman" w:cs="Times New Roman" w:eastAsia="Times New Roman" w:hAnsi="Times New Roman"/>
          <w:sz w:val="22"/>
          <w:szCs w:val="22"/>
          <w:b w:val="1"/>
          <w:bCs w:val="1"/>
          <w:color w:val="auto"/>
        </w:rPr>
        <w:t>Successor Bank</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b w:val="1"/>
          <w:bCs w:val="1"/>
          <w:color w:val="auto"/>
        </w:rPr>
        <w:t>Account Transfer Option</w:t>
      </w:r>
      <w:r>
        <w:rPr>
          <w:rFonts w:ascii="Times New Roman" w:cs="Times New Roman" w:eastAsia="Times New Roman" w:hAnsi="Times New Roman"/>
          <w:sz w:val="22"/>
          <w:szCs w:val="22"/>
          <w:color w:val="auto"/>
        </w:rPr>
        <w:t>”). Details of such Account Transfer Option shall be set forth in the applicable Addendum, and shall set forth the rights and obligations of the Parties in the event that Client exercises such Account Transfer Option, including but not limited to a mutually agreed upon wind down period (the “</w:t>
      </w:r>
      <w:r>
        <w:rPr>
          <w:rFonts w:ascii="Times New Roman" w:cs="Times New Roman" w:eastAsia="Times New Roman" w:hAnsi="Times New Roman"/>
          <w:sz w:val="22"/>
          <w:szCs w:val="22"/>
          <w:b w:val="1"/>
          <w:bCs w:val="1"/>
          <w:color w:val="auto"/>
        </w:rPr>
        <w:t>Wind Down Period</w:t>
      </w:r>
      <w:r>
        <w:rPr>
          <w:rFonts w:ascii="Times New Roman" w:cs="Times New Roman" w:eastAsia="Times New Roman" w:hAnsi="Times New Roman"/>
          <w:sz w:val="22"/>
          <w:szCs w:val="22"/>
          <w:color w:val="auto"/>
        </w:rPr>
        <w:t>”). Notwithstanding anything to the contrary in each applicable Addendum, if Client elects the Account Transfer Option, Client may, in its sole discretion, elect which Accounts shall be transferred to a Successor Bank and in no event shall Client be required to transfer all of the Accounts to a Successor Bank. Further, any outstanding balances related to Bank-Funded Overdrafts and Non-Interest-Bearing Liquidity Extensions shall remain on Bank’s balance sheet until such balances are either repaid, purchased or written-off in the normal course, unless Client elects to transfer or purchase such outstanding balances. In addition to any payments due from Client to Bank in connection with the Account Transfer Option set forth in each applicable Addendum, Client shall pay Bank a [***] fee per Customer transferring an Account to a Successor Bank (the “</w:t>
      </w:r>
      <w:r>
        <w:rPr>
          <w:rFonts w:ascii="Times New Roman" w:cs="Times New Roman" w:eastAsia="Times New Roman" w:hAnsi="Times New Roman"/>
          <w:sz w:val="22"/>
          <w:szCs w:val="22"/>
          <w:b w:val="1"/>
          <w:bCs w:val="1"/>
          <w:color w:val="auto"/>
        </w:rPr>
        <w:t>Transfer Fee</w:t>
      </w:r>
      <w:r>
        <w:rPr>
          <w:rFonts w:ascii="Times New Roman" w:cs="Times New Roman" w:eastAsia="Times New Roman" w:hAnsi="Times New Roman"/>
          <w:sz w:val="22"/>
          <w:szCs w:val="22"/>
          <w:color w:val="auto"/>
        </w:rPr>
        <w:t>”) regardless of whether such Customer holds multiple Accounts. For clarity, if a Customer holds a DDA, Savings Account and a Secured Card Account (as each term is defined in each applicable Addendum), Client shall pay Bank a single Transfer Fee for the transfer of all of such Customer’s Accounts.</w:t>
      </w:r>
    </w:p>
    <w:p>
      <w:pPr>
        <w:spacing w:after="0" w:line="183" w:lineRule="exact"/>
        <w:rPr>
          <w:sz w:val="20"/>
          <w:szCs w:val="20"/>
          <w:color w:val="auto"/>
        </w:rPr>
      </w:pPr>
    </w:p>
    <w:p>
      <w:pPr>
        <w:ind w:left="660" w:hanging="328"/>
        <w:spacing w:after="0"/>
        <w:tabs>
          <w:tab w:leader="none" w:pos="660" w:val="left"/>
        </w:tabs>
        <w:numPr>
          <w:ilvl w:val="0"/>
          <w:numId w:val="3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Section 18.5 of the Agreement is hereby deleted in its entirety and in lieu thereof, is replaced with the following:</w:t>
      </w:r>
    </w:p>
    <w:p>
      <w:pPr>
        <w:spacing w:after="0" w:line="220"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2"/>
          <w:szCs w:val="22"/>
          <w:color w:val="auto"/>
        </w:rPr>
        <w:t xml:space="preserve">“18.5 </w:t>
      </w:r>
      <w:r>
        <w:rPr>
          <w:rFonts w:ascii="Times New Roman" w:cs="Times New Roman" w:eastAsia="Times New Roman" w:hAnsi="Times New Roman"/>
          <w:sz w:val="22"/>
          <w:szCs w:val="22"/>
          <w:u w:val="single" w:color="auto"/>
          <w:color w:val="auto"/>
        </w:rPr>
        <w:t>Regulatory Examinations and Financial Information</w:t>
      </w:r>
      <w:r>
        <w:rPr>
          <w:rFonts w:ascii="Times New Roman" w:cs="Times New Roman" w:eastAsia="Times New Roman" w:hAnsi="Times New Roman"/>
          <w:sz w:val="22"/>
          <w:szCs w:val="22"/>
          <w:color w:val="auto"/>
        </w:rPr>
        <w:t>. Client agrees to submit to any examination which may be required by any Regulatory Authority with audit and examination authority over Bank, to the fullest extent of such Regulatory Authority. Client shall also provide to Bank any information, which may be required by any Regulatory Authority in connection with their audit or review of Bank or the Program and shall reasonably cooperate with such Regulatory Authority in connection with any audit or review of Bank. Client shall also acknowledge the right of Bank and any Regulatory Authority to audit the books and records of any Processor or other third party service provider involved in the Program. Client shall furnish Bank with, at Client’s expense, quarterly financial statements in the form required by Client’s Board of Directors and Applicable Law. Client shall also furnish Bank with its audited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23" w:right="339" w:bottom="1440" w:gutter="0" w:footer="0" w:header="0"/>
        </w:sectPr>
      </w:pPr>
    </w:p>
    <w:bookmarkStart w:id="540" w:name="page541"/>
    <w:bookmarkEnd w:id="540"/>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2"/>
          <w:szCs w:val="22"/>
          <w:color w:val="auto"/>
        </w:rPr>
        <w:t>statements on an annual basis within thirty (30) days of Client’s receipt of such audited financial statements. Additionally, Client will furnish Bank with its annual financial plan on an annual basis; provided that, if Client makes any material revisions to the annual financial plan, it shall provide Bank with such updated annual financial plan. Client shall also provide such other information as Regulatory Authorities, or the Network may from time-to-time reasonably request with respect to the financial condition of Client and such other information as Bank may from time to time reasonably request with respect to third Parties contracted with Client in connection with the Program.”</w:t>
      </w:r>
    </w:p>
    <w:p>
      <w:pPr>
        <w:spacing w:after="0" w:line="177" w:lineRule="exact"/>
        <w:rPr>
          <w:sz w:val="20"/>
          <w:szCs w:val="20"/>
          <w:color w:val="auto"/>
        </w:rPr>
      </w:pPr>
    </w:p>
    <w:p>
      <w:pPr>
        <w:ind w:left="660" w:hanging="328"/>
        <w:spacing w:after="0"/>
        <w:tabs>
          <w:tab w:leader="none" w:pos="660" w:val="left"/>
        </w:tabs>
        <w:numPr>
          <w:ilvl w:val="0"/>
          <w:numId w:val="3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Exhibit A - Schedule 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ACH Processing Fees Advance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 hereby amended [***] as follows:</w:t>
      </w:r>
    </w:p>
    <w:p>
      <w:pPr>
        <w:spacing w:after="0" w:line="223"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120"/>
          </w:cols>
          <w:pgMar w:left="320" w:top="123" w:right="459" w:bottom="1440" w:gutter="0" w:footer="0" w:header="0"/>
        </w:sectPr>
      </w:pPr>
    </w:p>
    <w:bookmarkStart w:id="541" w:name="page542"/>
    <w:bookmarkEnd w:id="541"/>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Table 1: </w:t>
      </w:r>
      <w:r>
        <w:rPr>
          <w:rFonts w:ascii="Times New Roman" w:cs="Times New Roman" w:eastAsia="Times New Roman" w:hAnsi="Times New Roman"/>
          <w:sz w:val="22"/>
          <w:szCs w:val="22"/>
          <w:color w:val="auto"/>
        </w:rPr>
        <w:t>Unfunded Credit Builder Transfers Rate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Table 2: </w:t>
      </w:r>
      <w:r>
        <w:rPr>
          <w:rFonts w:ascii="Times New Roman" w:cs="Times New Roman" w:eastAsia="Times New Roman" w:hAnsi="Times New Roman"/>
          <w:sz w:val="22"/>
          <w:szCs w:val="22"/>
          <w:color w:val="auto"/>
        </w:rPr>
        <w:t>Unfunded Credit Builder Transfer and Transfer Fee Example: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0139"/>
          </w:cols>
          <w:pgMar w:left="320" w:top="123" w:right="1440" w:bottom="1440" w:gutter="0" w:footer="0" w:header="0"/>
        </w:sectPr>
      </w:pPr>
    </w:p>
    <w:bookmarkStart w:id="542" w:name="page543"/>
    <w:bookmarkEnd w:id="542"/>
    <w:p>
      <w:pPr>
        <w:jc w:val="center"/>
        <w:ind w:right="-4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40" w:hanging="308"/>
        <w:spacing w:after="0"/>
        <w:tabs>
          <w:tab w:leader="none" w:pos="640" w:val="left"/>
        </w:tabs>
        <w:numPr>
          <w:ilvl w:val="0"/>
          <w:numId w:val="37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Exhibit A - Schedule 3: Bank Services Fees and Pass-Through Expenses of the Agreement is hereby amended [***]:</w:t>
      </w:r>
    </w:p>
    <w:p>
      <w:pPr>
        <w:spacing w:after="0" w:line="231" w:lineRule="exact"/>
        <w:rPr>
          <w:rFonts w:ascii="Times New Roman" w:cs="Times New Roman" w:eastAsia="Times New Roman" w:hAnsi="Times New Roman"/>
          <w:sz w:val="21"/>
          <w:szCs w:val="21"/>
          <w:b w:val="1"/>
          <w:bCs w:val="1"/>
          <w:color w:val="auto"/>
        </w:rPr>
      </w:pPr>
    </w:p>
    <w:p>
      <w:pPr>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0740"/>
          </w:cols>
          <w:pgMar w:left="320" w:top="123" w:right="839" w:bottom="1440" w:gutter="0" w:footer="0" w:header="0"/>
        </w:sectPr>
      </w:pPr>
    </w:p>
    <w:bookmarkStart w:id="543" w:name="page544"/>
    <w:bookmarkEnd w:id="543"/>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Table 1:</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hanging="328"/>
        <w:spacing w:after="0"/>
        <w:tabs>
          <w:tab w:leader="none" w:pos="660" w:val="left"/>
        </w:tabs>
        <w:numPr>
          <w:ilvl w:val="1"/>
          <w:numId w:val="37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Exhibit A - Schedule 6: Bank-funded Credit and Liquidity Products is hereby replaced in its entirety with the amended</w:t>
      </w:r>
    </w:p>
    <w:p>
      <w:pPr>
        <w:spacing w:after="0" w:line="39" w:lineRule="exact"/>
        <w:rPr>
          <w:rFonts w:ascii="Times New Roman" w:cs="Times New Roman" w:eastAsia="Times New Roman" w:hAnsi="Times New Roman"/>
          <w:sz w:val="21"/>
          <w:szCs w:val="21"/>
          <w:b w:val="1"/>
          <w:bCs w:val="1"/>
          <w:color w:val="auto"/>
        </w:rPr>
      </w:pPr>
    </w:p>
    <w:p>
      <w:pPr>
        <w:ind w:left="660"/>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and restated Exhibit A - Schedule 6: Bank-funded Credit and Liquidity Products attached hereto.</w:t>
      </w:r>
    </w:p>
    <w:p>
      <w:pPr>
        <w:spacing w:after="0" w:line="209" w:lineRule="exact"/>
        <w:rPr>
          <w:rFonts w:ascii="Times New Roman" w:cs="Times New Roman" w:eastAsia="Times New Roman" w:hAnsi="Times New Roman"/>
          <w:sz w:val="21"/>
          <w:szCs w:val="21"/>
          <w:b w:val="1"/>
          <w:bCs w:val="1"/>
          <w:color w:val="auto"/>
        </w:rPr>
      </w:pPr>
    </w:p>
    <w:p>
      <w:pPr>
        <w:ind w:left="660" w:right="320" w:hanging="328"/>
        <w:spacing w:after="0" w:line="271" w:lineRule="auto"/>
        <w:tabs>
          <w:tab w:leader="none" w:pos="660" w:val="left"/>
        </w:tabs>
        <w:numPr>
          <w:ilvl w:val="1"/>
          <w:numId w:val="3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Exhibit A of the Agreement is hereby amended by adding the following subsection 4 and adding a new Exhibit A - Schedule 7: Secured Credit Discount Calculation attached hereto:</w:t>
      </w:r>
    </w:p>
    <w:p>
      <w:pPr>
        <w:spacing w:after="0" w:line="157" w:lineRule="exact"/>
        <w:rPr>
          <w:rFonts w:ascii="Times New Roman" w:cs="Times New Roman" w:eastAsia="Times New Roman" w:hAnsi="Times New Roman"/>
          <w:sz w:val="22"/>
          <w:szCs w:val="22"/>
          <w:b w:val="1"/>
          <w:bCs w:val="1"/>
          <w:color w:val="auto"/>
        </w:rPr>
      </w:pPr>
    </w:p>
    <w:p>
      <w:pPr>
        <w:ind w:left="280" w:hanging="272"/>
        <w:spacing w:after="0"/>
        <w:tabs>
          <w:tab w:leader="none" w:pos="280" w:val="left"/>
        </w:tabs>
        <w:numPr>
          <w:ilvl w:val="0"/>
          <w:numId w:val="3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0920"/>
          </w:cols>
          <w:pgMar w:left="320" w:top="123" w:right="659" w:bottom="1440" w:gutter="0" w:footer="0" w:header="0"/>
        </w:sectPr>
      </w:pPr>
    </w:p>
    <w:bookmarkStart w:id="544" w:name="page545"/>
    <w:bookmarkEnd w:id="544"/>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60" w:right="980" w:hanging="328"/>
        <w:spacing w:after="0" w:line="271" w:lineRule="auto"/>
        <w:tabs>
          <w:tab w:leader="none" w:pos="660" w:val="left"/>
        </w:tabs>
        <w:numPr>
          <w:ilvl w:val="0"/>
          <w:numId w:val="3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Exhibit A of the Agreement is hereby amended by adding a new Exhibit A - Schedule 8: Unencumbered Asset Calculation attached hereto.</w:t>
      </w:r>
    </w:p>
    <w:p>
      <w:pPr>
        <w:spacing w:after="0" w:line="157" w:lineRule="exact"/>
        <w:rPr>
          <w:rFonts w:ascii="Times New Roman" w:cs="Times New Roman" w:eastAsia="Times New Roman" w:hAnsi="Times New Roman"/>
          <w:sz w:val="22"/>
          <w:szCs w:val="22"/>
          <w:b w:val="1"/>
          <w:bCs w:val="1"/>
          <w:color w:val="auto"/>
        </w:rPr>
      </w:pPr>
    </w:p>
    <w:p>
      <w:pPr>
        <w:ind w:left="660" w:hanging="328"/>
        <w:spacing w:after="0"/>
        <w:tabs>
          <w:tab w:leader="none" w:pos="660" w:val="left"/>
        </w:tabs>
        <w:numPr>
          <w:ilvl w:val="0"/>
          <w:numId w:val="37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Schedule E of the Private Label DDA Addendum to the Agreement is hereby amended by adding the following line item:</w:t>
      </w:r>
    </w:p>
    <w:p>
      <w:pPr>
        <w:spacing w:after="0" w:line="244" w:lineRule="exact"/>
        <w:rPr>
          <w:rFonts w:ascii="Times New Roman" w:cs="Times New Roman" w:eastAsia="Times New Roman" w:hAnsi="Times New Roman"/>
          <w:sz w:val="21"/>
          <w:szCs w:val="21"/>
          <w:b w:val="1"/>
          <w:bCs w:val="1"/>
          <w:color w:val="auto"/>
        </w:rPr>
      </w:pPr>
    </w:p>
    <w:p>
      <w:pPr>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1"/>
          <w:szCs w:val="21"/>
          <w:b w:val="1"/>
          <w:bCs w:val="1"/>
          <w:color w:val="auto"/>
        </w:rPr>
      </w:pPr>
    </w:p>
    <w:p>
      <w:pPr>
        <w:ind w:left="660" w:hanging="328"/>
        <w:spacing w:after="0" w:line="265" w:lineRule="auto"/>
        <w:tabs>
          <w:tab w:leader="none" w:pos="660" w:val="left"/>
        </w:tabs>
        <w:numPr>
          <w:ilvl w:val="0"/>
          <w:numId w:val="37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Miscellaneous. This First Amendment constitutes the entire agreement between Client and Bank concerning the subject matter of this First Amendment. Except as explicitly amended by this First Amendment, all of the terms and conditions of the Agreement shall remain in full force and effect. This First Amendment may be executed in any number of counterparts, each of which when so executed and delivered shall be deemed an original and all of which counterparts, taken together, shall constitute one and the same instrument. Delivery of an executed counterpart of this First Amendment by telefacsimile shall be equally as effective as delivery of an original executed counterpart of this First Amendment.</w:t>
      </w:r>
    </w:p>
    <w:p>
      <w:pPr>
        <w:spacing w:after="0" w:line="1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00"/>
          </w:cols>
          <w:pgMar w:left="320" w:top="123" w:right="379" w:bottom="1440" w:gutter="0" w:footer="0" w:header="0"/>
        </w:sectPr>
      </w:pPr>
    </w:p>
    <w:bookmarkStart w:id="545" w:name="page546"/>
    <w:bookmarkEnd w:id="545"/>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IN WITNESS WHEREOF, the undersigned hereby acknowledge and certify that as of the date below, they are duly authorized to sign on behalf of and legally bind the entities named below by executing this First Amendment.</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42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CHIME FINANCIAL, INC.</w:t>
            </w:r>
          </w:p>
        </w:tc>
        <w:tc>
          <w:tcPr>
            <w:tcW w:w="4300" w:type="dxa"/>
            <w:vAlign w:val="bottom"/>
            <w:gridSpan w:val="2"/>
          </w:tcPr>
          <w:p>
            <w:pPr>
              <w:ind w:left="1480"/>
              <w:spacing w:after="0"/>
              <w:rPr>
                <w:sz w:val="20"/>
                <w:szCs w:val="20"/>
                <w:color w:val="auto"/>
              </w:rPr>
            </w:pPr>
            <w:r>
              <w:rPr>
                <w:rFonts w:ascii="Times New Roman" w:cs="Times New Roman" w:eastAsia="Times New Roman" w:hAnsi="Times New Roman"/>
                <w:sz w:val="22"/>
                <w:szCs w:val="22"/>
                <w:color w:val="auto"/>
              </w:rPr>
              <w:t>THE BANCORP BANK, N.A.</w:t>
            </w:r>
          </w:p>
        </w:tc>
      </w:tr>
      <w:tr>
        <w:trPr>
          <w:trHeight w:val="567"/>
        </w:trPr>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6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 Matthew Newcomb</w:t>
            </w:r>
          </w:p>
        </w:tc>
        <w:tc>
          <w:tcPr>
            <w:tcW w:w="208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By:</w:t>
            </w:r>
          </w:p>
        </w:tc>
        <w:tc>
          <w:tcPr>
            <w:tcW w:w="2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 Ryan Harris</w:t>
            </w:r>
          </w:p>
        </w:tc>
      </w:tr>
      <w:tr>
        <w:trPr>
          <w:trHeight w:val="581"/>
        </w:trPr>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w w:val="98"/>
              </w:rPr>
              <w:t>Name:</w:t>
            </w:r>
          </w:p>
        </w:tc>
        <w:tc>
          <w:tcPr>
            <w:tcW w:w="366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Matthew Newcomb</w:t>
            </w:r>
          </w:p>
        </w:tc>
        <w:tc>
          <w:tcPr>
            <w:tcW w:w="2080" w:type="dxa"/>
            <w:vAlign w:val="bottom"/>
          </w:tcPr>
          <w:p>
            <w:pPr>
              <w:ind w:left="1480"/>
              <w:spacing w:after="0"/>
              <w:rPr>
                <w:sz w:val="20"/>
                <w:szCs w:val="20"/>
                <w:color w:val="auto"/>
              </w:rPr>
            </w:pPr>
            <w:r>
              <w:rPr>
                <w:rFonts w:ascii="Times New Roman" w:cs="Times New Roman" w:eastAsia="Times New Roman" w:hAnsi="Times New Roman"/>
                <w:sz w:val="22"/>
                <w:szCs w:val="22"/>
                <w:color w:val="auto"/>
                <w:w w:val="98"/>
              </w:rPr>
              <w:t>Name:</w:t>
            </w:r>
          </w:p>
        </w:tc>
        <w:tc>
          <w:tcPr>
            <w:tcW w:w="222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Ryan Harris</w:t>
            </w:r>
          </w:p>
        </w:tc>
      </w:tr>
      <w:tr>
        <w:trPr>
          <w:trHeight w:val="580"/>
        </w:trPr>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rPr>
              <w:t>Its:</w:t>
            </w:r>
          </w:p>
        </w:tc>
        <w:tc>
          <w:tcPr>
            <w:tcW w:w="3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CFO</w:t>
            </w:r>
          </w:p>
        </w:tc>
        <w:tc>
          <w:tcPr>
            <w:tcW w:w="208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Its:</w:t>
            </w:r>
          </w:p>
        </w:tc>
        <w:tc>
          <w:tcPr>
            <w:tcW w:w="22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7"/>
              </w:rPr>
              <w:t>Executive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180"/>
          </w:cols>
          <w:pgMar w:left="320" w:top="123" w:right="399" w:bottom="1440" w:gutter="0" w:footer="0" w:header="0"/>
        </w:sectPr>
      </w:pPr>
    </w:p>
    <w:bookmarkStart w:id="546" w:name="page547"/>
    <w:bookmarkEnd w:id="546"/>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3879"/>
        <w:spacing w:after="0" w:line="480" w:lineRule="auto"/>
        <w:rPr>
          <w:sz w:val="20"/>
          <w:szCs w:val="20"/>
          <w:color w:val="auto"/>
        </w:rPr>
      </w:pPr>
      <w:r>
        <w:rPr>
          <w:rFonts w:ascii="Times New Roman" w:cs="Times New Roman" w:eastAsia="Times New Roman" w:hAnsi="Times New Roman"/>
          <w:sz w:val="22"/>
          <w:szCs w:val="22"/>
          <w:b w:val="1"/>
          <w:bCs w:val="1"/>
          <w:color w:val="auto"/>
        </w:rPr>
        <w:t xml:space="preserve">Exhibit A - Schedule 6: Bank-funded Credit and Liquidity Products </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0139"/>
          </w:cols>
          <w:pgMar w:left="320" w:top="123" w:right="1440" w:bottom="1440" w:gutter="0" w:footer="0" w:header="0"/>
        </w:sectPr>
      </w:pPr>
    </w:p>
    <w:bookmarkStart w:id="547" w:name="page548"/>
    <w:bookmarkEnd w:id="547"/>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Table 1:</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0139"/>
          </w:cols>
          <w:pgMar w:left="320" w:top="123" w:right="1440" w:bottom="1440" w:gutter="0" w:footer="0" w:header="0"/>
        </w:sectPr>
      </w:pPr>
    </w:p>
    <w:bookmarkStart w:id="548" w:name="page549"/>
    <w:bookmarkEnd w:id="548"/>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60407"/>
        </w:rPr>
        <w:t>Table 2:</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0139"/>
          </w:cols>
          <w:pgMar w:left="320" w:top="123" w:right="1440" w:bottom="1440" w:gutter="0" w:footer="0" w:header="0"/>
        </w:sectPr>
      </w:pPr>
    </w:p>
    <w:bookmarkStart w:id="549" w:name="page550"/>
    <w:bookmarkEnd w:id="549"/>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4619"/>
        <w:spacing w:after="0" w:line="467" w:lineRule="auto"/>
        <w:rPr>
          <w:sz w:val="20"/>
          <w:szCs w:val="20"/>
          <w:color w:val="auto"/>
        </w:rPr>
      </w:pPr>
      <w:r>
        <w:rPr>
          <w:rFonts w:ascii="Times New Roman" w:cs="Times New Roman" w:eastAsia="Times New Roman" w:hAnsi="Times New Roman"/>
          <w:sz w:val="22"/>
          <w:szCs w:val="22"/>
          <w:b w:val="1"/>
          <w:bCs w:val="1"/>
          <w:color w:val="auto"/>
        </w:rPr>
        <w:t xml:space="preserve">Table 3: </w:t>
      </w:r>
      <w:r>
        <w:rPr>
          <w:rFonts w:ascii="Times New Roman" w:cs="Times New Roman" w:eastAsia="Times New Roman" w:hAnsi="Times New Roman"/>
          <w:sz w:val="22"/>
          <w:szCs w:val="22"/>
          <w:color w:val="auto"/>
        </w:rPr>
        <w:t>Total Program Balance Premium Calculation Example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0139"/>
          </w:cols>
          <w:pgMar w:left="320" w:top="123" w:right="1440" w:bottom="1440" w:gutter="0" w:footer="0" w:header="0"/>
        </w:sectPr>
      </w:pPr>
    </w:p>
    <w:bookmarkStart w:id="550" w:name="page551"/>
    <w:bookmarkEnd w:id="550"/>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4559"/>
        <w:spacing w:after="0" w:line="467" w:lineRule="auto"/>
        <w:rPr>
          <w:sz w:val="20"/>
          <w:szCs w:val="20"/>
          <w:color w:val="auto"/>
        </w:rPr>
      </w:pPr>
      <w:r>
        <w:rPr>
          <w:rFonts w:ascii="Times New Roman" w:cs="Times New Roman" w:eastAsia="Times New Roman" w:hAnsi="Times New Roman"/>
          <w:sz w:val="22"/>
          <w:szCs w:val="22"/>
          <w:b w:val="1"/>
          <w:bCs w:val="1"/>
          <w:color w:val="auto"/>
        </w:rPr>
        <w:t xml:space="preserve">Exhibit A - Schedule 7: Secured Credit Discount Calculation </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0139"/>
          </w:cols>
          <w:pgMar w:left="320" w:top="123" w:right="1440" w:bottom="1440" w:gutter="0" w:footer="0" w:header="0"/>
        </w:sectPr>
      </w:pPr>
    </w:p>
    <w:bookmarkStart w:id="551" w:name="page552"/>
    <w:bookmarkEnd w:id="551"/>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Table 2: </w:t>
      </w:r>
      <w:r>
        <w:rPr>
          <w:rFonts w:ascii="Times New Roman" w:cs="Times New Roman" w:eastAsia="Times New Roman" w:hAnsi="Times New Roman"/>
          <w:sz w:val="22"/>
          <w:szCs w:val="22"/>
          <w:color w:val="auto"/>
        </w:rPr>
        <w:t>Secured Credit Discount Calculation Example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0139"/>
          </w:cols>
          <w:pgMar w:left="320" w:top="123" w:right="1440" w:bottom="1440" w:gutter="0" w:footer="0" w:header="0"/>
        </w:sectPr>
      </w:pPr>
    </w:p>
    <w:bookmarkStart w:id="552" w:name="page553"/>
    <w:bookmarkEnd w:id="552"/>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4859"/>
        <w:spacing w:after="0" w:line="480" w:lineRule="auto"/>
        <w:rPr>
          <w:sz w:val="20"/>
          <w:szCs w:val="20"/>
          <w:color w:val="auto"/>
        </w:rPr>
      </w:pPr>
      <w:r>
        <w:rPr>
          <w:rFonts w:ascii="Times New Roman" w:cs="Times New Roman" w:eastAsia="Times New Roman" w:hAnsi="Times New Roman"/>
          <w:sz w:val="22"/>
          <w:szCs w:val="22"/>
          <w:b w:val="1"/>
          <w:bCs w:val="1"/>
          <w:color w:val="auto"/>
        </w:rPr>
        <w:t xml:space="preserve">Exhibit A - Schedule 8: Unencumbered Asset Calculation </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0139"/>
          </w:cols>
          <w:pgMar w:left="320" w:top="123" w:right="1440" w:bottom="1440" w:gutter="0" w:footer="0" w:header="0"/>
        </w:sectPr>
      </w:pPr>
    </w:p>
    <w:bookmarkStart w:id="553" w:name="page554"/>
    <w:bookmarkEnd w:id="553"/>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SECOND AMENDMENT TO THE MASTER SERVICES AGREEMENT</w:t>
      </w:r>
    </w:p>
    <w:p>
      <w:pPr>
        <w:spacing w:after="0" w:line="229" w:lineRule="exact"/>
        <w:rPr>
          <w:sz w:val="20"/>
          <w:szCs w:val="20"/>
          <w:color w:val="auto"/>
        </w:rPr>
      </w:pPr>
    </w:p>
    <w:p>
      <w:pPr>
        <w:ind w:firstLine="648"/>
        <w:spacing w:after="0" w:line="265" w:lineRule="auto"/>
        <w:rPr>
          <w:sz w:val="20"/>
          <w:szCs w:val="20"/>
          <w:color w:val="auto"/>
        </w:rPr>
      </w:pPr>
      <w:r>
        <w:rPr>
          <w:rFonts w:ascii="Times New Roman" w:cs="Times New Roman" w:eastAsia="Times New Roman" w:hAnsi="Times New Roman"/>
          <w:sz w:val="19"/>
          <w:szCs w:val="19"/>
          <w:color w:val="auto"/>
        </w:rPr>
        <w:t>This Second Amendment (“</w:t>
      </w:r>
      <w:r>
        <w:rPr>
          <w:rFonts w:ascii="Times New Roman" w:cs="Times New Roman" w:eastAsia="Times New Roman" w:hAnsi="Times New Roman"/>
          <w:sz w:val="19"/>
          <w:szCs w:val="19"/>
          <w:b w:val="1"/>
          <w:bCs w:val="1"/>
          <w:color w:val="auto"/>
        </w:rPr>
        <w:t>Second Amendment</w:t>
      </w:r>
      <w:r>
        <w:rPr>
          <w:rFonts w:ascii="Times New Roman" w:cs="Times New Roman" w:eastAsia="Times New Roman" w:hAnsi="Times New Roman"/>
          <w:sz w:val="19"/>
          <w:szCs w:val="19"/>
          <w:color w:val="auto"/>
        </w:rPr>
        <w:t>”) to the Master Services Agreement dated June 9, 2023, effective as of July 1, 2023 (as subsequently amended, the “</w:t>
      </w:r>
      <w:r>
        <w:rPr>
          <w:rFonts w:ascii="Times New Roman" w:cs="Times New Roman" w:eastAsia="Times New Roman" w:hAnsi="Times New Roman"/>
          <w:sz w:val="19"/>
          <w:szCs w:val="19"/>
          <w:b w:val="1"/>
          <w:bCs w:val="1"/>
          <w:color w:val="auto"/>
        </w:rPr>
        <w:t>Agreement</w:t>
      </w:r>
      <w:r>
        <w:rPr>
          <w:rFonts w:ascii="Times New Roman" w:cs="Times New Roman" w:eastAsia="Times New Roman" w:hAnsi="Times New Roman"/>
          <w:sz w:val="19"/>
          <w:szCs w:val="19"/>
          <w:color w:val="auto"/>
        </w:rPr>
        <w:t>”), is dated as of February 27, 2025 and effective as of January 1, 2025 (the “</w:t>
      </w:r>
      <w:r>
        <w:rPr>
          <w:rFonts w:ascii="Times New Roman" w:cs="Times New Roman" w:eastAsia="Times New Roman" w:hAnsi="Times New Roman"/>
          <w:sz w:val="19"/>
          <w:szCs w:val="19"/>
          <w:b w:val="1"/>
          <w:bCs w:val="1"/>
          <w:color w:val="auto"/>
        </w:rPr>
        <w:t>Second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Amendment Effective Date</w:t>
      </w:r>
      <w:r>
        <w:rPr>
          <w:rFonts w:ascii="Times New Roman" w:cs="Times New Roman" w:eastAsia="Times New Roman" w:hAnsi="Times New Roman"/>
          <w:sz w:val="19"/>
          <w:szCs w:val="19"/>
          <w:color w:val="auto"/>
        </w:rPr>
        <w:t>”), and is made by and between</w:t>
      </w:r>
      <w:r>
        <w:rPr>
          <w:rFonts w:ascii="Times New Roman" w:cs="Times New Roman" w:eastAsia="Times New Roman" w:hAnsi="Times New Roman"/>
          <w:sz w:val="19"/>
          <w:szCs w:val="19"/>
          <w:b w:val="1"/>
          <w:bCs w:val="1"/>
          <w:color w:val="auto"/>
        </w:rPr>
        <w:t xml:space="preserve"> Chime Financial, Inc. </w:t>
      </w:r>
      <w:r>
        <w:rPr>
          <w:rFonts w:ascii="Times New Roman" w:cs="Times New Roman" w:eastAsia="Times New Roman" w:hAnsi="Times New Roman"/>
          <w:sz w:val="19"/>
          <w:szCs w:val="19"/>
          <w:color w:val="auto"/>
        </w:rPr>
        <w:t>(the “</w:t>
      </w:r>
      <w:r>
        <w:rPr>
          <w:rFonts w:ascii="Times New Roman" w:cs="Times New Roman" w:eastAsia="Times New Roman" w:hAnsi="Times New Roman"/>
          <w:sz w:val="19"/>
          <w:szCs w:val="19"/>
          <w:b w:val="1"/>
          <w:bCs w:val="1"/>
          <w:color w:val="auto"/>
        </w:rPr>
        <w:t>Client</w:t>
      </w:r>
      <w:r>
        <w:rPr>
          <w:rFonts w:ascii="Times New Roman" w:cs="Times New Roman" w:eastAsia="Times New Roman" w:hAnsi="Times New Roman"/>
          <w:sz w:val="19"/>
          <w:szCs w:val="19"/>
          <w:color w:val="auto"/>
        </w:rPr>
        <w:t>”) whose principal office is located at 101</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California, #500, San Francisco CA 94111 and </w:t>
      </w:r>
      <w:r>
        <w:rPr>
          <w:rFonts w:ascii="Times New Roman" w:cs="Times New Roman" w:eastAsia="Times New Roman" w:hAnsi="Times New Roman"/>
          <w:sz w:val="19"/>
          <w:szCs w:val="19"/>
          <w:b w:val="1"/>
          <w:bCs w:val="1"/>
          <w:color w:val="auto"/>
        </w:rPr>
        <w:t>The Bancorp Bank, N.A.</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b w:val="1"/>
          <w:bCs w:val="1"/>
          <w:color w:val="auto"/>
        </w:rPr>
        <w:t>Bank</w:t>
      </w:r>
      <w:r>
        <w:rPr>
          <w:rFonts w:ascii="Times New Roman" w:cs="Times New Roman" w:eastAsia="Times New Roman" w:hAnsi="Times New Roman"/>
          <w:sz w:val="19"/>
          <w:szCs w:val="19"/>
          <w:color w:val="auto"/>
        </w:rPr>
        <w:t>”) a nationally chartered bank with its principal offices at 345 N Reid Pl, Suite 700, Sioux Falls, 57103. Client and Bank are collectively referred to the “</w:t>
      </w:r>
      <w:r>
        <w:rPr>
          <w:rFonts w:ascii="Times New Roman" w:cs="Times New Roman" w:eastAsia="Times New Roman" w:hAnsi="Times New Roman"/>
          <w:sz w:val="19"/>
          <w:szCs w:val="19"/>
          <w:b w:val="1"/>
          <w:bCs w:val="1"/>
          <w:color w:val="auto"/>
        </w:rPr>
        <w:t>Parties</w:t>
      </w:r>
      <w:r>
        <w:rPr>
          <w:rFonts w:ascii="Times New Roman" w:cs="Times New Roman" w:eastAsia="Times New Roman" w:hAnsi="Times New Roman"/>
          <w:sz w:val="19"/>
          <w:szCs w:val="19"/>
          <w:color w:val="auto"/>
        </w:rPr>
        <w:t>” and are individually referred to as</w:t>
      </w:r>
    </w:p>
    <w:p>
      <w:pPr>
        <w:spacing w:after="0" w:line="1" w:lineRule="exact"/>
        <w:rPr>
          <w:sz w:val="20"/>
          <w:szCs w:val="20"/>
          <w:color w:val="auto"/>
        </w:rPr>
      </w:pPr>
    </w:p>
    <w:p>
      <w:pPr>
        <w:ind w:left="140" w:hanging="132"/>
        <w:spacing w:after="0"/>
        <w:tabs>
          <w:tab w:leader="none" w:pos="140" w:val="left"/>
        </w:tabs>
        <w:numPr>
          <w:ilvl w:val="0"/>
          <w:numId w:val="3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29" w:lineRule="exact"/>
        <w:rPr>
          <w:sz w:val="20"/>
          <w:szCs w:val="20"/>
          <w:color w:val="auto"/>
        </w:rPr>
      </w:pPr>
    </w:p>
    <w:p>
      <w:pPr>
        <w:ind w:right="120"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Client and Bank entered into the Agreement as of July 1, 2023. Capitalized terms used herein but not defined have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meanings given to them in the Agreement.</w:t>
      </w:r>
    </w:p>
    <w:p>
      <w:pPr>
        <w:spacing w:after="0" w:line="165" w:lineRule="exact"/>
        <w:rPr>
          <w:sz w:val="20"/>
          <w:szCs w:val="20"/>
          <w:color w:val="auto"/>
        </w:rPr>
      </w:pPr>
    </w:p>
    <w:p>
      <w:pPr>
        <w:ind w:right="820"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Parties wish to amend the Agreement in accordance with the terms and conditions set forth in this Second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Amendment to the Agreement.</w:t>
      </w:r>
    </w:p>
    <w:p>
      <w:pPr>
        <w:spacing w:after="0" w:line="138" w:lineRule="exact"/>
        <w:rPr>
          <w:sz w:val="20"/>
          <w:szCs w:val="20"/>
          <w:color w:val="auto"/>
        </w:rPr>
      </w:pPr>
    </w:p>
    <w:p>
      <w:pPr>
        <w:ind w:right="20"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mutual covenants contained herein, and for other good and valuable consideration,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receipt and sufficiency of which is hereby acknowledged, the Parties hereto, intending to be legally bound, agree as follows:</w:t>
      </w:r>
    </w:p>
    <w:p>
      <w:pPr>
        <w:spacing w:after="0" w:line="142" w:lineRule="exact"/>
        <w:rPr>
          <w:sz w:val="20"/>
          <w:szCs w:val="20"/>
          <w:color w:val="auto"/>
        </w:rPr>
      </w:pPr>
    </w:p>
    <w:p>
      <w:pPr>
        <w:ind w:left="660" w:right="840" w:hanging="328"/>
        <w:spacing w:after="0" w:line="283" w:lineRule="auto"/>
        <w:tabs>
          <w:tab w:leader="none" w:pos="682" w:val="left"/>
        </w:tabs>
        <w:numPr>
          <w:ilvl w:val="0"/>
          <w:numId w:val="3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definition of “Purchased MyPay Program Receivables” in Section 1 of the Agreement is deleted and replaced with the following:</w:t>
      </w:r>
    </w:p>
    <w:p>
      <w:pPr>
        <w:spacing w:after="0" w:line="160" w:lineRule="exact"/>
        <w:rPr>
          <w:sz w:val="20"/>
          <w:szCs w:val="20"/>
          <w:color w:val="auto"/>
        </w:rPr>
      </w:pPr>
    </w:p>
    <w:p>
      <w:pPr>
        <w:ind w:left="660" w:right="160"/>
        <w:spacing w:after="0" w:line="269" w:lineRule="auto"/>
        <w:rPr>
          <w:sz w:val="20"/>
          <w:szCs w:val="20"/>
          <w:color w:val="auto"/>
        </w:rPr>
      </w:pPr>
      <w:r>
        <w:rPr>
          <w:rFonts w:ascii="Times New Roman" w:cs="Times New Roman" w:eastAsia="Times New Roman" w:hAnsi="Times New Roman"/>
          <w:sz w:val="20"/>
          <w:szCs w:val="20"/>
          <w:color w:val="auto"/>
        </w:rPr>
        <w:t>“Purchased MyPay Program Receivables” means MyPay program receivables purchased by Bank from Client’s other partner banks or from Client or any of Client’s Affiliates.</w:t>
      </w:r>
    </w:p>
    <w:p>
      <w:pPr>
        <w:spacing w:after="0" w:line="173" w:lineRule="exact"/>
        <w:rPr>
          <w:sz w:val="20"/>
          <w:szCs w:val="20"/>
          <w:color w:val="auto"/>
        </w:rPr>
      </w:pPr>
    </w:p>
    <w:p>
      <w:pPr>
        <w:ind w:left="680" w:hanging="348"/>
        <w:spacing w:after="0"/>
        <w:tabs>
          <w:tab w:leader="none" w:pos="680" w:val="left"/>
        </w:tabs>
        <w:numPr>
          <w:ilvl w:val="0"/>
          <w:numId w:val="3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Section 6 of the Secured Credit Card Addendum to the Agreement is deleted and replaced with the following:</w:t>
      </w:r>
    </w:p>
    <w:p>
      <w:pPr>
        <w:spacing w:after="0" w:line="211" w:lineRule="exact"/>
        <w:rPr>
          <w:rFonts w:ascii="Times New Roman" w:cs="Times New Roman" w:eastAsia="Times New Roman" w:hAnsi="Times New Roman"/>
          <w:sz w:val="20"/>
          <w:szCs w:val="20"/>
          <w:b w:val="1"/>
          <w:bCs w:val="1"/>
          <w:color w:val="auto"/>
        </w:rPr>
      </w:pPr>
    </w:p>
    <w:p>
      <w:pPr>
        <w:ind w:left="1000" w:hanging="344"/>
        <w:spacing w:after="0"/>
        <w:tabs>
          <w:tab w:leader="none" w:pos="1000" w:val="left"/>
        </w:tabs>
        <w:numPr>
          <w:ilvl w:val="1"/>
          <w:numId w:val="3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PROGRAM ACCOUNTING AND FLOW OF FUNDS</w:t>
      </w:r>
    </w:p>
    <w:p>
      <w:pPr>
        <w:spacing w:after="0" w:line="229" w:lineRule="exact"/>
        <w:rPr>
          <w:sz w:val="20"/>
          <w:szCs w:val="20"/>
          <w:color w:val="auto"/>
        </w:rPr>
      </w:pPr>
    </w:p>
    <w:p>
      <w:pPr>
        <w:ind w:left="660"/>
        <w:spacing w:after="0" w:line="254" w:lineRule="auto"/>
        <w:rPr>
          <w:sz w:val="20"/>
          <w:szCs w:val="20"/>
          <w:color w:val="auto"/>
        </w:rPr>
      </w:pPr>
      <w:r>
        <w:rPr>
          <w:rFonts w:ascii="Times New Roman" w:cs="Times New Roman" w:eastAsia="Times New Roman" w:hAnsi="Times New Roman"/>
          <w:sz w:val="20"/>
          <w:szCs w:val="20"/>
          <w:color w:val="auto"/>
        </w:rPr>
        <w:t xml:space="preserve">Program Accounting and Flow of Funds. All accounting processes and flow of funds shall be as further set forth in </w:t>
      </w:r>
      <w:r>
        <w:rPr>
          <w:rFonts w:ascii="Times New Roman" w:cs="Times New Roman" w:eastAsia="Times New Roman" w:hAnsi="Times New Roman"/>
          <w:sz w:val="20"/>
          <w:szCs w:val="20"/>
          <w:b w:val="1"/>
          <w:bCs w:val="1"/>
          <w:color w:val="auto"/>
        </w:rPr>
        <w:t>Schedule F</w:t>
      </w:r>
      <w:r>
        <w:rPr>
          <w:rFonts w:ascii="Times New Roman" w:cs="Times New Roman" w:eastAsia="Times New Roman" w:hAnsi="Times New Roman"/>
          <w:sz w:val="20"/>
          <w:szCs w:val="20"/>
          <w:color w:val="auto"/>
        </w:rPr>
        <w:t>, as set forth in applicable Schedules to the applicable Program Authorization Letter, or in the Participation Agreement between Bank and Client, and shall include, but not be limited to, delivery of Customer payments to Bank, repayment or purchase of Credit Card Accounts and Line of Credit Accounts by Client (including a purchase of a participation interest in such Credit Card Account or Line of Credit Account), and the establishment of a Client-funded reserve account at Bank.</w:t>
      </w:r>
    </w:p>
    <w:p>
      <w:pPr>
        <w:spacing w:after="0" w:line="187" w:lineRule="exact"/>
        <w:rPr>
          <w:sz w:val="20"/>
          <w:szCs w:val="20"/>
          <w:color w:val="auto"/>
        </w:rPr>
      </w:pPr>
    </w:p>
    <w:p>
      <w:pPr>
        <w:ind w:left="660" w:right="20" w:hanging="328"/>
        <w:spacing w:after="0" w:line="273" w:lineRule="auto"/>
        <w:tabs>
          <w:tab w:leader="none" w:pos="682" w:val="left"/>
        </w:tabs>
        <w:numPr>
          <w:ilvl w:val="0"/>
          <w:numId w:val="3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Client and Bank hereby replace </w:t>
      </w:r>
      <w:r>
        <w:rPr>
          <w:rFonts w:ascii="Times New Roman" w:cs="Times New Roman" w:eastAsia="Times New Roman" w:hAnsi="Times New Roman"/>
          <w:sz w:val="20"/>
          <w:szCs w:val="20"/>
          <w:b w:val="1"/>
          <w:bCs w:val="1"/>
          <w:u w:val="single" w:color="auto"/>
          <w:color w:val="auto"/>
        </w:rPr>
        <w:t>Schedule F</w:t>
      </w:r>
      <w:r>
        <w:rPr>
          <w:rFonts w:ascii="Times New Roman" w:cs="Times New Roman" w:eastAsia="Times New Roman" w:hAnsi="Times New Roman"/>
          <w:sz w:val="20"/>
          <w:szCs w:val="20"/>
          <w:color w:val="auto"/>
        </w:rPr>
        <w:t xml:space="preserve"> of the Secured Credit Card Addendum to the Agreement in its entirety with the amended and restated </w:t>
      </w:r>
      <w:r>
        <w:rPr>
          <w:rFonts w:ascii="Times New Roman" w:cs="Times New Roman" w:eastAsia="Times New Roman" w:hAnsi="Times New Roman"/>
          <w:sz w:val="20"/>
          <w:szCs w:val="20"/>
          <w:b w:val="1"/>
          <w:bCs w:val="1"/>
          <w:u w:val="single" w:color="auto"/>
          <w:color w:val="auto"/>
        </w:rPr>
        <w:t>Schedule F</w:t>
      </w:r>
      <w:r>
        <w:rPr>
          <w:rFonts w:ascii="Times New Roman" w:cs="Times New Roman" w:eastAsia="Times New Roman" w:hAnsi="Times New Roman"/>
          <w:sz w:val="20"/>
          <w:szCs w:val="20"/>
          <w:color w:val="auto"/>
        </w:rPr>
        <w:t xml:space="preserve"> attached hereto.</w:t>
      </w:r>
    </w:p>
    <w:p>
      <w:pPr>
        <w:spacing w:after="0" w:line="169" w:lineRule="exact"/>
        <w:rPr>
          <w:rFonts w:ascii="Times New Roman" w:cs="Times New Roman" w:eastAsia="Times New Roman" w:hAnsi="Times New Roman"/>
          <w:sz w:val="20"/>
          <w:szCs w:val="20"/>
          <w:b w:val="1"/>
          <w:bCs w:val="1"/>
          <w:color w:val="auto"/>
        </w:rPr>
      </w:pPr>
    </w:p>
    <w:p>
      <w:pPr>
        <w:ind w:left="660" w:right="20" w:hanging="328"/>
        <w:spacing w:after="0" w:line="253" w:lineRule="auto"/>
        <w:tabs>
          <w:tab w:leader="none" w:pos="682" w:val="left"/>
        </w:tabs>
        <w:numPr>
          <w:ilvl w:val="0"/>
          <w:numId w:val="3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Miscellaneous. This Second Amendment constitutes the entire agreement between Client and Bank concerning the subject matter of this Second Amendment. Except as explicitly amended by this Second Amendment, all of the terms and conditions of the Agreement shall remain in full force and effect. This Second Amendment may be executed in any number of counterparts, each of which when so executed and delivered shall be deemed an original and all of which counterparts, taken together, shall constitute one and the same instrument. Delivery of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23" w:right="339" w:bottom="1440" w:gutter="0" w:footer="0" w:header="0"/>
        </w:sectPr>
      </w:pPr>
    </w:p>
    <w:bookmarkStart w:id="554" w:name="page555"/>
    <w:bookmarkEnd w:id="554"/>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executed counterpart of this Second Amendment by telefacsimile shall be equally as effective as delivery of an original executed counterpart of this Second Amendment.</w:t>
      </w:r>
    </w:p>
    <w:p>
      <w:pPr>
        <w:spacing w:after="0" w:line="14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0180"/>
          </w:cols>
          <w:pgMar w:left="980" w:top="123" w:right="739" w:bottom="1440" w:gutter="0" w:footer="0" w:header="0"/>
        </w:sectPr>
      </w:pPr>
    </w:p>
    <w:bookmarkStart w:id="555" w:name="page556"/>
    <w:bookmarkEnd w:id="555"/>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IN WITNESS WHEREOF, the undersigned hereby acknowledge and certify that as of the date below, they are duly authorized to sign on behalf of and legally bind the entities named below by executing this Second Amendment.</w:t>
      </w:r>
    </w:p>
    <w:p>
      <w:pPr>
        <w:sectPr>
          <w:pgSz w:w="11900" w:h="16838" w:orient="portrait"/>
          <w:cols w:equalWidth="0" w:num="1">
            <w:col w:w="10860"/>
          </w:cols>
          <w:pgMar w:left="320" w:top="123" w:right="719" w:bottom="1440" w:gutter="0" w:footer="0" w:header="0"/>
        </w:sectPr>
      </w:pPr>
    </w:p>
    <w:p>
      <w:pPr>
        <w:spacing w:after="0" w:line="18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CHIME FINANCIAL, INC.</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BANCORP BANK, N.A.</w:t>
      </w:r>
    </w:p>
    <w:p>
      <w:pPr>
        <w:spacing w:after="0" w:line="52" w:lineRule="exact"/>
        <w:rPr>
          <w:sz w:val="20"/>
          <w:szCs w:val="20"/>
          <w:color w:val="auto"/>
        </w:rPr>
      </w:pPr>
    </w:p>
    <w:p>
      <w:pPr>
        <w:sectPr>
          <w:pgSz w:w="11900" w:h="16838" w:orient="portrait"/>
          <w:cols w:equalWidth="0" w:num="2">
            <w:col w:w="4980" w:space="720"/>
            <w:col w:w="5160"/>
          </w:cols>
          <w:pgMar w:left="320" w:top="123" w:right="719" w:bottom="1440" w:gutter="0" w:footer="0" w:header="0"/>
          <w:type w:val="continuous"/>
        </w:sectPr>
      </w:pPr>
    </w:p>
    <w:p>
      <w:pPr>
        <w:ind w:left="80"/>
        <w:spacing w:after="0"/>
        <w:rPr>
          <w:sz w:val="20"/>
          <w:szCs w:val="20"/>
          <w:color w:val="auto"/>
        </w:rPr>
      </w:pPr>
      <w:r>
        <w:rPr>
          <w:rFonts w:ascii="Times New Roman" w:cs="Times New Roman" w:eastAsia="Times New Roman" w:hAnsi="Times New Roman"/>
          <w:sz w:val="19"/>
          <w:szCs w:val="19"/>
          <w:color w:val="auto"/>
        </w:rPr>
        <w:t>By: /s/ Matthew Newcomb</w:t>
      </w:r>
    </w:p>
    <w:p>
      <w:pPr>
        <w:spacing w:after="0" w:line="20" w:lineRule="exact"/>
        <w:rPr>
          <w:sz w:val="20"/>
          <w:szCs w:val="20"/>
          <w:color w:val="auto"/>
        </w:rPr>
      </w:pPr>
      <w:r>
        <w:rPr>
          <w:sz w:val="20"/>
          <w:szCs w:val="20"/>
          <w:color w:val="auto"/>
        </w:rPr>
        <w:br w:type="column"/>
      </w:r>
    </w:p>
    <w:p>
      <w:pPr>
        <w:jc w:val="center"/>
        <w:ind w:right="3640"/>
        <w:spacing w:after="0"/>
        <w:rPr>
          <w:sz w:val="20"/>
          <w:szCs w:val="20"/>
          <w:color w:val="auto"/>
        </w:rPr>
      </w:pPr>
      <w:r>
        <w:rPr>
          <w:rFonts w:ascii="Times New Roman" w:cs="Times New Roman" w:eastAsia="Times New Roman" w:hAnsi="Times New Roman"/>
          <w:sz w:val="19"/>
          <w:szCs w:val="19"/>
          <w:color w:val="auto"/>
        </w:rPr>
        <w:t>By: /s/ Ryan Harris</w:t>
      </w:r>
    </w:p>
    <w:p>
      <w:pPr>
        <w:spacing w:after="0" w:line="200" w:lineRule="exact"/>
        <w:rPr>
          <w:sz w:val="20"/>
          <w:szCs w:val="20"/>
          <w:color w:val="auto"/>
        </w:rPr>
      </w:pPr>
    </w:p>
    <w:p>
      <w:pPr>
        <w:sectPr>
          <w:pgSz w:w="11900" w:h="16838" w:orient="portrait"/>
          <w:cols w:equalWidth="0" w:num="2">
            <w:col w:w="4980" w:space="720"/>
            <w:col w:w="5160"/>
          </w:cols>
          <w:pgMar w:left="320" w:top="123" w:right="719" w:bottom="1440" w:gutter="0" w:footer="0" w:header="0"/>
          <w:type w:val="continuous"/>
        </w:sectPr>
      </w:pPr>
    </w:p>
    <w:p>
      <w:pPr>
        <w:spacing w:after="0" w:line="4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Name: Matthew Newcomb</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jc w:val="center"/>
        <w:ind w:right="3640"/>
        <w:spacing w:after="0"/>
        <w:rPr>
          <w:sz w:val="20"/>
          <w:szCs w:val="20"/>
          <w:color w:val="auto"/>
        </w:rPr>
      </w:pPr>
      <w:r>
        <w:rPr>
          <w:rFonts w:ascii="Times New Roman" w:cs="Times New Roman" w:eastAsia="Times New Roman" w:hAnsi="Times New Roman"/>
          <w:sz w:val="19"/>
          <w:szCs w:val="19"/>
          <w:color w:val="auto"/>
        </w:rPr>
        <w:t>Name: Ryan Harris</w:t>
      </w:r>
    </w:p>
    <w:p>
      <w:pPr>
        <w:spacing w:after="0" w:line="200" w:lineRule="exact"/>
        <w:rPr>
          <w:sz w:val="20"/>
          <w:szCs w:val="20"/>
          <w:color w:val="auto"/>
        </w:rPr>
      </w:pPr>
    </w:p>
    <w:p>
      <w:pPr>
        <w:sectPr>
          <w:pgSz w:w="11900" w:h="16838" w:orient="portrait"/>
          <w:cols w:equalWidth="0" w:num="2">
            <w:col w:w="4980" w:space="720"/>
            <w:col w:w="5160"/>
          </w:cols>
          <w:pgMar w:left="320" w:top="123" w:right="719" w:bottom="1440" w:gutter="0" w:footer="0" w:header="0"/>
          <w:type w:val="continuous"/>
        </w:sectPr>
      </w:pP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Its: CFO</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Its: Executive Vice President</w:t>
      </w:r>
    </w:p>
    <w:p>
      <w:pPr>
        <w:spacing w:after="0" w:line="200" w:lineRule="exact"/>
        <w:rPr>
          <w:sz w:val="20"/>
          <w:szCs w:val="20"/>
          <w:color w:val="auto"/>
        </w:rPr>
      </w:pPr>
    </w:p>
    <w:p>
      <w:pPr>
        <w:sectPr>
          <w:pgSz w:w="11900" w:h="16838" w:orient="portrait"/>
          <w:cols w:equalWidth="0" w:num="2">
            <w:col w:w="4980" w:space="720"/>
            <w:col w:w="5160"/>
          </w:cols>
          <w:pgMar w:left="320" w:top="123" w:right="7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0860"/>
          </w:cols>
          <w:pgMar w:left="320" w:top="123" w:right="719" w:bottom="1440" w:gutter="0" w:footer="0" w:header="0"/>
          <w:type w:val="continuous"/>
        </w:sectPr>
      </w:pPr>
    </w:p>
    <w:bookmarkStart w:id="556" w:name="page557"/>
    <w:bookmarkEnd w:id="556"/>
    <w:p>
      <w:pPr>
        <w:jc w:val="center"/>
        <w:ind w:right="292"/>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20"/>
          <w:szCs w:val="20"/>
          <w:b w:val="1"/>
          <w:bCs w:val="1"/>
          <w:color w:val="auto"/>
        </w:rPr>
        <w:t>SCHEDULE F</w:t>
      </w:r>
    </w:p>
    <w:p>
      <w:pPr>
        <w:spacing w:after="0" w:line="229"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20"/>
          <w:szCs w:val="20"/>
          <w:b w:val="1"/>
          <w:bCs w:val="1"/>
          <w:color w:val="auto"/>
        </w:rPr>
        <w:t>Program Accounting and Funds Flow</w:t>
      </w:r>
    </w:p>
    <w:p>
      <w:pPr>
        <w:spacing w:after="0" w:line="220" w:lineRule="exact"/>
        <w:rPr>
          <w:sz w:val="20"/>
          <w:szCs w:val="20"/>
          <w:color w:val="auto"/>
        </w:rPr>
      </w:pPr>
    </w:p>
    <w:p>
      <w:pPr>
        <w:ind w:left="328" w:hanging="328"/>
        <w:spacing w:after="0" w:line="251" w:lineRule="auto"/>
        <w:tabs>
          <w:tab w:leader="none" w:pos="328" w:val="left"/>
        </w:tabs>
        <w:numPr>
          <w:ilvl w:val="0"/>
          <w:numId w:val="3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Establishment of Negative Balance Funding Account</w:t>
      </w:r>
      <w:r>
        <w:rPr>
          <w:rFonts w:ascii="Times New Roman" w:cs="Times New Roman" w:eastAsia="Times New Roman" w:hAnsi="Times New Roman"/>
          <w:sz w:val="20"/>
          <w:szCs w:val="20"/>
          <w:color w:val="auto"/>
        </w:rPr>
        <w:t>. For purposes of retaining adequate funding to prevent any direct or indirect losses or expenses of any kind incurred on or arising out of any Account including, without limitation, negative balances (including negative balances resulting from transactions authorized by any Account overdraft feature approved by Bank), unauthorized Transactions, chargebacks, force posted Transactions, fraud, unauthorized withdrawals or funds transfers from an Account, identify theft, Funding Failures, or other losses in connection with the Accounts, Bank shall set up and maintain a Bank-owned and Bank-controlled funding account at Bank (“</w:t>
      </w:r>
      <w:r>
        <w:rPr>
          <w:rFonts w:ascii="Times New Roman" w:cs="Times New Roman" w:eastAsia="Times New Roman" w:hAnsi="Times New Roman"/>
          <w:sz w:val="20"/>
          <w:szCs w:val="20"/>
          <w:b w:val="1"/>
          <w:bCs w:val="1"/>
          <w:color w:val="auto"/>
        </w:rPr>
        <w:t>Negative Balance Funding Account</w:t>
      </w:r>
      <w:r>
        <w:rPr>
          <w:rFonts w:ascii="Times New Roman" w:cs="Times New Roman" w:eastAsia="Times New Roman" w:hAnsi="Times New Roman"/>
          <w:sz w:val="20"/>
          <w:szCs w:val="20"/>
          <w:color w:val="auto"/>
        </w:rPr>
        <w:t xml:space="preserve">”) to be funded by Client in amounts as determined in this Section 2 to </w:t>
      </w:r>
      <w:r>
        <w:rPr>
          <w:rFonts w:ascii="Times New Roman" w:cs="Times New Roman" w:eastAsia="Times New Roman" w:hAnsi="Times New Roman"/>
          <w:sz w:val="20"/>
          <w:szCs w:val="20"/>
          <w:b w:val="1"/>
          <w:bCs w:val="1"/>
          <w:color w:val="auto"/>
        </w:rPr>
        <w:t>Schedule F</w:t>
      </w:r>
      <w:r>
        <w:rPr>
          <w:rFonts w:ascii="Times New Roman" w:cs="Times New Roman" w:eastAsia="Times New Roman" w:hAnsi="Times New Roman"/>
          <w:sz w:val="20"/>
          <w:szCs w:val="20"/>
          <w:color w:val="auto"/>
        </w:rPr>
        <w:t>. For the avoidance of doubt, it is expressly understood that the purpose of the Negative Balance Funding Account is to ensure that Client will maintain balances that will be immediately available to fund any negative Cardholder Account balances thereby preventing any direct or indirect losses or expenses of any kind, in any Account at any time. An example for illustration purposes is included below. For clarity, this Negative Balance Funding Account excludes any Negative Balances (as defined below) related to Credit Card Accounts and Secured Deposit Accounts that have otherwise been collected by Bank from Client pursuant to a separate account.</w:t>
      </w:r>
    </w:p>
    <w:p>
      <w:pPr>
        <w:spacing w:after="0" w:line="174" w:lineRule="exact"/>
        <w:rPr>
          <w:rFonts w:ascii="Times New Roman" w:cs="Times New Roman" w:eastAsia="Times New Roman" w:hAnsi="Times New Roman"/>
          <w:sz w:val="20"/>
          <w:szCs w:val="20"/>
          <w:color w:val="auto"/>
        </w:rPr>
      </w:pPr>
    </w:p>
    <w:p>
      <w:pPr>
        <w:jc w:val="both"/>
        <w:ind w:left="328" w:right="100" w:firstLine="644"/>
        <w:spacing w:after="0" w:line="277" w:lineRule="auto"/>
        <w:tabs>
          <w:tab w:leader="none" w:pos="1614" w:val="left"/>
        </w:tabs>
        <w:numPr>
          <w:ilvl w:val="2"/>
          <w:numId w:val="3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the Effective Date, the aggregate negative balance funding (“</w:t>
      </w:r>
      <w:r>
        <w:rPr>
          <w:rFonts w:ascii="Times New Roman" w:cs="Times New Roman" w:eastAsia="Times New Roman" w:hAnsi="Times New Roman"/>
          <w:sz w:val="19"/>
          <w:szCs w:val="19"/>
          <w:b w:val="1"/>
          <w:bCs w:val="1"/>
          <w:color w:val="auto"/>
        </w:rPr>
        <w:t>Aggregate NBR</w:t>
      </w:r>
      <w:r>
        <w:rPr>
          <w:rFonts w:ascii="Times New Roman" w:cs="Times New Roman" w:eastAsia="Times New Roman" w:hAnsi="Times New Roman"/>
          <w:sz w:val="19"/>
          <w:szCs w:val="19"/>
          <w:color w:val="auto"/>
        </w:rPr>
        <w:t>”) shall be established, which will equal the sum of (i) the end of day balance as of the prior business day in Client’s Fee Revenue Account (“</w:t>
      </w:r>
      <w:r>
        <w:rPr>
          <w:rFonts w:ascii="Times New Roman" w:cs="Times New Roman" w:eastAsia="Times New Roman" w:hAnsi="Times New Roman"/>
          <w:sz w:val="19"/>
          <w:szCs w:val="19"/>
          <w:b w:val="1"/>
          <w:bCs w:val="1"/>
          <w:color w:val="auto"/>
        </w:rPr>
        <w:t>Synthetic Reserve</w:t>
      </w:r>
      <w:r>
        <w:rPr>
          <w:rFonts w:ascii="Times New Roman" w:cs="Times New Roman" w:eastAsia="Times New Roman" w:hAnsi="Times New Roman"/>
          <w:sz w:val="19"/>
          <w:szCs w:val="19"/>
          <w:color w:val="auto"/>
        </w:rPr>
        <w:t>”) and</w:t>
      </w:r>
    </w:p>
    <w:p>
      <w:pPr>
        <w:spacing w:after="0" w:line="1" w:lineRule="exact"/>
        <w:rPr>
          <w:rFonts w:ascii="Times New Roman" w:cs="Times New Roman" w:eastAsia="Times New Roman" w:hAnsi="Times New Roman"/>
          <w:sz w:val="19"/>
          <w:szCs w:val="19"/>
          <w:color w:val="auto"/>
        </w:rPr>
      </w:pPr>
    </w:p>
    <w:p>
      <w:pPr>
        <w:ind w:left="608" w:hanging="284"/>
        <w:spacing w:after="0"/>
        <w:tabs>
          <w:tab w:leader="none" w:pos="608" w:val="left"/>
        </w:tabs>
        <w:numPr>
          <w:ilvl w:val="1"/>
          <w:numId w:val="3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balance, as of the prior business day, in the Negative Balance Funding Reserve Account.</w:t>
      </w:r>
    </w:p>
    <w:p>
      <w:pPr>
        <w:spacing w:after="0" w:line="196" w:lineRule="exact"/>
        <w:rPr>
          <w:rFonts w:ascii="Times New Roman" w:cs="Times New Roman" w:eastAsia="Times New Roman" w:hAnsi="Times New Roman"/>
          <w:sz w:val="20"/>
          <w:szCs w:val="20"/>
          <w:color w:val="auto"/>
        </w:rPr>
      </w:pPr>
    </w:p>
    <w:p>
      <w:pPr>
        <w:ind w:left="328" w:right="20" w:firstLine="644"/>
        <w:spacing w:after="0" w:line="270" w:lineRule="auto"/>
        <w:tabs>
          <w:tab w:leader="none" w:pos="1612" w:val="left"/>
        </w:tabs>
        <w:numPr>
          <w:ilvl w:val="2"/>
          <w:numId w:val="3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Account (“</w:t>
      </w:r>
      <w:r>
        <w:rPr>
          <w:rFonts w:ascii="Times New Roman" w:cs="Times New Roman" w:eastAsia="Times New Roman" w:hAnsi="Times New Roman"/>
          <w:sz w:val="19"/>
          <w:szCs w:val="19"/>
          <w:b w:val="1"/>
          <w:bCs w:val="1"/>
          <w:color w:val="auto"/>
        </w:rPr>
        <w:t>Funded NBR</w:t>
      </w:r>
      <w:r>
        <w:rPr>
          <w:rFonts w:ascii="Times New Roman" w:cs="Times New Roman" w:eastAsia="Times New Roman" w:hAnsi="Times New Roman"/>
          <w:sz w:val="19"/>
          <w:szCs w:val="19"/>
          <w:color w:val="auto"/>
        </w:rPr>
        <w:t>”). Bank shall the calculate the difference between (A) the Aggregate NBR and (B) the total Program negative balance reported by Processor as of Processor’s end of day for the prior calendar day (the “</w:t>
      </w:r>
      <w:r>
        <w:rPr>
          <w:rFonts w:ascii="Times New Roman" w:cs="Times New Roman" w:eastAsia="Times New Roman" w:hAnsi="Times New Roman"/>
          <w:sz w:val="19"/>
          <w:szCs w:val="19"/>
          <w:b w:val="1"/>
          <w:bCs w:val="1"/>
          <w:color w:val="auto"/>
        </w:rPr>
        <w:t>Negative Balance</w:t>
      </w:r>
      <w:r>
        <w:rPr>
          <w:rFonts w:ascii="Times New Roman" w:cs="Times New Roman" w:eastAsia="Times New Roman" w:hAnsi="Times New Roman"/>
          <w:sz w:val="19"/>
          <w:szCs w:val="19"/>
          <w:color w:val="auto"/>
        </w:rPr>
        <w:t>”). If the result is positive (“</w:t>
      </w:r>
      <w:r>
        <w:rPr>
          <w:rFonts w:ascii="Times New Roman" w:cs="Times New Roman" w:eastAsia="Times New Roman" w:hAnsi="Times New Roman"/>
          <w:sz w:val="19"/>
          <w:szCs w:val="19"/>
          <w:b w:val="1"/>
          <w:bCs w:val="1"/>
          <w:color w:val="auto"/>
        </w:rPr>
        <w:t>Negative Balance Excess</w:t>
      </w:r>
      <w:r>
        <w:rPr>
          <w:rFonts w:ascii="Times New Roman" w:cs="Times New Roman" w:eastAsia="Times New Roman" w:hAnsi="Times New Roman"/>
          <w:sz w:val="19"/>
          <w:szCs w:val="19"/>
          <w:color w:val="auto"/>
        </w:rPr>
        <w:t>”), Bank shall transfer an amount equal to the Negative Balance Excess to Client via wire by 3:00 pm Eastern Time on the Effective Date, resulting in a reduction to the Funded NBR in subsequent periods. If the result is negative (“</w:t>
      </w:r>
      <w:r>
        <w:rPr>
          <w:rFonts w:ascii="Times New Roman" w:cs="Times New Roman" w:eastAsia="Times New Roman" w:hAnsi="Times New Roman"/>
          <w:sz w:val="19"/>
          <w:szCs w:val="19"/>
          <w:b w:val="1"/>
          <w:bCs w:val="1"/>
          <w:color w:val="auto"/>
        </w:rPr>
        <w:t>Negative Balance Shortfall</w:t>
      </w:r>
      <w:r>
        <w:rPr>
          <w:rFonts w:ascii="Times New Roman" w:cs="Times New Roman" w:eastAsia="Times New Roman" w:hAnsi="Times New Roman"/>
          <w:sz w:val="19"/>
          <w:szCs w:val="19"/>
          <w:color w:val="auto"/>
        </w:rPr>
        <w:t>”), Client shall transfer an amount equal to the Negative Balance Shortfall to Bank via wire by 3:00 pm Eastern Time on the Effective Date, resulting in an addition to the Funded NBR for subsequent periods.</w:t>
      </w:r>
    </w:p>
    <w:p>
      <w:pPr>
        <w:spacing w:after="0" w:line="185"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22"/>
          <w:szCs w:val="22"/>
          <w:color w:val="auto"/>
        </w:rPr>
        <w:t>[***]</w:t>
      </w:r>
    </w:p>
    <w:p>
      <w:pPr>
        <w:spacing w:after="0" w:line="211" w:lineRule="exact"/>
        <w:rPr>
          <w:sz w:val="20"/>
          <w:szCs w:val="20"/>
          <w:color w:val="auto"/>
        </w:rPr>
      </w:pPr>
    </w:p>
    <w:p>
      <w:pPr>
        <w:ind w:left="328" w:right="400" w:firstLine="644"/>
        <w:spacing w:after="0" w:line="261" w:lineRule="auto"/>
        <w:tabs>
          <w:tab w:leader="none" w:pos="1614" w:val="left"/>
        </w:tabs>
        <w:numPr>
          <w:ilvl w:val="0"/>
          <w:numId w:val="3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28th calendar day of each calendar month (or if such day is a non-business day, then the business day immediately following such day) (the “</w:t>
      </w:r>
      <w:r>
        <w:rPr>
          <w:rFonts w:ascii="Times New Roman" w:cs="Times New Roman" w:eastAsia="Times New Roman" w:hAnsi="Times New Roman"/>
          <w:sz w:val="20"/>
          <w:szCs w:val="20"/>
          <w:b w:val="1"/>
          <w:bCs w:val="1"/>
          <w:color w:val="auto"/>
        </w:rPr>
        <w:t>True-Up Day</w:t>
      </w:r>
      <w:r>
        <w:rPr>
          <w:rFonts w:ascii="Times New Roman" w:cs="Times New Roman" w:eastAsia="Times New Roman" w:hAnsi="Times New Roman"/>
          <w:sz w:val="20"/>
          <w:szCs w:val="20"/>
          <w:color w:val="auto"/>
        </w:rPr>
        <w:t>”), Bank shall determine the Negative Balance Excess or Negative Balance Shortfall, as the case may be, using the calculations set forth in this Section 2.</w:t>
      </w:r>
    </w:p>
    <w:p>
      <w:pPr>
        <w:spacing w:after="0" w:line="181" w:lineRule="exact"/>
        <w:rPr>
          <w:rFonts w:ascii="Times New Roman" w:cs="Times New Roman" w:eastAsia="Times New Roman" w:hAnsi="Times New Roman"/>
          <w:sz w:val="20"/>
          <w:szCs w:val="20"/>
          <w:color w:val="auto"/>
        </w:rPr>
      </w:pPr>
    </w:p>
    <w:p>
      <w:pPr>
        <w:ind w:left="328" w:right="360" w:firstLine="644"/>
        <w:spacing w:after="0" w:line="261" w:lineRule="auto"/>
        <w:tabs>
          <w:tab w:leader="none" w:pos="1612" w:val="left"/>
        </w:tabs>
        <w:numPr>
          <w:ilvl w:val="0"/>
          <w:numId w:val="3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there is a Negative Balance Excess on the True-Up Day, Bank shall have no obligation to transfer any funds to Client. If there is a Negative Balance Shortfall on the True-Up Day, then Client shall transfer an amount equal to the Negative Balance Shortfall to Bank via wire by 3:00 pm Eastern Time on the True-Up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0888"/>
          </w:cols>
          <w:pgMar w:left="652" w:top="123" w:right="359" w:bottom="1440" w:gutter="0" w:footer="0" w:header="0"/>
        </w:sectPr>
      </w:pPr>
    </w:p>
    <w:bookmarkStart w:id="557" w:name="page558"/>
    <w:bookmarkEnd w:id="557"/>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CHIME FINANCIAL,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60" w:right="80" w:firstLine="644"/>
        <w:spacing w:after="0" w:line="261" w:lineRule="auto"/>
        <w:tabs>
          <w:tab w:leader="none" w:pos="1946" w:val="left"/>
        </w:tabs>
        <w:numPr>
          <w:ilvl w:val="0"/>
          <w:numId w:val="3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Section 17 (Set-Off and Other Bank Remedies) of the Agreement, Client hereby authorizes Bank to set-off any funds in the Fee Revenue Account against any Account negative balances described in this Section 2, for the purposes of curing any such Account negative balances.</w:t>
      </w:r>
    </w:p>
    <w:p>
      <w:pPr>
        <w:spacing w:after="0" w:line="181" w:lineRule="exact"/>
        <w:rPr>
          <w:sz w:val="20"/>
          <w:szCs w:val="20"/>
          <w:color w:val="auto"/>
        </w:rPr>
      </w:pPr>
    </w:p>
    <w:p>
      <w:pPr>
        <w:ind w:right="540"/>
        <w:spacing w:after="0" w:line="269" w:lineRule="auto"/>
        <w:rPr>
          <w:sz w:val="20"/>
          <w:szCs w:val="20"/>
          <w:color w:val="auto"/>
        </w:rPr>
      </w:pPr>
      <w:r>
        <w:rPr>
          <w:rFonts w:ascii="Times New Roman" w:cs="Times New Roman" w:eastAsia="Times New Roman" w:hAnsi="Times New Roman"/>
          <w:sz w:val="20"/>
          <w:szCs w:val="20"/>
          <w:color w:val="auto"/>
        </w:rPr>
        <w:t xml:space="preserve">For the purposes of this Section 2, “Fee Revenue Account” shall mean the Bank-owned, Bank-controlled account at Bank which holds Program Revenues prior to disbursement to Client as set forth in </w:t>
      </w:r>
      <w:r>
        <w:rPr>
          <w:rFonts w:ascii="Times New Roman" w:cs="Times New Roman" w:eastAsia="Times New Roman" w:hAnsi="Times New Roman"/>
          <w:sz w:val="20"/>
          <w:szCs w:val="20"/>
          <w:b w:val="1"/>
          <w:bCs w:val="1"/>
          <w:color w:val="auto"/>
        </w:rPr>
        <w:t>Exhibit A</w:t>
      </w:r>
      <w:r>
        <w:rPr>
          <w:rFonts w:ascii="Times New Roman" w:cs="Times New Roman" w:eastAsia="Times New Roman" w:hAnsi="Times New Roman"/>
          <w:sz w:val="20"/>
          <w:szCs w:val="20"/>
          <w:color w:val="auto"/>
        </w:rPr>
        <w:t xml:space="preserve"> of the Agreement.</w:t>
      </w:r>
    </w:p>
    <w:p>
      <w:pPr>
        <w:spacing w:after="0" w:line="173" w:lineRule="exact"/>
        <w:rPr>
          <w:sz w:val="20"/>
          <w:szCs w:val="20"/>
          <w:color w:val="auto"/>
        </w:rPr>
      </w:pPr>
    </w:p>
    <w:p>
      <w:pPr>
        <w:ind w:left="660" w:right="100" w:hanging="328"/>
        <w:spacing w:after="0" w:line="253" w:lineRule="auto"/>
        <w:tabs>
          <w:tab w:leader="none" w:pos="660" w:val="left"/>
        </w:tabs>
        <w:numPr>
          <w:ilvl w:val="0"/>
          <w:numId w:val="3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Security Deposit Account (SDA)</w:t>
      </w:r>
      <w:r>
        <w:rPr>
          <w:rFonts w:ascii="Times New Roman" w:cs="Times New Roman" w:eastAsia="Times New Roman" w:hAnsi="Times New Roman"/>
          <w:sz w:val="20"/>
          <w:szCs w:val="20"/>
          <w:color w:val="auto"/>
        </w:rPr>
        <w:t>. A Bank-owned, Bank-controlled Program Account shall be set up for Bank’s receipt of Customer Funds that have been deposited to Accounts in order to hold the Customer balances (the “</w:t>
      </w:r>
      <w:r>
        <w:rPr>
          <w:rFonts w:ascii="Times New Roman" w:cs="Times New Roman" w:eastAsia="Times New Roman" w:hAnsi="Times New Roman"/>
          <w:sz w:val="20"/>
          <w:szCs w:val="20"/>
          <w:b w:val="1"/>
          <w:bCs w:val="1"/>
          <w:color w:val="auto"/>
        </w:rPr>
        <w:t>SDA Account</w:t>
      </w:r>
      <w:r>
        <w:rPr>
          <w:rFonts w:ascii="Times New Roman" w:cs="Times New Roman" w:eastAsia="Times New Roman" w:hAnsi="Times New Roman"/>
          <w:sz w:val="20"/>
          <w:szCs w:val="20"/>
          <w:color w:val="auto"/>
        </w:rPr>
        <w:t>”). The SDA Account shall be set up such that (i) all Customer Funds are held by Bank as deposits of Customers for the purpose of securing credit Transactions initiated by Customers, or as otherwise permitted by this Agreement or the Customer Agreement, and Bank shall be liable to Customers with respect to such Customer Funds not used to secure credit transactions, and (ii) neither Bank nor Client have an equitable interest in the Customer Funds not securing credit transactions.</w:t>
      </w:r>
    </w:p>
    <w:p>
      <w:pPr>
        <w:spacing w:after="0" w:line="192" w:lineRule="exact"/>
        <w:rPr>
          <w:rFonts w:ascii="Times New Roman" w:cs="Times New Roman" w:eastAsia="Times New Roman" w:hAnsi="Times New Roman"/>
          <w:sz w:val="20"/>
          <w:szCs w:val="20"/>
          <w:color w:val="auto"/>
        </w:rPr>
      </w:pPr>
    </w:p>
    <w:p>
      <w:pPr>
        <w:ind w:left="660" w:right="40" w:hanging="328"/>
        <w:spacing w:after="0" w:line="254" w:lineRule="auto"/>
        <w:tabs>
          <w:tab w:leader="none" w:pos="660" w:val="left"/>
        </w:tabs>
        <w:numPr>
          <w:ilvl w:val="0"/>
          <w:numId w:val="3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Credit Deposit Account (CDA)</w:t>
      </w:r>
      <w:r>
        <w:rPr>
          <w:rFonts w:ascii="Times New Roman" w:cs="Times New Roman" w:eastAsia="Times New Roman" w:hAnsi="Times New Roman"/>
          <w:sz w:val="20"/>
          <w:szCs w:val="20"/>
          <w:color w:val="auto"/>
        </w:rPr>
        <w:t>. A Bank-owned, Bank-controlled Program Account shall be set up for funding the settlement of card credit activity to the networks (the “</w:t>
      </w:r>
      <w:r>
        <w:rPr>
          <w:rFonts w:ascii="Times New Roman" w:cs="Times New Roman" w:eastAsia="Times New Roman" w:hAnsi="Times New Roman"/>
          <w:sz w:val="20"/>
          <w:szCs w:val="20"/>
          <w:b w:val="1"/>
          <w:bCs w:val="1"/>
          <w:color w:val="auto"/>
        </w:rPr>
        <w:t>CDA Account</w:t>
      </w:r>
      <w:r>
        <w:rPr>
          <w:rFonts w:ascii="Times New Roman" w:cs="Times New Roman" w:eastAsia="Times New Roman" w:hAnsi="Times New Roman"/>
          <w:sz w:val="20"/>
          <w:szCs w:val="20"/>
          <w:color w:val="auto"/>
        </w:rPr>
        <w:t>”). Each individual customer’s available credit amount to spend on their Credit Builder card will be limited to the funds on deposit in the SDA available to secure such transactions that have not been previously used to secure a credit transaction.</w:t>
      </w:r>
    </w:p>
    <w:p>
      <w:pPr>
        <w:spacing w:after="0" w:line="187" w:lineRule="exact"/>
        <w:rPr>
          <w:rFonts w:ascii="Times New Roman" w:cs="Times New Roman" w:eastAsia="Times New Roman" w:hAnsi="Times New Roman"/>
          <w:sz w:val="20"/>
          <w:szCs w:val="20"/>
          <w:color w:val="auto"/>
        </w:rPr>
      </w:pPr>
    </w:p>
    <w:p>
      <w:pPr>
        <w:ind w:left="660" w:hanging="328"/>
        <w:spacing w:after="0" w:line="253" w:lineRule="auto"/>
        <w:tabs>
          <w:tab w:leader="none" w:pos="660" w:val="left"/>
        </w:tabs>
        <w:numPr>
          <w:ilvl w:val="0"/>
          <w:numId w:val="3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Adjustment Funding Accounts</w:t>
      </w:r>
      <w:r>
        <w:rPr>
          <w:rFonts w:ascii="Times New Roman" w:cs="Times New Roman" w:eastAsia="Times New Roman" w:hAnsi="Times New Roman"/>
          <w:sz w:val="20"/>
          <w:szCs w:val="20"/>
          <w:color w:val="auto"/>
        </w:rPr>
        <w:t>. Client-owned Program Accounts shall be established by Client at Bank and funded by Client in an amount sufficient to fund the dispute provisional credits, rewards due to customers, and “Adjustment Credit Amounts” made to customer accounts (“</w:t>
      </w:r>
      <w:r>
        <w:rPr>
          <w:rFonts w:ascii="Times New Roman" w:cs="Times New Roman" w:eastAsia="Times New Roman" w:hAnsi="Times New Roman"/>
          <w:sz w:val="20"/>
          <w:szCs w:val="20"/>
          <w:b w:val="1"/>
          <w:bCs w:val="1"/>
          <w:color w:val="auto"/>
        </w:rPr>
        <w:t>Adjustment Funding Accounts</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b w:val="1"/>
          <w:bCs w:val="1"/>
          <w:color w:val="auto"/>
        </w:rPr>
        <w:t>Adjustment Credit Amounts</w:t>
      </w:r>
      <w:r>
        <w:rPr>
          <w:rFonts w:ascii="Times New Roman" w:cs="Times New Roman" w:eastAsia="Times New Roman" w:hAnsi="Times New Roman"/>
          <w:sz w:val="20"/>
          <w:szCs w:val="20"/>
          <w:color w:val="auto"/>
        </w:rPr>
        <w:t xml:space="preserve">” include </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Client grants Bank the right to transfer the Adjustment Credit Amount for the adjustment credit activity each Business Day since the previous Business Day to the Bank-owned Activity or Adjustment Account, as appropriate. Bank will notify Client if the balance in the Adjustment Funding Account is insufficient to cover the Adjustment Credit Amount and will request additional funding. Within one (1) business day of such notice from Bank, Client will initiate a wire or ACH credit in the required amount to post in the Adjustment Funding Accounts. Client is expected to maintain a positive balance in these accounts at all times.</w:t>
      </w:r>
    </w:p>
    <w:p>
      <w:pPr>
        <w:spacing w:after="0" w:line="194" w:lineRule="exact"/>
        <w:rPr>
          <w:rFonts w:ascii="Times New Roman" w:cs="Times New Roman" w:eastAsia="Times New Roman" w:hAnsi="Times New Roman"/>
          <w:sz w:val="20"/>
          <w:szCs w:val="20"/>
          <w:color w:val="auto"/>
        </w:rPr>
      </w:pPr>
    </w:p>
    <w:p>
      <w:pPr>
        <w:ind w:left="660" w:right="220" w:hanging="328"/>
        <w:spacing w:after="0" w:line="289" w:lineRule="auto"/>
        <w:tabs>
          <w:tab w:leader="none" w:pos="660" w:val="left"/>
        </w:tabs>
        <w:numPr>
          <w:ilvl w:val="0"/>
          <w:numId w:val="3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Fee/Revenue Account</w:t>
      </w:r>
      <w:r>
        <w:rPr>
          <w:rFonts w:ascii="Times New Roman" w:cs="Times New Roman" w:eastAsia="Times New Roman" w:hAnsi="Times New Roman"/>
          <w:sz w:val="20"/>
          <w:szCs w:val="20"/>
          <w:color w:val="auto"/>
        </w:rPr>
        <w:t>. A Bank-owned, Bank-controlled Program Account shall be set up to hold Program Revenues and expenses (the “</w:t>
      </w:r>
      <w:r>
        <w:rPr>
          <w:rFonts w:ascii="Times New Roman" w:cs="Times New Roman" w:eastAsia="Times New Roman" w:hAnsi="Times New Roman"/>
          <w:sz w:val="20"/>
          <w:szCs w:val="20"/>
          <w:b w:val="1"/>
          <w:bCs w:val="1"/>
          <w:color w:val="auto"/>
        </w:rPr>
        <w:t>Fee/Revenue account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w:t>
      </w:r>
    </w:p>
    <w:p>
      <w:pPr>
        <w:spacing w:after="0" w:line="147" w:lineRule="exact"/>
        <w:rPr>
          <w:rFonts w:ascii="Times New Roman" w:cs="Times New Roman" w:eastAsia="Times New Roman" w:hAnsi="Times New Roman"/>
          <w:sz w:val="20"/>
          <w:szCs w:val="20"/>
          <w:color w:val="auto"/>
        </w:rPr>
      </w:pPr>
    </w:p>
    <w:p>
      <w:pPr>
        <w:ind w:left="660" w:right="160" w:hanging="328"/>
        <w:spacing w:after="0" w:line="261" w:lineRule="auto"/>
        <w:tabs>
          <w:tab w:leader="none" w:pos="660" w:val="left"/>
        </w:tabs>
        <w:numPr>
          <w:ilvl w:val="0"/>
          <w:numId w:val="3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SpotMe Advance GL</w:t>
      </w:r>
      <w:r>
        <w:rPr>
          <w:rFonts w:ascii="Times New Roman" w:cs="Times New Roman" w:eastAsia="Times New Roman" w:hAnsi="Times New Roman"/>
          <w:sz w:val="20"/>
          <w:szCs w:val="20"/>
          <w:color w:val="auto"/>
        </w:rPr>
        <w:t>. A Bank-owned GL Program Account shall be set up to hold the receivables for SpotMe advances made to customers. This account shall hold a debit balance equal to the sum of all SpotMe advances not yet repaid by the Customer and has not yet been repaid or purchased by Client (including a purchase of a participation interest in such advance).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w:t>
      </w:r>
    </w:p>
    <w:sectPr>
      <w:pgSz w:w="11900" w:h="16838" w:orient="portrait"/>
      <w:cols w:equalWidth="0" w:num="1">
        <w:col w:w="11200"/>
      </w:cols>
      <w:pgMar w:left="320" w:top="12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EBE4208"/>
    <w:multiLevelType w:val="hybridMultilevel"/>
    <w:lvl w:ilvl="0">
      <w:lvlJc w:val="left"/>
      <w:lvlText w:val="(%1)"/>
      <w:numFmt w:val="decimal"/>
      <w:start w:val="1"/>
    </w:lvl>
  </w:abstractNum>
  <w:abstractNum w:abstractNumId="1">
    <w:nsid w:val="C058DF5"/>
    <w:multiLevelType w:val="hybridMultilevel"/>
    <w:lvl w:ilvl="0">
      <w:lvlJc w:val="left"/>
      <w:lvlText w:val="1"/>
      <w:numFmt w:val="bullet"/>
      <w:start w:val="1"/>
    </w:lvl>
  </w:abstractNum>
  <w:abstractNum w:abstractNumId="2">
    <w:nsid w:val="CBE5BE9"/>
    <w:multiLevelType w:val="hybridMultilevel"/>
    <w:lvl w:ilvl="0">
      <w:lvlJc w:val="left"/>
      <w:lvlText w:val="2"/>
      <w:numFmt w:val="bullet"/>
      <w:start w:val="1"/>
    </w:lvl>
  </w:abstractNum>
  <w:abstractNum w:abstractNumId="3">
    <w:nsid w:val="3102BBE2"/>
    <w:multiLevelType w:val="hybridMultilevel"/>
    <w:lvl w:ilvl="0">
      <w:lvlJc w:val="left"/>
      <w:lvlText w:val="3"/>
      <w:numFmt w:val="bullet"/>
      <w:start w:val="1"/>
    </w:lvl>
  </w:abstractNum>
  <w:abstractNum w:abstractNumId="4">
    <w:nsid w:val="26A02C5E"/>
    <w:multiLevelType w:val="hybridMultilevel"/>
    <w:lvl w:ilvl="0">
      <w:lvlJc w:val="left"/>
      <w:lvlText w:val="4"/>
      <w:numFmt w:val="bullet"/>
      <w:start w:val="1"/>
    </w:lvl>
  </w:abstractNum>
  <w:abstractNum w:abstractNumId="5">
    <w:nsid w:val="541C8153"/>
    <w:multiLevelType w:val="hybridMultilevel"/>
    <w:lvl w:ilvl="0">
      <w:lvlJc w:val="left"/>
      <w:lvlText w:val="5"/>
      <w:numFmt w:val="bullet"/>
      <w:start w:val="1"/>
    </w:lvl>
  </w:abstractNum>
  <w:abstractNum w:abstractNumId="6">
    <w:nsid w:val="67906F60"/>
    <w:multiLevelType w:val="hybridMultilevel"/>
    <w:lvl w:ilvl="0">
      <w:lvlJc w:val="left"/>
      <w:lvlText w:val="6"/>
      <w:numFmt w:val="bullet"/>
      <w:start w:val="1"/>
    </w:lvl>
  </w:abstractNum>
  <w:abstractNum w:abstractNumId="7">
    <w:nsid w:val="10DB9DAA"/>
    <w:multiLevelType w:val="hybridMultilevel"/>
    <w:lvl w:ilvl="0">
      <w:lvlJc w:val="left"/>
      <w:lvlText w:val="7"/>
      <w:numFmt w:val="bullet"/>
      <w:start w:val="1"/>
    </w:lvl>
  </w:abstractNum>
  <w:abstractNum w:abstractNumId="8">
    <w:nsid w:val="697D2D2"/>
    <w:multiLevelType w:val="hybridMultilevel"/>
    <w:lvl w:ilvl="0">
      <w:lvlJc w:val="left"/>
      <w:lvlText w:val="8"/>
      <w:numFmt w:val="bullet"/>
      <w:start w:val="1"/>
    </w:lvl>
  </w:abstractNum>
  <w:abstractNum w:abstractNumId="9">
    <w:nsid w:val="6D68AB2"/>
    <w:multiLevelType w:val="hybridMultilevel"/>
    <w:lvl w:ilvl="0">
      <w:lvlJc w:val="left"/>
      <w:lvlText w:val="9"/>
      <w:numFmt w:val="bullet"/>
      <w:start w:val="1"/>
    </w:lvl>
  </w:abstractNum>
  <w:abstractNum w:abstractNumId="10">
    <w:nsid w:val="3A966CD0"/>
    <w:multiLevelType w:val="hybridMultilevel"/>
    <w:lvl w:ilvl="0">
      <w:lvlJc w:val="left"/>
      <w:lvlText w:val="%1"/>
      <w:numFmt w:val="decimal"/>
      <w:start w:val="10"/>
    </w:lvl>
  </w:abstractNum>
  <w:abstractNum w:abstractNumId="11">
    <w:nsid w:val="63F37E85"/>
    <w:multiLevelType w:val="hybridMultilevel"/>
    <w:lvl w:ilvl="0">
      <w:lvlJc w:val="left"/>
      <w:lvlText w:val="%1"/>
      <w:numFmt w:val="decimal"/>
      <w:start w:val="12"/>
    </w:lvl>
  </w:abstractNum>
  <w:abstractNum w:abstractNumId="12">
    <w:nsid w:val="5895F5FA"/>
    <w:multiLevelType w:val="hybridMultilevel"/>
    <w:lvl w:ilvl="0">
      <w:lvlJc w:val="left"/>
      <w:lvlText w:val="%1"/>
      <w:numFmt w:val="decimal"/>
      <w:start w:val="20"/>
    </w:lvl>
  </w:abstractNum>
  <w:abstractNum w:abstractNumId="13">
    <w:nsid w:val="38A5D054"/>
    <w:multiLevelType w:val="hybridMultilevel"/>
    <w:lvl w:ilvl="0">
      <w:lvlJc w:val="left"/>
      <w:lvlText w:val="•"/>
      <w:numFmt w:val="bullet"/>
      <w:start w:val="1"/>
    </w:lvl>
  </w:abstractNum>
  <w:abstractNum w:abstractNumId="14">
    <w:nsid w:val="F3F09D8"/>
    <w:multiLevelType w:val="hybridMultilevel"/>
    <w:lvl w:ilvl="0">
      <w:lvlJc w:val="left"/>
      <w:lvlText w:val="%1"/>
      <w:numFmt w:val="decimal"/>
      <w:start w:val="26"/>
    </w:lvl>
  </w:abstractNum>
  <w:abstractNum w:abstractNumId="15">
    <w:nsid w:val="4B793735"/>
    <w:multiLevelType w:val="hybridMultilevel"/>
    <w:lvl w:ilvl="0">
      <w:lvlJc w:val="left"/>
      <w:lvlText w:val="•"/>
      <w:numFmt w:val="bullet"/>
      <w:start w:val="1"/>
    </w:lvl>
  </w:abstractNum>
  <w:abstractNum w:abstractNumId="16">
    <w:nsid w:val="4A10B4E8"/>
    <w:multiLevelType w:val="hybridMultilevel"/>
    <w:lvl w:ilvl="0">
      <w:lvlJc w:val="left"/>
      <w:lvlText w:val="%1"/>
      <w:numFmt w:val="decimal"/>
      <w:start w:val="31"/>
    </w:lvl>
  </w:abstractNum>
  <w:abstractNum w:abstractNumId="17">
    <w:nsid w:val="43D3BCD4"/>
    <w:multiLevelType w:val="hybridMultilevel"/>
    <w:lvl w:ilvl="0">
      <w:lvlJc w:val="left"/>
      <w:lvlText w:val="•"/>
      <w:numFmt w:val="bullet"/>
      <w:start w:val="1"/>
    </w:lvl>
    <w:lvl w:ilvl="1">
      <w:lvlJc w:val="left"/>
      <w:lvlText w:val="◦"/>
      <w:numFmt w:val="bullet"/>
      <w:start w:val="1"/>
    </w:lvl>
  </w:abstractNum>
  <w:abstractNum w:abstractNumId="18">
    <w:nsid w:val="4C2A7166"/>
    <w:multiLevelType w:val="hybridMultilevel"/>
    <w:lvl w:ilvl="0">
      <w:lvlJc w:val="left"/>
      <w:lvlText w:val="%1"/>
      <w:numFmt w:val="decimal"/>
      <w:start w:val="36"/>
    </w:lvl>
  </w:abstractNum>
  <w:abstractNum w:abstractNumId="19">
    <w:nsid w:val="2E534A82"/>
    <w:multiLevelType w:val="hybridMultilevel"/>
    <w:lvl w:ilvl="0">
      <w:lvlJc w:val="left"/>
      <w:lvlText w:val="%1"/>
      <w:numFmt w:val="decimal"/>
      <w:start w:val="39"/>
    </w:lvl>
  </w:abstractNum>
  <w:abstractNum w:abstractNumId="20">
    <w:nsid w:val="26F2D364"/>
    <w:multiLevelType w:val="hybridMultilevel"/>
    <w:lvl w:ilvl="0">
      <w:lvlJc w:val="left"/>
      <w:lvlText w:val="%1"/>
      <w:numFmt w:val="decimal"/>
      <w:start w:val="41"/>
    </w:lvl>
  </w:abstractNum>
  <w:abstractNum w:abstractNumId="21">
    <w:nsid w:val="71C1AF98"/>
    <w:multiLevelType w:val="hybridMultilevel"/>
    <w:lvl w:ilvl="0">
      <w:lvlJc w:val="left"/>
      <w:lvlText w:val="•"/>
      <w:numFmt w:val="bullet"/>
      <w:start w:val="1"/>
    </w:lvl>
  </w:abstractNum>
  <w:abstractNum w:abstractNumId="22">
    <w:nsid w:val="3D00B9D9"/>
    <w:multiLevelType w:val="hybridMultilevel"/>
    <w:lvl w:ilvl="0">
      <w:lvlJc w:val="left"/>
      <w:lvlText w:val="•"/>
      <w:numFmt w:val="bullet"/>
      <w:start w:val="1"/>
    </w:lvl>
  </w:abstractNum>
  <w:abstractNum w:abstractNumId="23">
    <w:nsid w:val="15BCABA8"/>
    <w:multiLevelType w:val="hybridMultilevel"/>
    <w:lvl w:ilvl="0">
      <w:lvlJc w:val="left"/>
      <w:lvlText w:val="•"/>
      <w:numFmt w:val="bullet"/>
      <w:start w:val="1"/>
    </w:lvl>
  </w:abstractNum>
  <w:abstractNum w:abstractNumId="24">
    <w:nsid w:val="4E0B9A87"/>
    <w:multiLevelType w:val="hybridMultilevel"/>
    <w:lvl w:ilvl="0">
      <w:lvlJc w:val="left"/>
      <w:lvlText w:val="%1"/>
      <w:numFmt w:val="decimal"/>
      <w:start w:val="42"/>
    </w:lvl>
  </w:abstractNum>
  <w:abstractNum w:abstractNumId="25">
    <w:nsid w:val="434BAE75"/>
    <w:multiLevelType w:val="hybridMultilevel"/>
    <w:lvl w:ilvl="0">
      <w:lvlJc w:val="left"/>
      <w:lvlText w:val="•"/>
      <w:numFmt w:val="bullet"/>
      <w:start w:val="1"/>
    </w:lvl>
  </w:abstractNum>
  <w:abstractNum w:abstractNumId="26">
    <w:nsid w:val="4F38F265"/>
    <w:multiLevelType w:val="hybridMultilevel"/>
    <w:lvl w:ilvl="0">
      <w:lvlJc w:val="left"/>
      <w:lvlText w:val="•"/>
      <w:numFmt w:val="bullet"/>
      <w:start w:val="1"/>
    </w:lvl>
  </w:abstractNum>
  <w:abstractNum w:abstractNumId="27">
    <w:nsid w:val="4C502870"/>
    <w:multiLevelType w:val="hybridMultilevel"/>
    <w:lvl w:ilvl="0">
      <w:lvlJc w:val="left"/>
      <w:lvlText w:val="•"/>
      <w:numFmt w:val="bullet"/>
      <w:start w:val="1"/>
    </w:lvl>
  </w:abstractNum>
  <w:abstractNum w:abstractNumId="28">
    <w:nsid w:val="1DE8725A"/>
    <w:multiLevelType w:val="hybridMultilevel"/>
    <w:lvl w:ilvl="0">
      <w:lvlJc w:val="left"/>
      <w:lvlText w:val="•"/>
      <w:numFmt w:val="bullet"/>
      <w:start w:val="1"/>
    </w:lvl>
    <w:lvl w:ilvl="1">
      <w:lvlJc w:val="left"/>
      <w:lvlText w:val="◦"/>
      <w:numFmt w:val="bullet"/>
      <w:start w:val="1"/>
    </w:lvl>
  </w:abstractNum>
  <w:abstractNum w:abstractNumId="29">
    <w:nsid w:val="6A37288A"/>
    <w:multiLevelType w:val="hybridMultilevel"/>
    <w:lvl w:ilvl="0">
      <w:lvlJc w:val="left"/>
      <w:lvlText w:val="•"/>
      <w:numFmt w:val="bullet"/>
      <w:start w:val="1"/>
    </w:lvl>
  </w:abstractNum>
  <w:abstractNum w:abstractNumId="30">
    <w:nsid w:val="8F8B73F"/>
    <w:multiLevelType w:val="hybridMultilevel"/>
    <w:lvl w:ilvl="0">
      <w:lvlJc w:val="left"/>
      <w:lvlText w:val="(%1)"/>
      <w:numFmt w:val="decimal"/>
      <w:start w:val="1"/>
    </w:lvl>
  </w:abstractNum>
  <w:abstractNum w:abstractNumId="31">
    <w:nsid w:val="CA6B462"/>
    <w:multiLevelType w:val="hybridMultilevel"/>
    <w:lvl w:ilvl="0">
      <w:lvlJc w:val="left"/>
      <w:lvlText w:val="(%1)"/>
      <w:numFmt w:val="decimal"/>
      <w:start w:val="1"/>
    </w:lvl>
  </w:abstractNum>
  <w:abstractNum w:abstractNumId="32">
    <w:nsid w:val="763CB680"/>
    <w:multiLevelType w:val="hybridMultilevel"/>
    <w:lvl w:ilvl="0">
      <w:lvlJc w:val="left"/>
      <w:lvlText w:val="•"/>
      <w:numFmt w:val="bullet"/>
      <w:start w:val="1"/>
    </w:lvl>
  </w:abstractNum>
  <w:abstractNum w:abstractNumId="33">
    <w:nsid w:val="15B71329"/>
    <w:multiLevelType w:val="hybridMultilevel"/>
    <w:lvl w:ilvl="0">
      <w:lvlJc w:val="left"/>
      <w:lvlText w:val="•"/>
      <w:numFmt w:val="bullet"/>
      <w:start w:val="1"/>
    </w:lvl>
  </w:abstractNum>
  <w:abstractNum w:abstractNumId="34">
    <w:nsid w:val="3DA97044"/>
    <w:multiLevelType w:val="hybridMultilevel"/>
    <w:lvl w:ilvl="0">
      <w:lvlJc w:val="left"/>
      <w:lvlText w:val="•"/>
      <w:numFmt w:val="bullet"/>
      <w:start w:val="1"/>
    </w:lvl>
  </w:abstractNum>
  <w:abstractNum w:abstractNumId="35">
    <w:nsid w:val="1CDCE2DE"/>
    <w:multiLevelType w:val="hybridMultilevel"/>
    <w:lvl w:ilvl="0">
      <w:lvlJc w:val="left"/>
      <w:lvlText w:val="(%1)"/>
      <w:numFmt w:val="lowerRoman"/>
      <w:start w:val="4"/>
    </w:lvl>
  </w:abstractNum>
  <w:abstractNum w:abstractNumId="36">
    <w:nsid w:val="69D3947C"/>
    <w:multiLevelType w:val="hybridMultilevel"/>
    <w:lvl w:ilvl="0">
      <w:lvlJc w:val="left"/>
      <w:lvlText w:val="%1"/>
      <w:numFmt w:val="decimal"/>
      <w:start w:val="46"/>
    </w:lvl>
  </w:abstractNum>
  <w:abstractNum w:abstractNumId="37">
    <w:nsid w:val="2539DFA5"/>
    <w:multiLevelType w:val="hybridMultilevel"/>
    <w:lvl w:ilvl="0">
      <w:lvlJc w:val="left"/>
      <w:lvlText w:val="•"/>
      <w:numFmt w:val="bullet"/>
      <w:start w:val="1"/>
    </w:lvl>
  </w:abstractNum>
  <w:abstractNum w:abstractNumId="38">
    <w:nsid w:val="2DB88089"/>
    <w:multiLevelType w:val="hybridMultilevel"/>
    <w:lvl w:ilvl="0">
      <w:lvlJc w:val="left"/>
      <w:lvlText w:val="•"/>
      <w:numFmt w:val="bullet"/>
      <w:start w:val="1"/>
    </w:lvl>
  </w:abstractNum>
  <w:abstractNum w:abstractNumId="39">
    <w:nsid w:val="706B674E"/>
    <w:multiLevelType w:val="hybridMultilevel"/>
    <w:lvl w:ilvl="0">
      <w:lvlJc w:val="left"/>
      <w:lvlText w:val="•"/>
      <w:numFmt w:val="bullet"/>
      <w:start w:val="1"/>
    </w:lvl>
  </w:abstractNum>
  <w:abstractNum w:abstractNumId="40">
    <w:nsid w:val="2C106A57"/>
    <w:multiLevelType w:val="hybridMultilevel"/>
    <w:lvl w:ilvl="0">
      <w:lvlJc w:val="left"/>
      <w:lvlText w:val="•"/>
      <w:numFmt w:val="bullet"/>
      <w:start w:val="1"/>
    </w:lvl>
  </w:abstractNum>
  <w:abstractNum w:abstractNumId="41">
    <w:nsid w:val="684EED59"/>
    <w:multiLevelType w:val="hybridMultilevel"/>
    <w:lvl w:ilvl="0">
      <w:lvlJc w:val="left"/>
      <w:lvlText w:val="•"/>
      <w:numFmt w:val="bullet"/>
      <w:start w:val="1"/>
    </w:lvl>
  </w:abstractNum>
  <w:abstractNum w:abstractNumId="42">
    <w:nsid w:val="545EE5D3"/>
    <w:multiLevelType w:val="hybridMultilevel"/>
    <w:lvl w:ilvl="0">
      <w:lvlJc w:val="left"/>
      <w:lvlText w:val="•"/>
      <w:numFmt w:val="bullet"/>
      <w:start w:val="1"/>
    </w:lvl>
  </w:abstractNum>
  <w:abstractNum w:abstractNumId="43">
    <w:nsid w:val="4A66051"/>
    <w:multiLevelType w:val="hybridMultilevel"/>
    <w:lvl w:ilvl="0">
      <w:lvlJc w:val="left"/>
      <w:lvlText w:val="•"/>
      <w:numFmt w:val="bullet"/>
      <w:start w:val="1"/>
    </w:lvl>
  </w:abstractNum>
  <w:abstractNum w:abstractNumId="44">
    <w:nsid w:val="20F4BDAD"/>
    <w:multiLevelType w:val="hybridMultilevel"/>
    <w:lvl w:ilvl="0">
      <w:lvlJc w:val="left"/>
      <w:lvlText w:val="•"/>
      <w:numFmt w:val="bullet"/>
      <w:start w:val="1"/>
    </w:lvl>
  </w:abstractNum>
  <w:abstractNum w:abstractNumId="45">
    <w:nsid w:val="639DEFAC"/>
    <w:multiLevelType w:val="hybridMultilevel"/>
    <w:lvl w:ilvl="0">
      <w:lvlJc w:val="left"/>
      <w:lvlText w:val="(%1)"/>
      <w:numFmt w:val="decimal"/>
      <w:start w:val="1"/>
    </w:lvl>
  </w:abstractNum>
  <w:abstractNum w:abstractNumId="46">
    <w:nsid w:val="501F9786"/>
    <w:multiLevelType w:val="hybridMultilevel"/>
    <w:lvl w:ilvl="0">
      <w:lvlJc w:val="left"/>
      <w:lvlText w:val="•"/>
      <w:numFmt w:val="bullet"/>
      <w:start w:val="1"/>
    </w:lvl>
  </w:abstractNum>
  <w:abstractNum w:abstractNumId="47">
    <w:nsid w:val="6B057295"/>
    <w:multiLevelType w:val="hybridMultilevel"/>
    <w:lvl w:ilvl="0">
      <w:lvlJc w:val="left"/>
      <w:lvlText w:val="•"/>
      <w:numFmt w:val="bullet"/>
      <w:start w:val="1"/>
    </w:lvl>
    <w:lvl w:ilvl="1">
      <w:lvlJc w:val="left"/>
      <w:lvlText w:val="◦"/>
      <w:numFmt w:val="bullet"/>
      <w:start w:val="1"/>
    </w:lvl>
  </w:abstractNum>
  <w:abstractNum w:abstractNumId="48">
    <w:nsid w:val="2771AC80"/>
    <w:multiLevelType w:val="hybridMultilevel"/>
    <w:lvl w:ilvl="0">
      <w:lvlJc w:val="left"/>
      <w:lvlText w:val="$"/>
      <w:numFmt w:val="bullet"/>
      <w:start w:val="1"/>
    </w:lvl>
  </w:abstractNum>
  <w:abstractNum w:abstractNumId="49">
    <w:nsid w:val="1C4A08EC"/>
    <w:multiLevelType w:val="hybridMultilevel"/>
    <w:lvl w:ilvl="0">
      <w:lvlJc w:val="left"/>
      <w:lvlText w:val="•"/>
      <w:numFmt w:val="bullet"/>
      <w:start w:val="1"/>
    </w:lvl>
  </w:abstractNum>
  <w:abstractNum w:abstractNumId="50">
    <w:nsid w:val="1958BD17"/>
    <w:multiLevelType w:val="hybridMultilevel"/>
    <w:lvl w:ilvl="0">
      <w:lvlJc w:val="left"/>
      <w:lvlText w:val="•"/>
      <w:numFmt w:val="bullet"/>
      <w:start w:val="1"/>
    </w:lvl>
  </w:abstractNum>
  <w:abstractNum w:abstractNumId="51">
    <w:nsid w:val="4E647FE4"/>
    <w:multiLevelType w:val="hybridMultilevel"/>
    <w:lvl w:ilvl="0">
      <w:lvlJc w:val="left"/>
      <w:lvlText w:val="•"/>
      <w:numFmt w:val="bullet"/>
      <w:start w:val="1"/>
    </w:lvl>
    <w:lvl w:ilvl="1">
      <w:lvlJc w:val="left"/>
      <w:lvlText w:val="◦"/>
      <w:numFmt w:val="bullet"/>
      <w:start w:val="1"/>
    </w:lvl>
  </w:abstractNum>
  <w:abstractNum w:abstractNumId="52">
    <w:nsid w:val="E0BB885"/>
    <w:multiLevelType w:val="hybridMultilevel"/>
    <w:lvl w:ilvl="0">
      <w:lvlJc w:val="left"/>
      <w:lvlText w:val="%1"/>
      <w:numFmt w:val="decimal"/>
      <w:start w:val="47"/>
    </w:lvl>
  </w:abstractNum>
  <w:abstractNum w:abstractNumId="53">
    <w:nsid w:val="565976F1"/>
    <w:multiLevelType w:val="hybridMultilevel"/>
    <w:lvl w:ilvl="0">
      <w:lvlJc w:val="left"/>
      <w:lvlText w:val="%1"/>
      <w:numFmt w:val="decimal"/>
      <w:start w:val="51"/>
    </w:lvl>
  </w:abstractNum>
  <w:abstractNum w:abstractNumId="54">
    <w:nsid w:val="64212B8C"/>
    <w:multiLevelType w:val="hybridMultilevel"/>
    <w:lvl w:ilvl="0">
      <w:lvlJc w:val="left"/>
      <w:lvlText w:val="(%1)"/>
      <w:numFmt w:val="decimal"/>
      <w:start w:val="1"/>
    </w:lvl>
  </w:abstractNum>
  <w:abstractNum w:abstractNumId="55">
    <w:nsid w:val="5C17530C"/>
    <w:multiLevelType w:val="hybridMultilevel"/>
    <w:lvl w:ilvl="0">
      <w:lvlJc w:val="left"/>
      <w:lvlText w:val="(%1)"/>
      <w:numFmt w:val="decimal"/>
      <w:start w:val="1"/>
    </w:lvl>
  </w:abstractNum>
  <w:abstractNum w:abstractNumId="56">
    <w:nsid w:val="19A52566"/>
    <w:multiLevelType w:val="hybridMultilevel"/>
    <w:lvl w:ilvl="0">
      <w:lvlJc w:val="left"/>
      <w:lvlText w:val="(%1)"/>
      <w:numFmt w:val="decimal"/>
      <w:start w:val="1"/>
    </w:lvl>
  </w:abstractNum>
  <w:abstractNum w:abstractNumId="57">
    <w:nsid w:val="335A1DF1"/>
    <w:multiLevelType w:val="hybridMultilevel"/>
    <w:lvl w:ilvl="0">
      <w:lvlJc w:val="left"/>
      <w:lvlText w:val="%1"/>
      <w:numFmt w:val="decimal"/>
      <w:start w:val="52"/>
    </w:lvl>
  </w:abstractNum>
  <w:abstractNum w:abstractNumId="58">
    <w:nsid w:val="28677B7C"/>
    <w:multiLevelType w:val="hybridMultilevel"/>
    <w:lvl w:ilvl="0">
      <w:lvlJc w:val="left"/>
      <w:lvlText w:val="%1"/>
      <w:numFmt w:val="decimal"/>
      <w:start w:val="54"/>
    </w:lvl>
  </w:abstractNum>
  <w:abstractNum w:abstractNumId="59">
    <w:nsid w:val="378D97C0"/>
    <w:multiLevelType w:val="hybridMultilevel"/>
    <w:lvl w:ilvl="0">
      <w:lvlJc w:val="left"/>
      <w:lvlText w:val="%1"/>
      <w:numFmt w:val="decimal"/>
      <w:start w:val="55"/>
    </w:lvl>
  </w:abstractNum>
  <w:abstractNum w:abstractNumId="60">
    <w:nsid w:val="1D91467C"/>
    <w:multiLevelType w:val="hybridMultilevel"/>
    <w:lvl w:ilvl="0">
      <w:lvlJc w:val="left"/>
      <w:lvlText w:val="%1"/>
      <w:numFmt w:val="decimal"/>
      <w:start w:val="56"/>
    </w:lvl>
  </w:abstractNum>
  <w:abstractNum w:abstractNumId="61">
    <w:nsid w:val="316032BB"/>
    <w:multiLevelType w:val="hybridMultilevel"/>
    <w:lvl w:ilvl="0">
      <w:lvlJc w:val="left"/>
      <w:lvlText w:val="%1"/>
      <w:numFmt w:val="decimal"/>
      <w:start w:val="59"/>
    </w:lvl>
  </w:abstractNum>
  <w:abstractNum w:abstractNumId="62">
    <w:nsid w:val="44344C22"/>
    <w:multiLevelType w:val="hybridMultilevel"/>
    <w:lvl w:ilvl="0">
      <w:lvlJc w:val="left"/>
      <w:lvlText w:val="•"/>
      <w:numFmt w:val="bullet"/>
      <w:start w:val="1"/>
    </w:lvl>
  </w:abstractNum>
  <w:abstractNum w:abstractNumId="63">
    <w:nsid w:val="13CDFCFC"/>
    <w:multiLevelType w:val="hybridMultilevel"/>
    <w:lvl w:ilvl="0">
      <w:lvlJc w:val="left"/>
      <w:lvlText w:val="%1"/>
      <w:numFmt w:val="decimal"/>
      <w:start w:val="61"/>
    </w:lvl>
  </w:abstractNum>
  <w:abstractNum w:abstractNumId="64">
    <w:nsid w:val="471745E4"/>
    <w:multiLevelType w:val="hybridMultilevel"/>
    <w:lvl w:ilvl="0">
      <w:lvlJc w:val="left"/>
      <w:lvlText w:val="%1"/>
      <w:numFmt w:val="decimal"/>
      <w:start w:val="62"/>
    </w:lvl>
  </w:abstractNum>
  <w:abstractNum w:abstractNumId="65">
    <w:nsid w:val="1DDBC66"/>
    <w:multiLevelType w:val="hybridMultilevel"/>
    <w:lvl w:ilvl="0">
      <w:lvlJc w:val="left"/>
      <w:lvlText w:val="(%1)"/>
      <w:numFmt w:val="decimal"/>
      <w:start w:val="1"/>
    </w:lvl>
  </w:abstractNum>
  <w:abstractNum w:abstractNumId="66">
    <w:nsid w:val="30AADFDA"/>
    <w:multiLevelType w:val="hybridMultilevel"/>
    <w:lvl w:ilvl="0">
      <w:lvlJc w:val="left"/>
      <w:lvlText w:val="(%1)"/>
      <w:numFmt w:val="decimal"/>
      <w:start w:val="1"/>
    </w:lvl>
  </w:abstractNum>
  <w:abstractNum w:abstractNumId="67">
    <w:nsid w:val="30EADA61"/>
    <w:multiLevelType w:val="hybridMultilevel"/>
    <w:lvl w:ilvl="0">
      <w:lvlJc w:val="left"/>
      <w:lvlText w:val="(%1)"/>
      <w:numFmt w:val="decimal"/>
      <w:start w:val="1"/>
    </w:lvl>
  </w:abstractNum>
  <w:abstractNum w:abstractNumId="68">
    <w:nsid w:val="27179C0B"/>
    <w:multiLevelType w:val="hybridMultilevel"/>
    <w:lvl w:ilvl="0">
      <w:lvlJc w:val="left"/>
      <w:lvlText w:val="(%1)"/>
      <w:numFmt w:val="decimal"/>
      <w:start w:val="2"/>
    </w:lvl>
  </w:abstractNum>
  <w:abstractNum w:abstractNumId="69">
    <w:nsid w:val="5E636063"/>
    <w:multiLevelType w:val="hybridMultilevel"/>
    <w:lvl w:ilvl="0">
      <w:lvlJc w:val="left"/>
      <w:lvlText w:val="(%1)"/>
      <w:numFmt w:val="decimal"/>
      <w:start w:val="1"/>
    </w:lvl>
  </w:abstractNum>
  <w:abstractNum w:abstractNumId="70">
    <w:nsid w:val="215641AF"/>
    <w:multiLevelType w:val="hybridMultilevel"/>
    <w:lvl w:ilvl="0">
      <w:lvlJc w:val="left"/>
      <w:lvlText w:val="%1"/>
      <w:numFmt w:val="decimal"/>
      <w:start w:val="63"/>
    </w:lvl>
  </w:abstractNum>
  <w:abstractNum w:abstractNumId="71">
    <w:nsid w:val="53280662"/>
    <w:multiLevelType w:val="hybridMultilevel"/>
    <w:lvl w:ilvl="0">
      <w:lvlJc w:val="left"/>
      <w:lvlText w:val="•"/>
      <w:numFmt w:val="bullet"/>
      <w:start w:val="1"/>
    </w:lvl>
  </w:abstractNum>
  <w:abstractNum w:abstractNumId="72">
    <w:nsid w:val="46B24DBC"/>
    <w:multiLevelType w:val="hybridMultilevel"/>
    <w:lvl w:ilvl="0">
      <w:lvlJc w:val="left"/>
      <w:lvlText w:val="•"/>
      <w:numFmt w:val="bullet"/>
      <w:start w:val="1"/>
    </w:lvl>
  </w:abstractNum>
  <w:abstractNum w:abstractNumId="73">
    <w:nsid w:val="75B52783"/>
    <w:multiLevelType w:val="hybridMultilevel"/>
    <w:lvl w:ilvl="0">
      <w:lvlJc w:val="left"/>
      <w:lvlText w:val="%1"/>
      <w:numFmt w:val="decimal"/>
      <w:start w:val="64"/>
    </w:lvl>
  </w:abstractNum>
  <w:abstractNum w:abstractNumId="74">
    <w:nsid w:val="57CE66B4"/>
    <w:multiLevelType w:val="hybridMultilevel"/>
    <w:lvl w:ilvl="0">
      <w:lvlJc w:val="left"/>
      <w:lvlText w:val="%1"/>
      <w:numFmt w:val="decimal"/>
      <w:start w:val="68"/>
    </w:lvl>
  </w:abstractNum>
  <w:abstractNum w:abstractNumId="75">
    <w:nsid w:val="67A70B69"/>
    <w:multiLevelType w:val="hybridMultilevel"/>
    <w:lvl w:ilvl="0">
      <w:lvlJc w:val="left"/>
      <w:lvlText w:val="\emdash "/>
      <w:numFmt w:val="bullet"/>
      <w:start w:val="1"/>
    </w:lvl>
    <w:lvl w:ilvl="1">
      <w:lvlJc w:val="left"/>
      <w:lvlText w:val="(%2)"/>
      <w:numFmt w:val="decimal"/>
      <w:start w:val="3"/>
    </w:lvl>
  </w:abstractNum>
  <w:abstractNum w:abstractNumId="76">
    <w:nsid w:val="5953172F"/>
    <w:multiLevelType w:val="hybridMultilevel"/>
    <w:lvl w:ilvl="0">
      <w:lvlJc w:val="left"/>
      <w:lvlText w:val="%1"/>
      <w:numFmt w:val="decimal"/>
      <w:start w:val="73"/>
    </w:lvl>
  </w:abstractNum>
  <w:abstractNum w:abstractNumId="77">
    <w:nsid w:val="27EDFE3A"/>
    <w:multiLevelType w:val="hybridMultilevel"/>
    <w:lvl w:ilvl="0">
      <w:lvlJc w:val="left"/>
      <w:lvlText w:val="%1"/>
      <w:numFmt w:val="decimal"/>
      <w:start w:val="76"/>
    </w:lvl>
  </w:abstractNum>
  <w:abstractNum w:abstractNumId="78">
    <w:nsid w:val="52AC7DFF"/>
    <w:multiLevelType w:val="hybridMultilevel"/>
    <w:lvl w:ilvl="0">
      <w:lvlJc w:val="left"/>
      <w:lvlText w:val="\emdash "/>
      <w:numFmt w:val="bullet"/>
      <w:start w:val="1"/>
    </w:lvl>
  </w:abstractNum>
  <w:abstractNum w:abstractNumId="79">
    <w:nsid w:val="C4C3AF"/>
    <w:multiLevelType w:val="hybridMultilevel"/>
    <w:lvl w:ilvl="0">
      <w:lvlJc w:val="left"/>
      <w:lvlText w:val="•"/>
      <w:numFmt w:val="bullet"/>
      <w:start w:val="1"/>
    </w:lvl>
  </w:abstractNum>
  <w:abstractNum w:abstractNumId="80">
    <w:nsid w:val="44380727"/>
    <w:multiLevelType w:val="hybridMultilevel"/>
    <w:lvl w:ilvl="0">
      <w:lvlJc w:val="left"/>
      <w:lvlText w:val="%1"/>
      <w:numFmt w:val="decimal"/>
      <w:start w:val="85"/>
    </w:lvl>
  </w:abstractNum>
  <w:abstractNum w:abstractNumId="81">
    <w:nsid w:val="6C053B16"/>
    <w:multiLevelType w:val="hybridMultilevel"/>
    <w:lvl w:ilvl="0">
      <w:lvlJc w:val="left"/>
      <w:lvlText w:val="•"/>
      <w:numFmt w:val="bullet"/>
      <w:start w:val="1"/>
    </w:lvl>
  </w:abstractNum>
  <w:abstractNum w:abstractNumId="82">
    <w:nsid w:val="4F294393"/>
    <w:multiLevelType w:val="hybridMultilevel"/>
    <w:lvl w:ilvl="0">
      <w:lvlJc w:val="left"/>
      <w:lvlText w:val="%1"/>
      <w:numFmt w:val="decimal"/>
      <w:start w:val="89"/>
    </w:lvl>
  </w:abstractNum>
  <w:abstractNum w:abstractNumId="83">
    <w:nsid w:val="5243BFAC"/>
    <w:multiLevelType w:val="hybridMultilevel"/>
    <w:lvl w:ilvl="0">
      <w:lvlJc w:val="left"/>
      <w:lvlText w:val="%1"/>
      <w:numFmt w:val="decimal"/>
      <w:start w:val="94"/>
    </w:lvl>
  </w:abstractNum>
  <w:abstractNum w:abstractNumId="84">
    <w:nsid w:val="425EB207"/>
    <w:multiLevelType w:val="hybridMultilevel"/>
    <w:lvl w:ilvl="0">
      <w:lvlJc w:val="left"/>
      <w:lvlText w:val="%1"/>
      <w:numFmt w:val="decimal"/>
      <w:start w:val="97"/>
    </w:lvl>
  </w:abstractNum>
  <w:abstractNum w:abstractNumId="85">
    <w:nsid w:val="334A6F1F"/>
    <w:multiLevelType w:val="hybridMultilevel"/>
    <w:lvl w:ilvl="0">
      <w:lvlJc w:val="left"/>
      <w:lvlText w:val="%1"/>
      <w:numFmt w:val="decimal"/>
      <w:start w:val="100"/>
    </w:lvl>
  </w:abstractNum>
  <w:abstractNum w:abstractNumId="86">
    <w:nsid w:val="2E5B12B8"/>
    <w:multiLevelType w:val="hybridMultilevel"/>
    <w:lvl w:ilvl="0">
      <w:lvlJc w:val="left"/>
      <w:lvlText w:val="•"/>
      <w:numFmt w:val="bullet"/>
      <w:start w:val="1"/>
    </w:lvl>
    <w:lvl w:ilvl="1">
      <w:lvlJc w:val="left"/>
      <w:lvlText w:val="◦"/>
      <w:numFmt w:val="bullet"/>
      <w:start w:val="1"/>
    </w:lvl>
  </w:abstractNum>
  <w:abstractNum w:abstractNumId="87">
    <w:nsid w:val="5C03D76D"/>
    <w:multiLevelType w:val="hybridMultilevel"/>
    <w:lvl w:ilvl="0">
      <w:lvlJc w:val="left"/>
      <w:lvlText w:val="%1"/>
      <w:numFmt w:val="decimal"/>
      <w:start w:val="101"/>
    </w:lvl>
  </w:abstractNum>
  <w:abstractNum w:abstractNumId="88">
    <w:nsid w:val="66A48D11"/>
    <w:multiLevelType w:val="hybridMultilevel"/>
    <w:lvl w:ilvl="0">
      <w:lvlJc w:val="left"/>
      <w:lvlText w:val="◦"/>
      <w:numFmt w:val="bullet"/>
      <w:start w:val="1"/>
    </w:lvl>
  </w:abstractNum>
  <w:abstractNum w:abstractNumId="89">
    <w:nsid w:val="56C28E34"/>
    <w:multiLevelType w:val="hybridMultilevel"/>
    <w:lvl w:ilvl="0">
      <w:lvlJc w:val="left"/>
      <w:lvlText w:val="%1"/>
      <w:numFmt w:val="decimal"/>
      <w:start w:val="103"/>
    </w:lvl>
  </w:abstractNum>
  <w:abstractNum w:abstractNumId="90">
    <w:nsid w:val="13916F2D"/>
    <w:multiLevelType w:val="hybridMultilevel"/>
    <w:lvl w:ilvl="0">
      <w:lvlJc w:val="left"/>
      <w:lvlText w:val="%1"/>
      <w:numFmt w:val="decimal"/>
      <w:start w:val="107"/>
    </w:lvl>
  </w:abstractNum>
  <w:abstractNum w:abstractNumId="91">
    <w:nsid w:val="435D38D"/>
    <w:multiLevelType w:val="hybridMultilevel"/>
    <w:lvl w:ilvl="0">
      <w:lvlJc w:val="left"/>
      <w:lvlText w:val="\emdash "/>
      <w:numFmt w:val="bullet"/>
      <w:start w:val="1"/>
    </w:lvl>
  </w:abstractNum>
  <w:abstractNum w:abstractNumId="92">
    <w:nsid w:val="822C0EF"/>
    <w:multiLevelType w:val="hybridMultilevel"/>
    <w:lvl w:ilvl="0">
      <w:lvlJc w:val="left"/>
      <w:lvlText w:val="%1"/>
      <w:numFmt w:val="decimal"/>
      <w:start w:val="108"/>
    </w:lvl>
  </w:abstractNum>
  <w:abstractNum w:abstractNumId="93">
    <w:nsid w:val="57C5BB4F"/>
    <w:multiLevelType w:val="hybridMultilevel"/>
    <w:lvl w:ilvl="0">
      <w:lvlJc w:val="left"/>
      <w:lvlText w:val="%1"/>
      <w:numFmt w:val="decimal"/>
      <w:start w:val="110"/>
    </w:lvl>
  </w:abstractNum>
  <w:abstractNum w:abstractNumId="94">
    <w:nsid w:val="1803D089"/>
    <w:multiLevelType w:val="hybridMultilevel"/>
    <w:lvl w:ilvl="0">
      <w:lvlJc w:val="left"/>
      <w:lvlText w:val="•"/>
      <w:numFmt w:val="bullet"/>
      <w:start w:val="1"/>
    </w:lvl>
  </w:abstractNum>
  <w:abstractNum w:abstractNumId="95">
    <w:nsid w:val="4F3A06D4"/>
    <w:multiLevelType w:val="hybridMultilevel"/>
    <w:lvl w:ilvl="0">
      <w:lvlJc w:val="left"/>
      <w:lvlText w:val="%1"/>
      <w:numFmt w:val="decimal"/>
      <w:start w:val="116"/>
    </w:lvl>
  </w:abstractNum>
  <w:abstractNum w:abstractNumId="96">
    <w:nsid w:val="59A377B6"/>
    <w:multiLevelType w:val="hybridMultilevel"/>
    <w:lvl w:ilvl="0">
      <w:lvlJc w:val="left"/>
      <w:lvlText w:val="•"/>
      <w:numFmt w:val="bullet"/>
      <w:start w:val="1"/>
    </w:lvl>
  </w:abstractNum>
  <w:abstractNum w:abstractNumId="97">
    <w:nsid w:val="48AEB063"/>
    <w:multiLevelType w:val="hybridMultilevel"/>
    <w:lvl w:ilvl="0">
      <w:lvlJc w:val="left"/>
      <w:lvlText w:val="%1"/>
      <w:numFmt w:val="decimal"/>
      <w:start w:val="119"/>
    </w:lvl>
  </w:abstractNum>
  <w:abstractNum w:abstractNumId="98">
    <w:nsid w:val="24E135"/>
    <w:multiLevelType w:val="hybridMultilevel"/>
    <w:lvl w:ilvl="0">
      <w:lvlJc w:val="left"/>
      <w:lvlText w:val="•"/>
      <w:numFmt w:val="bullet"/>
      <w:start w:val="1"/>
    </w:lvl>
  </w:abstractNum>
  <w:abstractNum w:abstractNumId="99">
    <w:nsid w:val="BB13C1"/>
    <w:multiLevelType w:val="hybridMultilevel"/>
    <w:lvl w:ilvl="0">
      <w:lvlJc w:val="left"/>
      <w:lvlText w:val="%1"/>
      <w:numFmt w:val="decimal"/>
      <w:start w:val="120"/>
    </w:lvl>
  </w:abstractNum>
  <w:abstractNum w:abstractNumId="100">
    <w:nsid w:val="271210C7"/>
    <w:multiLevelType w:val="hybridMultilevel"/>
    <w:lvl w:ilvl="0">
      <w:lvlJc w:val="left"/>
      <w:lvlText w:val="%1"/>
      <w:numFmt w:val="decimal"/>
      <w:start w:val="121"/>
    </w:lvl>
  </w:abstractNum>
  <w:abstractNum w:abstractNumId="101">
    <w:nsid w:val="217B22E4"/>
    <w:multiLevelType w:val="hybridMultilevel"/>
    <w:lvl w:ilvl="0">
      <w:lvlJc w:val="left"/>
      <w:lvlText w:val="%1"/>
      <w:numFmt w:val="decimal"/>
      <w:start w:val="123"/>
    </w:lvl>
  </w:abstractNum>
  <w:abstractNum w:abstractNumId="102">
    <w:nsid w:val="53E31A24"/>
    <w:multiLevelType w:val="hybridMultilevel"/>
    <w:lvl w:ilvl="0">
      <w:lvlJc w:val="left"/>
      <w:lvlText w:val="%1"/>
      <w:numFmt w:val="decimal"/>
      <w:start w:val="125"/>
    </w:lvl>
  </w:abstractNum>
  <w:abstractNum w:abstractNumId="103">
    <w:nsid w:val="6DC45E83"/>
    <w:multiLevelType w:val="hybridMultilevel"/>
    <w:lvl w:ilvl="0">
      <w:lvlJc w:val="left"/>
      <w:lvlText w:val="%1"/>
      <w:numFmt w:val="decimal"/>
      <w:start w:val="126"/>
    </w:lvl>
  </w:abstractNum>
  <w:abstractNum w:abstractNumId="104">
    <w:nsid w:val="17304A67"/>
    <w:multiLevelType w:val="hybridMultilevel"/>
    <w:lvl w:ilvl="0">
      <w:lvlJc w:val="left"/>
      <w:lvlText w:val="•"/>
      <w:numFmt w:val="bullet"/>
      <w:start w:val="1"/>
    </w:lvl>
  </w:abstractNum>
  <w:abstractNum w:abstractNumId="105">
    <w:nsid w:val="2BB180D8"/>
    <w:multiLevelType w:val="hybridMultilevel"/>
    <w:lvl w:ilvl="0">
      <w:lvlJc w:val="left"/>
      <w:lvlText w:val="%1"/>
      <w:numFmt w:val="decimal"/>
      <w:start w:val="127"/>
    </w:lvl>
  </w:abstractNum>
  <w:abstractNum w:abstractNumId="106">
    <w:nsid w:val="556B69ED"/>
    <w:multiLevelType w:val="hybridMultilevel"/>
    <w:lvl w:ilvl="0">
      <w:lvlJc w:val="left"/>
      <w:lvlText w:val="•"/>
      <w:numFmt w:val="bullet"/>
      <w:start w:val="1"/>
    </w:lvl>
  </w:abstractNum>
  <w:abstractNum w:abstractNumId="107">
    <w:nsid w:val="70836196"/>
    <w:multiLevelType w:val="hybridMultilevel"/>
    <w:lvl w:ilvl="0">
      <w:lvlJc w:val="left"/>
      <w:lvlText w:val="%1"/>
      <w:numFmt w:val="decimal"/>
      <w:start w:val="129"/>
    </w:lvl>
  </w:abstractNum>
  <w:abstractNum w:abstractNumId="108">
    <w:nsid w:val="539F7F12"/>
    <w:multiLevelType w:val="hybridMultilevel"/>
    <w:lvl w:ilvl="0">
      <w:lvlJc w:val="left"/>
      <w:lvlText w:val="%1"/>
      <w:numFmt w:val="decimal"/>
      <w:start w:val="130"/>
    </w:lvl>
  </w:abstractNum>
  <w:abstractNum w:abstractNumId="109">
    <w:nsid w:val="2817E7EC"/>
    <w:multiLevelType w:val="hybridMultilevel"/>
    <w:lvl w:ilvl="0">
      <w:lvlJc w:val="left"/>
      <w:lvlText w:val="•"/>
      <w:numFmt w:val="bullet"/>
      <w:start w:val="1"/>
    </w:lvl>
  </w:abstractNum>
  <w:abstractNum w:abstractNumId="110">
    <w:nsid w:val="71482545"/>
    <w:multiLevelType w:val="hybridMultilevel"/>
    <w:lvl w:ilvl="0">
      <w:lvlJc w:val="left"/>
      <w:lvlText w:val="•"/>
      <w:numFmt w:val="bullet"/>
      <w:start w:val="1"/>
    </w:lvl>
  </w:abstractNum>
  <w:abstractNum w:abstractNumId="111">
    <w:nsid w:val="17D78639"/>
    <w:multiLevelType w:val="hybridMultilevel"/>
    <w:lvl w:ilvl="0">
      <w:lvlJc w:val="left"/>
      <w:lvlText w:val="%1"/>
      <w:numFmt w:val="decimal"/>
      <w:start w:val="132"/>
    </w:lvl>
  </w:abstractNum>
  <w:abstractNum w:abstractNumId="112">
    <w:nsid w:val="141D2302"/>
    <w:multiLevelType w:val="hybridMultilevel"/>
    <w:lvl w:ilvl="0">
      <w:lvlJc w:val="left"/>
      <w:lvlText w:val="•"/>
      <w:numFmt w:val="bullet"/>
      <w:start w:val="1"/>
    </w:lvl>
  </w:abstractNum>
  <w:abstractNum w:abstractNumId="113">
    <w:nsid w:val="407168D8"/>
    <w:multiLevelType w:val="hybridMultilevel"/>
    <w:lvl w:ilvl="0">
      <w:lvlJc w:val="left"/>
      <w:lvlText w:val="•"/>
      <w:numFmt w:val="bullet"/>
      <w:start w:val="1"/>
    </w:lvl>
  </w:abstractNum>
  <w:abstractNum w:abstractNumId="114">
    <w:nsid w:val="6A1B45E5"/>
    <w:multiLevelType w:val="hybridMultilevel"/>
    <w:lvl w:ilvl="0">
      <w:lvlJc w:val="left"/>
      <w:lvlText w:val="%1"/>
      <w:numFmt w:val="decimal"/>
      <w:start w:val="137"/>
    </w:lvl>
  </w:abstractNum>
  <w:abstractNum w:abstractNumId="115">
    <w:nsid w:val="567BD50A"/>
    <w:multiLevelType w:val="hybridMultilevel"/>
    <w:lvl w:ilvl="0">
      <w:lvlJc w:val="left"/>
      <w:lvlText w:val="•"/>
      <w:numFmt w:val="bullet"/>
      <w:start w:val="1"/>
    </w:lvl>
  </w:abstractNum>
  <w:abstractNum w:abstractNumId="116">
    <w:nsid w:val="73BBD7F8"/>
    <w:multiLevelType w:val="hybridMultilevel"/>
    <w:lvl w:ilvl="0">
      <w:lvlJc w:val="left"/>
      <w:lvlText w:val="•"/>
      <w:numFmt w:val="bullet"/>
      <w:start w:val="1"/>
    </w:lvl>
  </w:abstractNum>
  <w:abstractNum w:abstractNumId="117">
    <w:nsid w:val="1876589D"/>
    <w:multiLevelType w:val="hybridMultilevel"/>
    <w:lvl w:ilvl="0">
      <w:lvlJc w:val="left"/>
      <w:lvlText w:val="%1"/>
      <w:numFmt w:val="decimal"/>
      <w:start w:val="138"/>
    </w:lvl>
  </w:abstractNum>
  <w:abstractNum w:abstractNumId="118">
    <w:nsid w:val="327FAC77"/>
    <w:multiLevelType w:val="hybridMultilevel"/>
    <w:lvl w:ilvl="0">
      <w:lvlJc w:val="left"/>
      <w:lvlText w:val="•"/>
      <w:numFmt w:val="bullet"/>
      <w:start w:val="1"/>
    </w:lvl>
  </w:abstractNum>
  <w:abstractNum w:abstractNumId="119">
    <w:nsid w:val="5A606509"/>
    <w:multiLevelType w:val="hybridMultilevel"/>
    <w:lvl w:ilvl="0">
      <w:lvlJc w:val="left"/>
      <w:lvlText w:val="•"/>
      <w:numFmt w:val="bullet"/>
      <w:start w:val="1"/>
    </w:lvl>
  </w:abstractNum>
  <w:abstractNum w:abstractNumId="120">
    <w:nsid w:val="6F38E6D1"/>
    <w:multiLevelType w:val="hybridMultilevel"/>
    <w:lvl w:ilvl="0">
      <w:lvlJc w:val="left"/>
      <w:lvlText w:val="•"/>
      <w:numFmt w:val="bullet"/>
      <w:start w:val="1"/>
    </w:lvl>
  </w:abstractNum>
  <w:abstractNum w:abstractNumId="121">
    <w:nsid w:val="46111BA5"/>
    <w:multiLevelType w:val="hybridMultilevel"/>
    <w:lvl w:ilvl="0">
      <w:lvlJc w:val="left"/>
      <w:lvlText w:val="•"/>
      <w:numFmt w:val="bullet"/>
      <w:start w:val="1"/>
    </w:lvl>
  </w:abstractNum>
  <w:abstractNum w:abstractNumId="122">
    <w:nsid w:val="5E963896"/>
    <w:multiLevelType w:val="hybridMultilevel"/>
    <w:lvl w:ilvl="0">
      <w:lvlJc w:val="left"/>
      <w:lvlText w:val="•"/>
      <w:numFmt w:val="bullet"/>
      <w:start w:val="1"/>
    </w:lvl>
  </w:abstractNum>
  <w:abstractNum w:abstractNumId="123">
    <w:nsid w:val="775BA7C1"/>
    <w:multiLevelType w:val="hybridMultilevel"/>
    <w:lvl w:ilvl="0">
      <w:lvlJc w:val="left"/>
      <w:lvlText w:val="(%1)"/>
      <w:numFmt w:val="decimal"/>
      <w:start w:val="1"/>
    </w:lvl>
  </w:abstractNum>
  <w:abstractNum w:abstractNumId="124">
    <w:nsid w:val="1DD6D6F4"/>
    <w:multiLevelType w:val="hybridMultilevel"/>
    <w:lvl w:ilvl="0">
      <w:lvlJc w:val="left"/>
      <w:lvlText w:val="•"/>
      <w:numFmt w:val="bullet"/>
      <w:start w:val="1"/>
    </w:lvl>
  </w:abstractNum>
  <w:abstractNum w:abstractNumId="125">
    <w:nsid w:val="769A091F"/>
    <w:multiLevelType w:val="hybridMultilevel"/>
    <w:lvl w:ilvl="0">
      <w:lvlJc w:val="left"/>
      <w:lvlText w:val="•"/>
      <w:numFmt w:val="bullet"/>
      <w:start w:val="1"/>
    </w:lvl>
  </w:abstractNum>
  <w:abstractNum w:abstractNumId="126">
    <w:nsid w:val="4695AE95"/>
    <w:multiLevelType w:val="hybridMultilevel"/>
    <w:lvl w:ilvl="0">
      <w:lvlJc w:val="left"/>
      <w:lvlText w:val="•"/>
      <w:numFmt w:val="bullet"/>
      <w:start w:val="1"/>
    </w:lvl>
  </w:abstractNum>
  <w:abstractNum w:abstractNumId="127">
    <w:nsid w:val="777A4EAA"/>
    <w:multiLevelType w:val="hybridMultilevel"/>
    <w:lvl w:ilvl="0">
      <w:lvlJc w:val="left"/>
      <w:lvlText w:val="•"/>
      <w:numFmt w:val="bullet"/>
      <w:start w:val="1"/>
    </w:lvl>
  </w:abstractNum>
  <w:abstractNum w:abstractNumId="128">
    <w:nsid w:val="3F48B982"/>
    <w:multiLevelType w:val="hybridMultilevel"/>
    <w:lvl w:ilvl="0">
      <w:lvlJc w:val="left"/>
      <w:lvlText w:val="•"/>
      <w:numFmt w:val="bullet"/>
      <w:start w:val="1"/>
    </w:lvl>
  </w:abstractNum>
  <w:abstractNum w:abstractNumId="129">
    <w:nsid w:val="46BA8FCA"/>
    <w:multiLevelType w:val="hybridMultilevel"/>
    <w:lvl w:ilvl="0">
      <w:lvlJc w:val="left"/>
      <w:lvlText w:val="•"/>
      <w:numFmt w:val="bullet"/>
      <w:start w:val="1"/>
    </w:lvl>
  </w:abstractNum>
  <w:abstractNum w:abstractNumId="130">
    <w:nsid w:val="7835626C"/>
    <w:multiLevelType w:val="hybridMultilevel"/>
    <w:lvl w:ilvl="0">
      <w:lvlJc w:val="left"/>
      <w:lvlText w:val="•"/>
      <w:numFmt w:val="bullet"/>
      <w:start w:val="1"/>
    </w:lvl>
  </w:abstractNum>
  <w:abstractNum w:abstractNumId="131">
    <w:nsid w:val="665ACA49"/>
    <w:multiLevelType w:val="hybridMultilevel"/>
    <w:lvl w:ilvl="0">
      <w:lvlJc w:val="left"/>
      <w:lvlText w:val="(%1)"/>
      <w:numFmt w:val="decimal"/>
      <w:start w:val="1"/>
    </w:lvl>
  </w:abstractNum>
  <w:abstractNum w:abstractNumId="132">
    <w:nsid w:val="6835B2AE"/>
    <w:multiLevelType w:val="hybridMultilevel"/>
    <w:lvl w:ilvl="0">
      <w:lvlJc w:val="left"/>
      <w:lvlText w:val="(%1)"/>
      <w:numFmt w:val="decimal"/>
      <w:start w:val="1"/>
    </w:lvl>
  </w:abstractNum>
  <w:abstractNum w:abstractNumId="133">
    <w:nsid w:val="4C187C90"/>
    <w:multiLevelType w:val="hybridMultilevel"/>
    <w:lvl w:ilvl="0">
      <w:lvlJc w:val="left"/>
      <w:lvlText w:val="(%1)"/>
      <w:numFmt w:val="decimal"/>
      <w:start w:val="3"/>
    </w:lvl>
  </w:abstractNum>
  <w:abstractNum w:abstractNumId="134">
    <w:nsid w:val="541F28CD"/>
    <w:multiLevelType w:val="hybridMultilevel"/>
    <w:lvl w:ilvl="0">
      <w:lvlJc w:val="left"/>
      <w:lvlText w:val="•"/>
      <w:numFmt w:val="bullet"/>
      <w:start w:val="1"/>
    </w:lvl>
  </w:abstractNum>
  <w:abstractNum w:abstractNumId="135">
    <w:nsid w:val="7F65FD16"/>
    <w:multiLevelType w:val="hybridMultilevel"/>
    <w:lvl w:ilvl="0">
      <w:lvlJc w:val="left"/>
      <w:lvlText w:val="•"/>
      <w:numFmt w:val="bullet"/>
      <w:start w:val="1"/>
    </w:lvl>
  </w:abstractNum>
  <w:abstractNum w:abstractNumId="136">
    <w:nsid w:val="77C9FD68"/>
    <w:multiLevelType w:val="hybridMultilevel"/>
    <w:lvl w:ilvl="0">
      <w:lvlJc w:val="left"/>
      <w:lvlText w:val="•"/>
      <w:numFmt w:val="bullet"/>
      <w:start w:val="1"/>
    </w:lvl>
  </w:abstractNum>
  <w:abstractNum w:abstractNumId="137">
    <w:nsid w:val="298A92BA"/>
    <w:multiLevelType w:val="hybridMultilevel"/>
    <w:lvl w:ilvl="0">
      <w:lvlJc w:val="left"/>
      <w:lvlText w:val="•"/>
      <w:numFmt w:val="bullet"/>
      <w:start w:val="1"/>
    </w:lvl>
  </w:abstractNum>
  <w:abstractNum w:abstractNumId="138">
    <w:nsid w:val="6FE95EAC"/>
    <w:multiLevelType w:val="hybridMultilevel"/>
    <w:lvl w:ilvl="0">
      <w:lvlJc w:val="left"/>
      <w:lvlText w:val="•"/>
      <w:numFmt w:val="bullet"/>
      <w:start w:val="1"/>
    </w:lvl>
  </w:abstractNum>
  <w:abstractNum w:abstractNumId="139">
    <w:nsid w:val="4B697C7A"/>
    <w:multiLevelType w:val="hybridMultilevel"/>
    <w:lvl w:ilvl="0">
      <w:lvlJc w:val="left"/>
      <w:lvlText w:val="•"/>
      <w:numFmt w:val="bullet"/>
      <w:start w:val="1"/>
    </w:lvl>
  </w:abstractNum>
  <w:abstractNum w:abstractNumId="140">
    <w:nsid w:val="51A27AA6"/>
    <w:multiLevelType w:val="hybridMultilevel"/>
    <w:lvl w:ilvl="0">
      <w:lvlJc w:val="left"/>
      <w:lvlText w:val="•"/>
      <w:numFmt w:val="bullet"/>
      <w:start w:val="1"/>
    </w:lvl>
  </w:abstractNum>
  <w:abstractNum w:abstractNumId="141">
    <w:nsid w:val="613183F2"/>
    <w:multiLevelType w:val="hybridMultilevel"/>
    <w:lvl w:ilvl="0">
      <w:lvlJc w:val="left"/>
      <w:lvlText w:val="(%1)"/>
      <w:numFmt w:val="decimal"/>
      <w:start w:val="1"/>
    </w:lvl>
  </w:abstractNum>
  <w:abstractNum w:abstractNumId="142">
    <w:nsid w:val="634102B4"/>
    <w:multiLevelType w:val="hybridMultilevel"/>
    <w:lvl w:ilvl="0">
      <w:lvlJc w:val="left"/>
      <w:lvlText w:val="(%1)"/>
      <w:numFmt w:val="decimal"/>
      <w:start w:val="3"/>
    </w:lvl>
  </w:abstractNum>
  <w:abstractNum w:abstractNumId="143">
    <w:nsid w:val="65BF9DA8"/>
    <w:multiLevelType w:val="hybridMultilevel"/>
    <w:lvl w:ilvl="0">
      <w:lvlJc w:val="left"/>
      <w:lvlText w:val="(%1)"/>
      <w:numFmt w:val="decimal"/>
      <w:start w:val="1"/>
    </w:lvl>
  </w:abstractNum>
  <w:abstractNum w:abstractNumId="144">
    <w:nsid w:val="21A2ECCA"/>
    <w:multiLevelType w:val="hybridMultilevel"/>
    <w:lvl w:ilvl="0">
      <w:lvlJc w:val="left"/>
      <w:lvlText w:val="•"/>
      <w:numFmt w:val="bullet"/>
      <w:start w:val="1"/>
    </w:lvl>
  </w:abstractNum>
  <w:abstractNum w:abstractNumId="145">
    <w:nsid w:val="4D5C4899"/>
    <w:multiLevelType w:val="hybridMultilevel"/>
    <w:lvl w:ilvl="0">
      <w:lvlJc w:val="left"/>
      <w:lvlText w:val="•"/>
      <w:numFmt w:val="bullet"/>
      <w:start w:val="1"/>
    </w:lvl>
  </w:abstractNum>
  <w:abstractNum w:abstractNumId="146">
    <w:nsid w:val="3C3B72B2"/>
    <w:multiLevelType w:val="hybridMultilevel"/>
    <w:lvl w:ilvl="0">
      <w:lvlJc w:val="left"/>
      <w:lvlText w:val="•"/>
      <w:numFmt w:val="bullet"/>
      <w:start w:val="1"/>
    </w:lvl>
  </w:abstractNum>
  <w:abstractNum w:abstractNumId="147">
    <w:nsid w:val="155EC4C2"/>
    <w:multiLevelType w:val="hybridMultilevel"/>
    <w:lvl w:ilvl="0">
      <w:lvlJc w:val="left"/>
      <w:lvlText w:val="•"/>
      <w:numFmt w:val="bullet"/>
      <w:start w:val="1"/>
    </w:lvl>
  </w:abstractNum>
  <w:abstractNum w:abstractNumId="148">
    <w:nsid w:val="65D2A137"/>
    <w:multiLevelType w:val="hybridMultilevel"/>
    <w:lvl w:ilvl="0">
      <w:lvlJc w:val="left"/>
      <w:lvlText w:val="(%1)"/>
      <w:numFmt w:val="decimal"/>
      <w:start w:val="1"/>
    </w:lvl>
  </w:abstractNum>
  <w:abstractNum w:abstractNumId="149">
    <w:nsid w:val="6EBB1F2A"/>
    <w:multiLevelType w:val="hybridMultilevel"/>
    <w:lvl w:ilvl="0">
      <w:lvlJc w:val="left"/>
      <w:lvlText w:val="(%1)"/>
      <w:numFmt w:val="decimal"/>
      <w:start w:val="2"/>
    </w:lvl>
  </w:abstractNum>
  <w:abstractNum w:abstractNumId="150">
    <w:nsid w:val="6FBF29CB"/>
    <w:multiLevelType w:val="hybridMultilevel"/>
    <w:lvl w:ilvl="0">
      <w:lvlJc w:val="left"/>
      <w:lvlText w:val="(%1)"/>
      <w:numFmt w:val="decimal"/>
      <w:start w:val="1"/>
    </w:lvl>
  </w:abstractNum>
  <w:abstractNum w:abstractNumId="151">
    <w:nsid w:val="550B8808"/>
    <w:multiLevelType w:val="hybridMultilevel"/>
    <w:lvl w:ilvl="0">
      <w:lvlJc w:val="left"/>
      <w:lvlText w:val="(%1)"/>
      <w:numFmt w:val="decimal"/>
      <w:start w:val="1"/>
    </w:lvl>
  </w:abstractNum>
  <w:abstractNum w:abstractNumId="152">
    <w:nsid w:val="34CC3ACF"/>
    <w:multiLevelType w:val="hybridMultilevel"/>
    <w:lvl w:ilvl="0">
      <w:lvlJc w:val="left"/>
      <w:lvlText w:val="(%1)"/>
      <w:numFmt w:val="decimal"/>
      <w:start w:val="1"/>
    </w:lvl>
  </w:abstractNum>
  <w:abstractNum w:abstractNumId="153">
    <w:nsid w:val="4E556261"/>
    <w:multiLevelType w:val="hybridMultilevel"/>
    <w:lvl w:ilvl="0">
      <w:lvlJc w:val="left"/>
      <w:lvlText w:val="•"/>
      <w:numFmt w:val="bullet"/>
      <w:start w:val="1"/>
    </w:lvl>
  </w:abstractNum>
  <w:abstractNum w:abstractNumId="154">
    <w:nsid w:val="4C672FC9"/>
    <w:multiLevelType w:val="hybridMultilevel"/>
    <w:lvl w:ilvl="0">
      <w:lvlJc w:val="left"/>
      <w:lvlText w:val="•"/>
      <w:numFmt w:val="bullet"/>
      <w:start w:val="1"/>
    </w:lvl>
  </w:abstractNum>
  <w:abstractNum w:abstractNumId="155">
    <w:nsid w:val="52A311C3"/>
    <w:multiLevelType w:val="hybridMultilevel"/>
    <w:lvl w:ilvl="0">
      <w:lvlJc w:val="left"/>
      <w:lvlText w:val="•"/>
      <w:numFmt w:val="bullet"/>
      <w:start w:val="1"/>
    </w:lvl>
  </w:abstractNum>
  <w:abstractNum w:abstractNumId="156">
    <w:nsid w:val="44EF6B80"/>
    <w:multiLevelType w:val="hybridMultilevel"/>
    <w:lvl w:ilvl="0">
      <w:lvlJc w:val="left"/>
      <w:lvlText w:val="•"/>
      <w:numFmt w:val="bullet"/>
      <w:start w:val="1"/>
    </w:lvl>
  </w:abstractNum>
  <w:abstractNum w:abstractNumId="157">
    <w:nsid w:val="12FCDE5E"/>
    <w:multiLevelType w:val="hybridMultilevel"/>
    <w:lvl w:ilvl="0">
      <w:lvlJc w:val="left"/>
      <w:lvlText w:val="•"/>
      <w:numFmt w:val="bullet"/>
      <w:start w:val="1"/>
    </w:lvl>
  </w:abstractNum>
  <w:abstractNum w:abstractNumId="158">
    <w:nsid w:val="4A1D606E"/>
    <w:multiLevelType w:val="hybridMultilevel"/>
    <w:lvl w:ilvl="0">
      <w:lvlJc w:val="left"/>
      <w:lvlText w:val="•"/>
      <w:numFmt w:val="bullet"/>
      <w:start w:val="1"/>
    </w:lvl>
  </w:abstractNum>
  <w:abstractNum w:abstractNumId="159">
    <w:nsid w:val="4382503"/>
    <w:multiLevelType w:val="hybridMultilevel"/>
    <w:lvl w:ilvl="0">
      <w:lvlJc w:val="left"/>
      <w:lvlText w:val="*"/>
      <w:numFmt w:val="bullet"/>
      <w:start w:val="1"/>
    </w:lvl>
  </w:abstractNum>
  <w:abstractNum w:abstractNumId="160">
    <w:nsid w:val="59B76E28"/>
    <w:multiLevelType w:val="hybridMultilevel"/>
    <w:lvl w:ilvl="0">
      <w:lvlJc w:val="left"/>
      <w:lvlText w:val="•"/>
      <w:numFmt w:val="bullet"/>
      <w:start w:val="1"/>
    </w:lvl>
  </w:abstractNum>
  <w:abstractNum w:abstractNumId="161">
    <w:nsid w:val="4252C2DA"/>
    <w:multiLevelType w:val="hybridMultilevel"/>
    <w:lvl w:ilvl="0">
      <w:lvlJc w:val="left"/>
      <w:lvlText w:val="(%1)"/>
      <w:numFmt w:val="lowerRoman"/>
      <w:start w:val="4"/>
    </w:lvl>
  </w:abstractNum>
  <w:abstractNum w:abstractNumId="162">
    <w:nsid w:val="6A92EF4C"/>
    <w:multiLevelType w:val="hybridMultilevel"/>
    <w:lvl w:ilvl="0">
      <w:lvlJc w:val="left"/>
      <w:lvlText w:val="•"/>
      <w:numFmt w:val="bullet"/>
      <w:start w:val="1"/>
    </w:lvl>
  </w:abstractNum>
  <w:abstractNum w:abstractNumId="163">
    <w:nsid w:val="41ED20D7"/>
    <w:multiLevelType w:val="hybridMultilevel"/>
    <w:lvl w:ilvl="0">
      <w:lvlJc w:val="left"/>
      <w:lvlText w:val="•"/>
      <w:numFmt w:val="bullet"/>
      <w:start w:val="1"/>
    </w:lvl>
  </w:abstractNum>
  <w:abstractNum w:abstractNumId="164">
    <w:nsid w:val="E6B3F6A"/>
    <w:multiLevelType w:val="hybridMultilevel"/>
    <w:lvl w:ilvl="0">
      <w:lvlJc w:val="left"/>
      <w:lvlText w:val="•"/>
      <w:numFmt w:val="bullet"/>
      <w:start w:val="1"/>
    </w:lvl>
  </w:abstractNum>
  <w:abstractNum w:abstractNumId="165">
    <w:nsid w:val="3EB21819"/>
    <w:multiLevelType w:val="hybridMultilevel"/>
    <w:lvl w:ilvl="0">
      <w:lvlJc w:val="left"/>
      <w:lvlText w:val="•"/>
      <w:numFmt w:val="bullet"/>
      <w:start w:val="1"/>
    </w:lvl>
  </w:abstractNum>
  <w:abstractNum w:abstractNumId="166">
    <w:nsid w:val="41531DED"/>
    <w:multiLevelType w:val="hybridMultilevel"/>
    <w:lvl w:ilvl="0">
      <w:lvlJc w:val="left"/>
      <w:lvlText w:val="•"/>
      <w:numFmt w:val="bullet"/>
      <w:start w:val="1"/>
    </w:lvl>
  </w:abstractNum>
  <w:abstractNum w:abstractNumId="167">
    <w:nsid w:val="6353CD2"/>
    <w:multiLevelType w:val="hybridMultilevel"/>
    <w:lvl w:ilvl="0">
      <w:lvlJc w:val="left"/>
      <w:lvlText w:val="•"/>
      <w:numFmt w:val="bullet"/>
      <w:start w:val="1"/>
    </w:lvl>
  </w:abstractNum>
  <w:abstractNum w:abstractNumId="168">
    <w:nsid w:val="683CAAD3"/>
    <w:multiLevelType w:val="hybridMultilevel"/>
    <w:lvl w:ilvl="0">
      <w:lvlJc w:val="left"/>
      <w:lvlText w:val="•"/>
      <w:numFmt w:val="bullet"/>
      <w:start w:val="1"/>
    </w:lvl>
  </w:abstractNum>
  <w:abstractNum w:abstractNumId="169">
    <w:nsid w:val="313C7C99"/>
    <w:multiLevelType w:val="hybridMultilevel"/>
    <w:lvl w:ilvl="0">
      <w:lvlJc w:val="left"/>
      <w:lvlText w:val="•"/>
      <w:numFmt w:val="bullet"/>
      <w:start w:val="1"/>
    </w:lvl>
  </w:abstractNum>
  <w:abstractNum w:abstractNumId="170">
    <w:nsid w:val="519EB94C"/>
    <w:multiLevelType w:val="hybridMultilevel"/>
    <w:lvl w:ilvl="0">
      <w:lvlJc w:val="left"/>
      <w:lvlText w:val="•"/>
      <w:numFmt w:val="bullet"/>
      <w:start w:val="1"/>
    </w:lvl>
  </w:abstractNum>
  <w:abstractNum w:abstractNumId="171">
    <w:nsid w:val="39DF2579"/>
    <w:multiLevelType w:val="hybridMultilevel"/>
    <w:lvl w:ilvl="0">
      <w:lvlJc w:val="left"/>
      <w:lvlText w:val="•"/>
      <w:numFmt w:val="bullet"/>
      <w:start w:val="1"/>
    </w:lvl>
  </w:abstractNum>
  <w:abstractNum w:abstractNumId="172">
    <w:nsid w:val="126E008B"/>
    <w:multiLevelType w:val="hybridMultilevel"/>
    <w:lvl w:ilvl="0">
      <w:lvlJc w:val="left"/>
      <w:lvlText w:val="(%1)"/>
      <w:numFmt w:val="lowerLetter"/>
      <w:start w:val="1"/>
    </w:lvl>
  </w:abstractNum>
  <w:abstractNum w:abstractNumId="173">
    <w:nsid w:val="34DFBC00"/>
    <w:multiLevelType w:val="hybridMultilevel"/>
    <w:lvl w:ilvl="0">
      <w:lvlJc w:val="left"/>
      <w:lvlText w:val="(%1)"/>
      <w:numFmt w:val="lowerLetter"/>
      <w:start w:val="1"/>
    </w:lvl>
  </w:abstractNum>
  <w:abstractNum w:abstractNumId="174">
    <w:nsid w:val="1F9EC322"/>
    <w:multiLevelType w:val="hybridMultilevel"/>
    <w:lvl w:ilvl="0">
      <w:lvlJc w:val="left"/>
      <w:lvlText w:val="(%1)"/>
      <w:numFmt w:val="lowerLetter"/>
      <w:start w:val="1"/>
    </w:lvl>
    <w:lvl w:ilvl="1">
      <w:lvlJc w:val="left"/>
      <w:lvlText w:val="(%2)"/>
      <w:numFmt w:val="decimal"/>
      <w:start w:val="1"/>
    </w:lvl>
  </w:abstractNum>
  <w:abstractNum w:abstractNumId="175">
    <w:nsid w:val="3410ED56"/>
    <w:multiLevelType w:val="hybridMultilevel"/>
    <w:lvl w:ilvl="0">
      <w:lvlJc w:val="left"/>
      <w:lvlText w:val="(%1)"/>
      <w:numFmt w:val="decimal"/>
      <w:start w:val="5"/>
    </w:lvl>
  </w:abstractNum>
  <w:abstractNum w:abstractNumId="176">
    <w:nsid w:val="23C049A"/>
    <w:multiLevelType w:val="hybridMultilevel"/>
    <w:lvl w:ilvl="0">
      <w:lvlJc w:val="left"/>
      <w:lvlText w:val="•"/>
      <w:numFmt w:val="bullet"/>
      <w:start w:val="1"/>
    </w:lvl>
  </w:abstractNum>
  <w:abstractNum w:abstractNumId="177">
    <w:nsid w:val="5BDA35D4"/>
    <w:multiLevelType w:val="hybridMultilevel"/>
    <w:lvl w:ilvl="0">
      <w:lvlJc w:val="left"/>
      <w:lvlText w:val="(%1)"/>
      <w:numFmt w:val="decimal"/>
      <w:start w:val="1"/>
    </w:lvl>
  </w:abstractNum>
  <w:abstractNum w:abstractNumId="178">
    <w:nsid w:val="496FB218"/>
    <w:multiLevelType w:val="hybridMultilevel"/>
    <w:lvl w:ilvl="0">
      <w:lvlJc w:val="left"/>
      <w:lvlText w:val="(%1)"/>
      <w:numFmt w:val="decimal"/>
      <w:start w:val="1"/>
    </w:lvl>
  </w:abstractNum>
  <w:abstractNum w:abstractNumId="179">
    <w:nsid w:val="680EA5D1"/>
    <w:multiLevelType w:val="hybridMultilevel"/>
    <w:lvl w:ilvl="0">
      <w:lvlJc w:val="left"/>
      <w:lvlText w:val="(%1)"/>
      <w:numFmt w:val="decimal"/>
      <w:start w:val="1"/>
    </w:lvl>
  </w:abstractNum>
  <w:abstractNum w:abstractNumId="180">
    <w:nsid w:val="4A9554FE"/>
    <w:multiLevelType w:val="hybridMultilevel"/>
    <w:lvl w:ilvl="0">
      <w:lvlJc w:val="left"/>
      <w:lvlText w:val="$"/>
      <w:numFmt w:val="bullet"/>
      <w:start w:val="1"/>
    </w:lvl>
  </w:abstractNum>
  <w:abstractNum w:abstractNumId="181">
    <w:nsid w:val="392EDBE4"/>
    <w:multiLevelType w:val="hybridMultilevel"/>
    <w:lvl w:ilvl="0">
      <w:lvlJc w:val="left"/>
      <w:lvlText w:val="(%1)"/>
      <w:numFmt w:val="decimal"/>
      <w:start w:val="1"/>
    </w:lvl>
  </w:abstractNum>
  <w:abstractNum w:abstractNumId="182">
    <w:nsid w:val="3D1A2DD9"/>
    <w:multiLevelType w:val="hybridMultilevel"/>
    <w:lvl w:ilvl="0">
      <w:lvlJc w:val="left"/>
      <w:lvlText w:val="(%1)"/>
      <w:numFmt w:val="decimal"/>
      <w:start w:val="2"/>
    </w:lvl>
  </w:abstractNum>
  <w:abstractNum w:abstractNumId="183">
    <w:nsid w:val="7F618FCD"/>
    <w:multiLevelType w:val="hybridMultilevel"/>
    <w:lvl w:ilvl="0">
      <w:lvlJc w:val="left"/>
      <w:lvlText w:val="•"/>
      <w:numFmt w:val="bullet"/>
      <w:start w:val="1"/>
    </w:lvl>
  </w:abstractNum>
  <w:abstractNum w:abstractNumId="184">
    <w:nsid w:val="7843E45"/>
    <w:multiLevelType w:val="hybridMultilevel"/>
    <w:lvl w:ilvl="0">
      <w:lvlJc w:val="left"/>
      <w:lvlText w:val="•"/>
      <w:numFmt w:val="bullet"/>
      <w:start w:val="1"/>
    </w:lvl>
  </w:abstractNum>
  <w:abstractNum w:abstractNumId="185">
    <w:nsid w:val="9815DA3"/>
    <w:multiLevelType w:val="hybridMultilevel"/>
    <w:lvl w:ilvl="0">
      <w:lvlJc w:val="left"/>
      <w:lvlText w:val="•"/>
      <w:numFmt w:val="bullet"/>
      <w:start w:val="1"/>
    </w:lvl>
  </w:abstractNum>
  <w:abstractNum w:abstractNumId="186">
    <w:nsid w:val="5204A191"/>
    <w:multiLevelType w:val="hybridMultilevel"/>
    <w:lvl w:ilvl="0">
      <w:lvlJc w:val="left"/>
      <w:lvlText w:val="•"/>
      <w:numFmt w:val="bullet"/>
      <w:start w:val="1"/>
    </w:lvl>
  </w:abstractNum>
  <w:abstractNum w:abstractNumId="187">
    <w:nsid w:val="4C73A9C6"/>
    <w:multiLevelType w:val="hybridMultilevel"/>
    <w:lvl w:ilvl="0">
      <w:lvlJc w:val="left"/>
      <w:lvlText w:val="(%1)"/>
      <w:numFmt w:val="decimal"/>
      <w:start w:val="1"/>
    </w:lvl>
  </w:abstractNum>
  <w:abstractNum w:abstractNumId="188">
    <w:nsid w:val="1C7E3C01"/>
    <w:multiLevelType w:val="hybridMultilevel"/>
    <w:lvl w:ilvl="0">
      <w:lvlJc w:val="left"/>
      <w:lvlText w:val="#"/>
      <w:numFmt w:val="bullet"/>
      <w:start w:val="1"/>
    </w:lvl>
  </w:abstractNum>
  <w:abstractNum w:abstractNumId="189">
    <w:nsid w:val="1C2201FF"/>
    <w:multiLevelType w:val="hybridMultilevel"/>
    <w:lvl w:ilvl="0">
      <w:lvlJc w:val="left"/>
      <w:lvlText w:val="*"/>
      <w:numFmt w:val="bullet"/>
      <w:start w:val="1"/>
    </w:lvl>
  </w:abstractNum>
  <w:abstractNum w:abstractNumId="190">
    <w:nsid w:val="50ABCEC9"/>
    <w:multiLevelType w:val="hybridMultilevel"/>
    <w:lvl w:ilvl="0">
      <w:lvlJc w:val="left"/>
      <w:lvlText w:val="+"/>
      <w:numFmt w:val="bullet"/>
      <w:start w:val="1"/>
    </w:lvl>
  </w:abstractNum>
  <w:abstractNum w:abstractNumId="191">
    <w:nsid w:val="7635AA2A"/>
    <w:multiLevelType w:val="hybridMultilevel"/>
    <w:lvl w:ilvl="0">
      <w:lvlJc w:val="left"/>
      <w:lvlText w:val="†"/>
      <w:numFmt w:val="bullet"/>
      <w:start w:val="1"/>
    </w:lvl>
  </w:abstractNum>
  <w:abstractNum w:abstractNumId="192">
    <w:nsid w:val="5E74C4D9"/>
    <w:multiLevelType w:val="hybridMultilevel"/>
    <w:lvl w:ilvl="0">
      <w:lvlJc w:val="left"/>
      <w:lvlText w:val="^"/>
      <w:numFmt w:val="bullet"/>
      <w:start w:val="1"/>
    </w:lvl>
  </w:abstractNum>
  <w:abstractNum w:abstractNumId="193">
    <w:nsid w:val="3B3EBE15"/>
    <w:multiLevelType w:val="hybridMultilevel"/>
    <w:lvl w:ilvl="0">
      <w:lvlJc w:val="left"/>
      <w:lvlText w:val="(%1)"/>
      <w:numFmt w:val="lowerLetter"/>
      <w:start w:val="1"/>
    </w:lvl>
  </w:abstractNum>
  <w:abstractNum w:abstractNumId="194">
    <w:nsid w:val="3822CB01"/>
    <w:multiLevelType w:val="hybridMultilevel"/>
    <w:lvl w:ilvl="0">
      <w:lvlJc w:val="left"/>
      <w:lvlText w:val="(%1)"/>
      <w:numFmt w:val="lowerLetter"/>
      <w:start w:val="2"/>
    </w:lvl>
  </w:abstractNum>
  <w:abstractNum w:abstractNumId="195">
    <w:nsid w:val="6CE00443"/>
    <w:multiLevelType w:val="hybridMultilevel"/>
    <w:lvl w:ilvl="0">
      <w:lvlJc w:val="left"/>
      <w:lvlText w:val="%1."/>
      <w:numFmt w:val="upperLetter"/>
      <w:start w:val="1"/>
    </w:lvl>
  </w:abstractNum>
  <w:abstractNum w:abstractNumId="196">
    <w:nsid w:val="79F0D62F"/>
    <w:multiLevelType w:val="hybridMultilevel"/>
    <w:lvl w:ilvl="0">
      <w:lvlJc w:val="left"/>
      <w:lvlText w:val="%1."/>
      <w:numFmt w:val="decimal"/>
      <w:start w:val="1"/>
    </w:lvl>
    <w:lvl w:ilvl="1">
      <w:lvlJc w:val="left"/>
      <w:lvlText w:val="(%2)"/>
      <w:numFmt w:val="lowerLetter"/>
      <w:start w:val="1"/>
    </w:lvl>
  </w:abstractNum>
  <w:abstractNum w:abstractNumId="197">
    <w:nsid w:val="7975E8EE"/>
    <w:multiLevelType w:val="hybridMultilevel"/>
    <w:lvl w:ilvl="0">
      <w:lvlJc w:val="left"/>
      <w:lvlText w:val="(%1)"/>
      <w:numFmt w:val="lowerLetter"/>
      <w:start w:val="6"/>
    </w:lvl>
  </w:abstractNum>
  <w:abstractNum w:abstractNumId="198">
    <w:nsid w:val="73154115"/>
    <w:multiLevelType w:val="hybridMultilevel"/>
    <w:lvl w:ilvl="0">
      <w:lvlJc w:val="left"/>
      <w:lvlText w:val="%1"/>
      <w:numFmt w:val="decimal"/>
      <w:start w:val="1"/>
    </w:lvl>
    <w:lvl w:ilvl="1">
      <w:lvlJc w:val="left"/>
      <w:lvlText w:val="(%2)"/>
      <w:numFmt w:val="lowerLetter"/>
      <w:start w:val="1"/>
    </w:lvl>
  </w:abstractNum>
  <w:abstractNum w:abstractNumId="199">
    <w:nsid w:val="622D8102"/>
    <w:multiLevelType w:val="hybridMultilevel"/>
    <w:lvl w:ilvl="0">
      <w:lvlJc w:val="left"/>
      <w:lvlText w:val="(%1)"/>
      <w:numFmt w:val="decimal"/>
      <w:start w:val="3"/>
    </w:lvl>
    <w:lvl w:ilvl="1">
      <w:lvlJc w:val="left"/>
      <w:lvlText w:val="(%2)"/>
      <w:numFmt w:val="lowerLetter"/>
      <w:start w:val="2"/>
    </w:lvl>
  </w:abstractNum>
  <w:abstractNum w:abstractNumId="200">
    <w:nsid w:val="2AB26587"/>
    <w:multiLevelType w:val="hybridMultilevel"/>
    <w:lvl w:ilvl="0">
      <w:lvlJc w:val="left"/>
      <w:lvlText w:val="(%1)"/>
      <w:numFmt w:val="lowerRoman"/>
      <w:start w:val="1"/>
    </w:lvl>
  </w:abstractNum>
  <w:abstractNum w:abstractNumId="201">
    <w:nsid w:val="44B3FA61"/>
    <w:multiLevelType w:val="hybridMultilevel"/>
    <w:lvl w:ilvl="0">
      <w:lvlJc w:val="left"/>
      <w:lvlText w:val="(%1)"/>
      <w:numFmt w:val="decimal"/>
      <w:start w:val="90"/>
    </w:lvl>
  </w:abstractNum>
  <w:abstractNum w:abstractNumId="202">
    <w:nsid w:val="1C0CA67C"/>
    <w:multiLevelType w:val="hybridMultilevel"/>
    <w:lvl w:ilvl="0">
      <w:lvlJc w:val="left"/>
      <w:lvlText w:val="%1"/>
      <w:numFmt w:val="lowerLetter"/>
      <w:start w:val="1"/>
    </w:lvl>
    <w:lvl w:ilvl="1">
      <w:lvlJc w:val="left"/>
      <w:lvlText w:val="(%2)"/>
      <w:numFmt w:val="lowerLetter"/>
      <w:start w:val="1"/>
    </w:lvl>
  </w:abstractNum>
  <w:abstractNum w:abstractNumId="203">
    <w:nsid w:val="3D206613"/>
    <w:multiLevelType w:val="hybridMultilevel"/>
    <w:lvl w:ilvl="0">
      <w:lvlJc w:val="left"/>
      <w:lvlText w:val="(%1)"/>
      <w:numFmt w:val="lowerLetter"/>
      <w:start w:val="9"/>
    </w:lvl>
    <w:lvl w:ilvl="1">
      <w:lvlJc w:val="left"/>
      <w:lvlText w:val="%2"/>
      <w:numFmt w:val="lowerLetter"/>
      <w:start w:val="1"/>
    </w:lvl>
  </w:abstractNum>
  <w:abstractNum w:abstractNumId="204">
    <w:nsid w:val="7993B662"/>
    <w:multiLevelType w:val="hybridMultilevel"/>
    <w:lvl w:ilvl="0">
      <w:lvlJc w:val="left"/>
      <w:lvlText w:val="(%1)"/>
      <w:numFmt w:val="lowerLetter"/>
      <w:start w:val="2"/>
    </w:lvl>
  </w:abstractNum>
  <w:abstractNum w:abstractNumId="205">
    <w:nsid w:val="3BAB699E"/>
    <w:multiLevelType w:val="hybridMultilevel"/>
    <w:lvl w:ilvl="0">
      <w:lvlJc w:val="left"/>
      <w:lvlText w:val="(%1)"/>
      <w:numFmt w:val="lowerLetter"/>
      <w:start w:val="1"/>
    </w:lvl>
    <w:lvl w:ilvl="1">
      <w:lvlJc w:val="left"/>
      <w:lvlText w:val="(%2)"/>
      <w:numFmt w:val="lowerRoman"/>
      <w:start w:val="1"/>
    </w:lvl>
  </w:abstractNum>
  <w:abstractNum w:abstractNumId="206">
    <w:nsid w:val="71315369"/>
    <w:multiLevelType w:val="hybridMultilevel"/>
    <w:lvl w:ilvl="0">
      <w:lvlJc w:val="left"/>
      <w:lvlText w:val="%1"/>
      <w:numFmt w:val="lowerLetter"/>
      <w:start w:val="1"/>
    </w:lvl>
    <w:lvl w:ilvl="1">
      <w:lvlJc w:val="left"/>
      <w:lvlText w:val="(%2)"/>
      <w:numFmt w:val="lowerRoman"/>
      <w:start w:val="4"/>
    </w:lvl>
  </w:abstractNum>
  <w:abstractNum w:abstractNumId="207">
    <w:nsid w:val="7BCFBAFC"/>
    <w:multiLevelType w:val="hybridMultilevel"/>
    <w:lvl w:ilvl="0">
      <w:lvlJc w:val="left"/>
      <w:lvlText w:val="(%1)"/>
      <w:numFmt w:val="lowerLetter"/>
      <w:start w:val="3"/>
    </w:lvl>
    <w:lvl w:ilvl="1">
      <w:lvlJc w:val="left"/>
      <w:lvlText w:val="%2"/>
      <w:numFmt w:val="lowerRoman"/>
      <w:start w:val="1"/>
    </w:lvl>
  </w:abstractNum>
  <w:abstractNum w:abstractNumId="208">
    <w:nsid w:val="17859F72"/>
    <w:multiLevelType w:val="hybridMultilevel"/>
    <w:lvl w:ilvl="0">
      <w:lvlJc w:val="left"/>
      <w:lvlText w:val="(%1)"/>
      <w:numFmt w:val="lowerLetter"/>
      <w:start w:val="1"/>
    </w:lvl>
  </w:abstractNum>
  <w:abstractNum w:abstractNumId="209">
    <w:nsid w:val="3AA10581"/>
    <w:multiLevelType w:val="hybridMultilevel"/>
    <w:lvl w:ilvl="0">
      <w:lvlJc w:val="left"/>
      <w:lvlText w:val="(%1)"/>
      <w:numFmt w:val="lowerLetter"/>
      <w:start w:val="2"/>
    </w:lvl>
  </w:abstractNum>
  <w:abstractNum w:abstractNumId="210">
    <w:nsid w:val="63DE60CD"/>
    <w:multiLevelType w:val="hybridMultilevel"/>
    <w:lvl w:ilvl="0">
      <w:lvlJc w:val="left"/>
      <w:lvlText w:val="(%1)"/>
      <w:numFmt w:val="lowerRoman"/>
      <w:start w:val="1"/>
    </w:lvl>
  </w:abstractNum>
  <w:abstractNum w:abstractNumId="211">
    <w:nsid w:val="621AF471"/>
    <w:multiLevelType w:val="hybridMultilevel"/>
    <w:lvl w:ilvl="0">
      <w:lvlJc w:val="left"/>
      <w:lvlText w:val="(%1)"/>
      <w:numFmt w:val="lowerLetter"/>
      <w:start w:val="1"/>
    </w:lvl>
  </w:abstractNum>
  <w:abstractNum w:abstractNumId="212">
    <w:nsid w:val="73CFE165"/>
    <w:multiLevelType w:val="hybridMultilevel"/>
    <w:lvl w:ilvl="0">
      <w:lvlJc w:val="left"/>
      <w:lvlText w:val="(%1)"/>
      <w:numFmt w:val="lowerLetter"/>
      <w:start w:val="3"/>
    </w:lvl>
  </w:abstractNum>
  <w:abstractNum w:abstractNumId="213">
    <w:nsid w:val="20F88EA6"/>
    <w:multiLevelType w:val="hybridMultilevel"/>
    <w:lvl w:ilvl="0">
      <w:lvlJc w:val="left"/>
      <w:lvlText w:val="(%1)"/>
      <w:numFmt w:val="lowerLetter"/>
      <w:start w:val="5"/>
    </w:lvl>
  </w:abstractNum>
  <w:abstractNum w:abstractNumId="214">
    <w:nsid w:val="617C843E"/>
    <w:multiLevelType w:val="hybridMultilevel"/>
    <w:lvl w:ilvl="0">
      <w:lvlJc w:val="left"/>
      <w:lvlText w:val="%1"/>
      <w:numFmt w:val="lowerLetter"/>
      <w:start w:val="1"/>
    </w:lvl>
    <w:lvl w:ilvl="1">
      <w:lvlJc w:val="left"/>
      <w:lvlText w:val="(%2)"/>
      <w:numFmt w:val="lowerLetter"/>
      <w:start w:val="1"/>
    </w:lvl>
  </w:abstractNum>
  <w:abstractNum w:abstractNumId="215">
    <w:nsid w:val="7B541FAB"/>
    <w:multiLevelType w:val="hybridMultilevel"/>
    <w:lvl w:ilvl="0">
      <w:lvlJc w:val="left"/>
      <w:lvlText w:val="(%1)"/>
      <w:numFmt w:val="lowerLetter"/>
      <w:start w:val="9"/>
    </w:lvl>
    <w:lvl w:ilvl="1">
      <w:lvlJc w:val="left"/>
      <w:lvlText w:val="%2"/>
      <w:numFmt w:val="lowerLetter"/>
      <w:start w:val="1"/>
    </w:lvl>
  </w:abstractNum>
  <w:abstractNum w:abstractNumId="216">
    <w:nsid w:val="2A79EC49"/>
    <w:multiLevelType w:val="hybridMultilevel"/>
    <w:lvl w:ilvl="0">
      <w:lvlJc w:val="left"/>
      <w:lvlText w:val="(%1)"/>
      <w:numFmt w:val="lowerLetter"/>
      <w:start w:val="1"/>
    </w:lvl>
  </w:abstractNum>
  <w:abstractNum w:abstractNumId="217">
    <w:nsid w:val="338125CF"/>
    <w:multiLevelType w:val="hybridMultilevel"/>
    <w:lvl w:ilvl="0">
      <w:lvlJc w:val="left"/>
      <w:lvlText w:val="(%1)"/>
      <w:numFmt w:val="lowerLetter"/>
      <w:start w:val="2"/>
    </w:lvl>
  </w:abstractNum>
  <w:abstractNum w:abstractNumId="218">
    <w:nsid w:val="47C7C971"/>
    <w:multiLevelType w:val="hybridMultilevel"/>
    <w:lvl w:ilvl="0">
      <w:lvlJc w:val="left"/>
      <w:lvlText w:val="%1."/>
      <w:numFmt w:val="decimal"/>
      <w:start w:val="2"/>
    </w:lvl>
  </w:abstractNum>
  <w:abstractNum w:abstractNumId="219">
    <w:nsid w:val="46F8284B"/>
    <w:multiLevelType w:val="hybridMultilevel"/>
    <w:lvl w:ilvl="0">
      <w:lvlJc w:val="left"/>
      <w:lvlText w:val="(%1)"/>
      <w:numFmt w:val="lowerLetter"/>
      <w:start w:val="1"/>
    </w:lvl>
  </w:abstractNum>
  <w:abstractNum w:abstractNumId="220">
    <w:nsid w:val="4FA327CE"/>
    <w:multiLevelType w:val="hybridMultilevel"/>
    <w:lvl w:ilvl="0">
      <w:lvlJc w:val="left"/>
      <w:lvlText w:val="(%1)"/>
      <w:numFmt w:val="lowerLetter"/>
      <w:start w:val="2"/>
    </w:lvl>
  </w:abstractNum>
  <w:abstractNum w:abstractNumId="221">
    <w:nsid w:val="1873983A"/>
    <w:multiLevelType w:val="hybridMultilevel"/>
    <w:lvl w:ilvl="0">
      <w:lvlJc w:val="left"/>
      <w:lvlText w:val="(%1)"/>
      <w:numFmt w:val="lowerLetter"/>
      <w:start w:val="1"/>
    </w:lvl>
  </w:abstractNum>
  <w:abstractNum w:abstractNumId="222">
    <w:nsid w:val="3D2DD275"/>
    <w:multiLevelType w:val="hybridMultilevel"/>
    <w:lvl w:ilvl="0">
      <w:lvlJc w:val="left"/>
      <w:lvlText w:val="(%1)"/>
      <w:numFmt w:val="lowerLetter"/>
      <w:start w:val="3"/>
    </w:lvl>
  </w:abstractNum>
  <w:abstractNum w:abstractNumId="223">
    <w:nsid w:val="2E17ECA7"/>
    <w:multiLevelType w:val="hybridMultilevel"/>
    <w:lvl w:ilvl="0">
      <w:lvlJc w:val="left"/>
      <w:lvlText w:val="(%1)"/>
      <w:numFmt w:val="lowerRoman"/>
      <w:start w:val="1"/>
    </w:lvl>
  </w:abstractNum>
  <w:abstractNum w:abstractNumId="224">
    <w:nsid w:val="53B2564F"/>
    <w:multiLevelType w:val="hybridMultilevel"/>
    <w:lvl w:ilvl="0">
      <w:lvlJc w:val="left"/>
      <w:lvlText w:val="(%1)"/>
      <w:numFmt w:val="lowerLetter"/>
      <w:start w:val="1"/>
    </w:lvl>
  </w:abstractNum>
  <w:abstractNum w:abstractNumId="225">
    <w:nsid w:val="75509D76"/>
    <w:multiLevelType w:val="hybridMultilevel"/>
    <w:lvl w:ilvl="0">
      <w:lvlJc w:val="left"/>
      <w:lvlText w:val="%1"/>
      <w:numFmt w:val="decimal"/>
      <w:start w:val="1"/>
    </w:lvl>
    <w:lvl w:ilvl="1">
      <w:lvlJc w:val="left"/>
      <w:lvlText w:val="(%2)"/>
      <w:numFmt w:val="lowerLetter"/>
      <w:start w:val="2"/>
    </w:lvl>
  </w:abstractNum>
  <w:abstractNum w:abstractNumId="226">
    <w:nsid w:val="1AF7F0EA"/>
    <w:multiLevelType w:val="hybridMultilevel"/>
    <w:lvl w:ilvl="0">
      <w:lvlJc w:val="left"/>
      <w:lvlText w:val="(%1)"/>
      <w:numFmt w:val="decimal"/>
      <w:start w:val="2"/>
    </w:lvl>
    <w:lvl w:ilvl="1">
      <w:lvlJc w:val="left"/>
      <w:lvlText w:val="%2"/>
      <w:numFmt w:val="lowerLetter"/>
      <w:start w:val="1"/>
    </w:lvl>
  </w:abstractNum>
  <w:abstractNum w:abstractNumId="227">
    <w:nsid w:val="4DA32C7E"/>
    <w:multiLevelType w:val="hybridMultilevel"/>
    <w:lvl w:ilvl="0">
      <w:lvlJc w:val="left"/>
      <w:lvlText w:val="%1."/>
      <w:numFmt w:val="decimal"/>
      <w:start w:val="3"/>
    </w:lvl>
  </w:abstractNum>
  <w:abstractNum w:abstractNumId="228">
    <w:nsid w:val="6EC68664"/>
    <w:multiLevelType w:val="hybridMultilevel"/>
    <w:lvl w:ilvl="0">
      <w:lvlJc w:val="left"/>
      <w:lvlText w:val="(%1)"/>
      <w:numFmt w:val="lowerLetter"/>
      <w:start w:val="3"/>
    </w:lvl>
  </w:abstractNum>
  <w:abstractNum w:abstractNumId="229">
    <w:nsid w:val="E0D31FF"/>
    <w:multiLevelType w:val="hybridMultilevel"/>
    <w:lvl w:ilvl="0">
      <w:lvlJc w:val="left"/>
      <w:lvlText w:val="%1"/>
      <w:numFmt w:val="upperLetter"/>
      <w:start w:val="39"/>
    </w:lvl>
  </w:abstractNum>
  <w:abstractNum w:abstractNumId="230">
    <w:nsid w:val="2FD0AD81"/>
    <w:multiLevelType w:val="hybridMultilevel"/>
    <w:lvl w:ilvl="0">
      <w:lvlJc w:val="left"/>
      <w:lvlText w:val="(%1)"/>
      <w:numFmt w:val="lowerLetter"/>
      <w:start w:val="1"/>
    </w:lvl>
  </w:abstractNum>
  <w:abstractNum w:abstractNumId="231">
    <w:nsid w:val="1978EBEB"/>
    <w:multiLevelType w:val="hybridMultilevel"/>
    <w:lvl w:ilvl="0">
      <w:lvlJc w:val="left"/>
      <w:lvlText w:val="(%1)"/>
      <w:numFmt w:val="lowerLetter"/>
      <w:start w:val="1"/>
    </w:lvl>
  </w:abstractNum>
  <w:abstractNum w:abstractNumId="232">
    <w:nsid w:val="52C12C61"/>
    <w:multiLevelType w:val="hybridMultilevel"/>
    <w:lvl w:ilvl="0">
      <w:lvlJc w:val="left"/>
      <w:lvlText w:val="(%1)"/>
      <w:numFmt w:val="lowerLetter"/>
      <w:start w:val="3"/>
    </w:lvl>
  </w:abstractNum>
  <w:abstractNum w:abstractNumId="233">
    <w:nsid w:val="4BDD53FD"/>
    <w:multiLevelType w:val="hybridMultilevel"/>
    <w:lvl w:ilvl="0">
      <w:lvlJc w:val="left"/>
      <w:lvlText w:val="(%1)"/>
      <w:numFmt w:val="lowerLetter"/>
      <w:start w:val="1"/>
    </w:lvl>
    <w:lvl w:ilvl="1">
      <w:lvlJc w:val="left"/>
      <w:lvlText w:val="(%2)"/>
      <w:numFmt w:val="lowerLetter"/>
      <w:start w:val="1"/>
    </w:lvl>
  </w:abstractNum>
  <w:abstractNum w:abstractNumId="234">
    <w:nsid w:val="569951FE"/>
    <w:multiLevelType w:val="hybridMultilevel"/>
    <w:lvl w:ilvl="0">
      <w:lvlJc w:val="left"/>
      <w:lvlText w:val="(%1)"/>
      <w:numFmt w:val="decimal"/>
      <w:start w:val="1"/>
    </w:lvl>
  </w:abstractNum>
  <w:abstractNum w:abstractNumId="235">
    <w:nsid w:val="4C54E2C3"/>
    <w:multiLevelType w:val="hybridMultilevel"/>
    <w:lvl w:ilvl="0">
      <w:lvlJc w:val="left"/>
      <w:lvlText w:val="(%1)"/>
      <w:numFmt w:val="decimal"/>
      <w:start w:val="3"/>
    </w:lvl>
  </w:abstractNum>
  <w:abstractNum w:abstractNumId="236">
    <w:nsid w:val="788BD9B"/>
    <w:multiLevelType w:val="hybridMultilevel"/>
    <w:lvl w:ilvl="0">
      <w:lvlJc w:val="left"/>
      <w:lvlText w:val="(%1)"/>
      <w:numFmt w:val="lowerLetter"/>
      <w:start w:val="1"/>
    </w:lvl>
  </w:abstractNum>
  <w:abstractNum w:abstractNumId="237">
    <w:nsid w:val="47CAA567"/>
    <w:multiLevelType w:val="hybridMultilevel"/>
    <w:lvl w:ilvl="0">
      <w:lvlJc w:val="left"/>
      <w:lvlText w:val="(%1)"/>
      <w:numFmt w:val="lowerLetter"/>
      <w:start w:val="2"/>
    </w:lvl>
  </w:abstractNum>
  <w:abstractNum w:abstractNumId="238">
    <w:nsid w:val="48249DBF"/>
    <w:multiLevelType w:val="hybridMultilevel"/>
    <w:lvl w:ilvl="0">
      <w:lvlJc w:val="left"/>
      <w:lvlText w:val="%1."/>
      <w:numFmt w:val="decimal"/>
      <w:start w:val="1"/>
    </w:lvl>
  </w:abstractNum>
  <w:abstractNum w:abstractNumId="239">
    <w:nsid w:val="1F0E5D0D"/>
    <w:multiLevelType w:val="hybridMultilevel"/>
    <w:lvl w:ilvl="0">
      <w:lvlJc w:val="left"/>
      <w:lvlText w:val="%1."/>
      <w:numFmt w:val="decimal"/>
      <w:start w:val="2"/>
    </w:lvl>
  </w:abstractNum>
  <w:abstractNum w:abstractNumId="240">
    <w:nsid w:val="26BAAE9"/>
    <w:multiLevelType w:val="hybridMultilevel"/>
    <w:lvl w:ilvl="0">
      <w:lvlJc w:val="left"/>
      <w:lvlText w:val="%1."/>
      <w:numFmt w:val="decimal"/>
      <w:start w:val="3"/>
    </w:lvl>
  </w:abstractNum>
  <w:abstractNum w:abstractNumId="241">
    <w:nsid w:val="2C02FE8C"/>
    <w:multiLevelType w:val="hybridMultilevel"/>
    <w:lvl w:ilvl="0">
      <w:lvlJc w:val="left"/>
      <w:lvlText w:val="(%1)"/>
      <w:numFmt w:val="lowerLetter"/>
      <w:start w:val="1"/>
    </w:lvl>
  </w:abstractNum>
  <w:abstractNum w:abstractNumId="242">
    <w:nsid w:val="129517E"/>
    <w:multiLevelType w:val="hybridMultilevel"/>
    <w:lvl w:ilvl="0">
      <w:lvlJc w:val="left"/>
      <w:lvlText w:val="%1."/>
      <w:numFmt w:val="decimal"/>
      <w:start w:val="1"/>
    </w:lvl>
  </w:abstractNum>
  <w:abstractNum w:abstractNumId="243">
    <w:nsid w:val="763B8C4E"/>
    <w:multiLevelType w:val="hybridMultilevel"/>
    <w:lvl w:ilvl="0">
      <w:lvlJc w:val="left"/>
      <w:lvlText w:val="(%1)"/>
      <w:numFmt w:val="lowerLetter"/>
      <w:start w:val="1"/>
    </w:lvl>
  </w:abstractNum>
  <w:abstractNum w:abstractNumId="244">
    <w:nsid w:val="4CFB8D32"/>
    <w:multiLevelType w:val="hybridMultilevel"/>
    <w:lvl w:ilvl="0">
      <w:lvlJc w:val="left"/>
      <w:lvlText w:val="(%1)"/>
      <w:numFmt w:val="lowerLetter"/>
      <w:start w:val="9"/>
    </w:lvl>
  </w:abstractNum>
  <w:abstractNum w:abstractNumId="245">
    <w:nsid w:val="62A5D5BD"/>
    <w:multiLevelType w:val="hybridMultilevel"/>
    <w:lvl w:ilvl="0">
      <w:lvlJc w:val="left"/>
      <w:lvlText w:val="(%1)"/>
      <w:numFmt w:val="lowerLetter"/>
      <w:start w:val="22"/>
    </w:lvl>
  </w:abstractNum>
  <w:abstractNum w:abstractNumId="246">
    <w:nsid w:val="718FABF9"/>
    <w:multiLevelType w:val="hybridMultilevel"/>
    <w:lvl w:ilvl="0">
      <w:lvlJc w:val="left"/>
      <w:lvlText w:val="(%1)"/>
      <w:numFmt w:val="lowerLetter"/>
      <w:start w:val="27"/>
    </w:lvl>
  </w:abstractNum>
  <w:abstractNum w:abstractNumId="247">
    <w:nsid w:val="7775797C"/>
    <w:multiLevelType w:val="hybridMultilevel"/>
    <w:lvl w:ilvl="0">
      <w:lvlJc w:val="left"/>
      <w:lvlText w:val="(%1)"/>
      <w:numFmt w:val="lowerLetter"/>
      <w:start w:val="33"/>
    </w:lvl>
  </w:abstractNum>
  <w:abstractNum w:abstractNumId="248">
    <w:nsid w:val="1626FB8C"/>
    <w:multiLevelType w:val="hybridMultilevel"/>
    <w:lvl w:ilvl="0">
      <w:lvlJc w:val="left"/>
      <w:lvlText w:val="%1"/>
      <w:numFmt w:val="lowerRoman"/>
      <w:start w:val="1"/>
    </w:lvl>
    <w:lvl w:ilvl="1">
      <w:lvlJc w:val="left"/>
      <w:lvlText w:val="(%2)"/>
      <w:numFmt w:val="lowerLetter"/>
      <w:start w:val="44"/>
    </w:lvl>
  </w:abstractNum>
  <w:abstractNum w:abstractNumId="249">
    <w:nsid w:val="3957756A"/>
    <w:multiLevelType w:val="hybridMultilevel"/>
    <w:lvl w:ilvl="0">
      <w:lvlJc w:val="left"/>
      <w:lvlText w:val="(%1)"/>
      <w:numFmt w:val="lowerRoman"/>
      <w:start w:val="4"/>
    </w:lvl>
    <w:lvl w:ilvl="1">
      <w:lvlJc w:val="left"/>
      <w:lvlText w:val="(%2)"/>
      <w:numFmt w:val="lowerLetter"/>
      <w:start w:val="46"/>
    </w:lvl>
  </w:abstractNum>
  <w:abstractNum w:abstractNumId="250">
    <w:nsid w:val="3E6DA1C7"/>
    <w:multiLevelType w:val="hybridMultilevel"/>
    <w:lvl w:ilvl="0">
      <w:lvlJc w:val="left"/>
      <w:lvlText w:val="%1."/>
      <w:numFmt w:val="decimal"/>
      <w:start w:val="2"/>
    </w:lvl>
  </w:abstractNum>
  <w:abstractNum w:abstractNumId="251">
    <w:nsid w:val="65CA235B"/>
    <w:multiLevelType w:val="hybridMultilevel"/>
    <w:lvl w:ilvl="0">
      <w:lvlJc w:val="left"/>
      <w:lvlText w:val="(%1)"/>
      <w:numFmt w:val="lowerLetter"/>
      <w:start w:val="1"/>
    </w:lvl>
  </w:abstractNum>
  <w:abstractNum w:abstractNumId="252">
    <w:nsid w:val="51CB0DA4"/>
    <w:multiLevelType w:val="hybridMultilevel"/>
    <w:lvl w:ilvl="0">
      <w:lvlJc w:val="left"/>
      <w:lvlText w:val="(%1)"/>
      <w:numFmt w:val="lowerLetter"/>
      <w:start w:val="1"/>
    </w:lvl>
  </w:abstractNum>
  <w:abstractNum w:abstractNumId="253">
    <w:nsid w:val="7B9B743C"/>
    <w:multiLevelType w:val="hybridMultilevel"/>
    <w:lvl w:ilvl="0">
      <w:lvlJc w:val="left"/>
      <w:lvlText w:val="%1"/>
      <w:numFmt w:val="lowerLetter"/>
      <w:start w:val="1"/>
    </w:lvl>
    <w:lvl w:ilvl="1">
      <w:lvlJc w:val="left"/>
      <w:lvlText w:val="(%2)"/>
      <w:numFmt w:val="lowerLetter"/>
      <w:start w:val="4"/>
    </w:lvl>
  </w:abstractNum>
  <w:abstractNum w:abstractNumId="254">
    <w:nsid w:val="13E21002"/>
    <w:multiLevelType w:val="hybridMultilevel"/>
    <w:lvl w:ilvl="0">
      <w:lvlJc w:val="left"/>
      <w:lvlText w:val="(%1)"/>
      <w:numFmt w:val="lowerLetter"/>
      <w:start w:val="9"/>
    </w:lvl>
    <w:lvl w:ilvl="1">
      <w:lvlJc w:val="left"/>
      <w:lvlText w:val="%2"/>
      <w:numFmt w:val="lowerLetter"/>
      <w:start w:val="1"/>
    </w:lvl>
  </w:abstractNum>
  <w:abstractNum w:abstractNumId="255">
    <w:nsid w:val="257D63F4"/>
    <w:multiLevelType w:val="hybridMultilevel"/>
    <w:lvl w:ilvl="0">
      <w:lvlJc w:val="left"/>
      <w:lvlText w:val="(%1)"/>
      <w:numFmt w:val="lowerLetter"/>
      <w:start w:val="61"/>
    </w:lvl>
    <w:lvl w:ilvl="1">
      <w:lvlJc w:val="left"/>
      <w:lvlText w:val="%2"/>
      <w:numFmt w:val="lowerLetter"/>
      <w:start w:val="1"/>
    </w:lvl>
  </w:abstractNum>
  <w:abstractNum w:abstractNumId="256">
    <w:nsid w:val="70EC11B2"/>
    <w:multiLevelType w:val="hybridMultilevel"/>
    <w:lvl w:ilvl="0">
      <w:lvlJc w:val="left"/>
      <w:lvlText w:val="%1."/>
      <w:numFmt w:val="decimal"/>
      <w:start w:val="3"/>
    </w:lvl>
  </w:abstractNum>
  <w:abstractNum w:abstractNumId="257">
    <w:nsid w:val="2EDA00ED"/>
    <w:multiLevelType w:val="hybridMultilevel"/>
    <w:lvl w:ilvl="0">
      <w:lvlJc w:val="left"/>
      <w:lvlText w:val="(%1)"/>
      <w:numFmt w:val="lowerLetter"/>
      <w:start w:val="1"/>
    </w:lvl>
  </w:abstractNum>
  <w:abstractNum w:abstractNumId="258">
    <w:nsid w:val="73209072"/>
    <w:multiLevelType w:val="hybridMultilevel"/>
    <w:lvl w:ilvl="0">
      <w:lvlJc w:val="left"/>
      <w:lvlText w:val="(%1)"/>
      <w:numFmt w:val="lowerLetter"/>
      <w:start w:val="1"/>
    </w:lvl>
  </w:abstractNum>
  <w:abstractNum w:abstractNumId="259">
    <w:nsid w:val="5FB29816"/>
    <w:multiLevelType w:val="hybridMultilevel"/>
    <w:lvl w:ilvl="0">
      <w:lvlJc w:val="left"/>
      <w:lvlText w:val="(%1)"/>
      <w:numFmt w:val="lowerLetter"/>
      <w:start w:val="2"/>
    </w:lvl>
  </w:abstractNum>
  <w:abstractNum w:abstractNumId="260">
    <w:nsid w:val="3CE732EC"/>
    <w:multiLevelType w:val="hybridMultilevel"/>
    <w:lvl w:ilvl="0">
      <w:lvlJc w:val="left"/>
      <w:lvlText w:val="(%1)"/>
      <w:numFmt w:val="lowerLetter"/>
      <w:start w:val="9"/>
    </w:lvl>
  </w:abstractNum>
  <w:abstractNum w:abstractNumId="261">
    <w:nsid w:val="22F13DF3"/>
    <w:multiLevelType w:val="hybridMultilevel"/>
    <w:lvl w:ilvl="0">
      <w:lvlJc w:val="left"/>
      <w:lvlText w:val="%1"/>
      <w:numFmt w:val="lowerLetter"/>
      <w:start w:val="1"/>
    </w:lvl>
    <w:lvl w:ilvl="1">
      <w:lvlJc w:val="left"/>
      <w:lvlText w:val="(%2)"/>
      <w:numFmt w:val="lowerLetter"/>
      <w:start w:val="1"/>
    </w:lvl>
  </w:abstractNum>
  <w:abstractNum w:abstractNumId="262">
    <w:nsid w:val="792B8401"/>
    <w:multiLevelType w:val="hybridMultilevel"/>
    <w:lvl w:ilvl="0">
      <w:lvlJc w:val="left"/>
      <w:lvlText w:val="(%1)"/>
      <w:numFmt w:val="lowerLetter"/>
      <w:start w:val="61"/>
    </w:lvl>
    <w:lvl w:ilvl="1">
      <w:lvlJc w:val="left"/>
      <w:lvlText w:val="(%2)"/>
      <w:numFmt w:val="lowerLetter"/>
      <w:start w:val="2"/>
    </w:lvl>
  </w:abstractNum>
  <w:abstractNum w:abstractNumId="263">
    <w:nsid w:val="FA85F4D"/>
    <w:multiLevelType w:val="hybridMultilevel"/>
    <w:lvl w:ilvl="0">
      <w:lvlJc w:val="left"/>
      <w:lvlText w:val="(%1)"/>
      <w:numFmt w:val="lowerLetter"/>
      <w:start w:val="5"/>
    </w:lvl>
  </w:abstractNum>
  <w:abstractNum w:abstractNumId="264">
    <w:nsid w:val="6ECE91F0"/>
    <w:multiLevelType w:val="hybridMultilevel"/>
    <w:lvl w:ilvl="0">
      <w:lvlJc w:val="left"/>
      <w:lvlText w:val="(%1)"/>
      <w:numFmt w:val="lowerLetter"/>
      <w:start w:val="1"/>
    </w:lvl>
  </w:abstractNum>
  <w:abstractNum w:abstractNumId="265">
    <w:nsid w:val="4FC4D600"/>
    <w:multiLevelType w:val="hybridMultilevel"/>
    <w:lvl w:ilvl="0">
      <w:lvlJc w:val="left"/>
      <w:lvlText w:val="(%1)"/>
      <w:numFmt w:val="lowerLetter"/>
      <w:start w:val="2"/>
    </w:lvl>
  </w:abstractNum>
  <w:abstractNum w:abstractNumId="266">
    <w:nsid w:val="5BFD4210"/>
    <w:multiLevelType w:val="hybridMultilevel"/>
    <w:lvl w:ilvl="0">
      <w:lvlJc w:val="left"/>
      <w:lvlText w:val="(%1)"/>
      <w:numFmt w:val="lowerLetter"/>
      <w:start w:val="1"/>
    </w:lvl>
  </w:abstractNum>
  <w:abstractNum w:abstractNumId="267">
    <w:nsid w:val="76574F8B"/>
    <w:multiLevelType w:val="hybridMultilevel"/>
    <w:lvl w:ilvl="0">
      <w:lvlJc w:val="left"/>
      <w:lvlText w:val="(%1)"/>
      <w:numFmt w:val="lowerLetter"/>
      <w:start w:val="1"/>
    </w:lvl>
  </w:abstractNum>
  <w:abstractNum w:abstractNumId="268">
    <w:nsid w:val="178F7B67"/>
    <w:multiLevelType w:val="hybridMultilevel"/>
    <w:lvl w:ilvl="0">
      <w:lvlJc w:val="left"/>
      <w:lvlText w:val="(%1)"/>
      <w:numFmt w:val="lowerLetter"/>
      <w:start w:val="3"/>
    </w:lvl>
  </w:abstractNum>
  <w:abstractNum w:abstractNumId="269">
    <w:nsid w:val="2421DFCF"/>
    <w:multiLevelType w:val="hybridMultilevel"/>
    <w:lvl w:ilvl="0">
      <w:lvlJc w:val="left"/>
      <w:lvlText w:val="(%1)"/>
      <w:numFmt w:val="lowerLetter"/>
      <w:start w:val="1"/>
    </w:lvl>
  </w:abstractNum>
  <w:abstractNum w:abstractNumId="270">
    <w:nsid w:val="1565AC99"/>
    <w:multiLevelType w:val="hybridMultilevel"/>
    <w:lvl w:ilvl="0">
      <w:lvlJc w:val="left"/>
      <w:lvlText w:val="(%1)"/>
      <w:numFmt w:val="lowerLetter"/>
      <w:start w:val="3"/>
    </w:lvl>
  </w:abstractNum>
  <w:abstractNum w:abstractNumId="271">
    <w:nsid w:val="19FB2650"/>
    <w:multiLevelType w:val="hybridMultilevel"/>
    <w:lvl w:ilvl="0">
      <w:lvlJc w:val="left"/>
      <w:lvlText w:val="(%1)"/>
      <w:numFmt w:val="lowerLetter"/>
      <w:start w:val="1"/>
    </w:lvl>
  </w:abstractNum>
  <w:abstractNum w:abstractNumId="272">
    <w:nsid w:val="5024DE5B"/>
    <w:multiLevelType w:val="hybridMultilevel"/>
    <w:lvl w:ilvl="0">
      <w:lvlJc w:val="left"/>
      <w:lvlText w:val="(%1)"/>
      <w:numFmt w:val="lowerLetter"/>
      <w:start w:val="3"/>
    </w:lvl>
  </w:abstractNum>
  <w:abstractNum w:abstractNumId="273">
    <w:nsid w:val="168EFE17"/>
    <w:multiLevelType w:val="hybridMultilevel"/>
    <w:lvl w:ilvl="0">
      <w:lvlJc w:val="left"/>
      <w:lvlText w:val="%1"/>
      <w:numFmt w:val="decimal"/>
      <w:start w:val="1"/>
    </w:lvl>
    <w:lvl w:ilvl="1">
      <w:lvlJc w:val="left"/>
      <w:lvlText w:val="(%2)"/>
      <w:numFmt w:val="lowerLetter"/>
      <w:start w:val="1"/>
    </w:lvl>
  </w:abstractNum>
  <w:abstractNum w:abstractNumId="274">
    <w:nsid w:val="1036B29F"/>
    <w:multiLevelType w:val="hybridMultilevel"/>
    <w:lvl w:ilvl="0">
      <w:lvlJc w:val="left"/>
      <w:lvlText w:val="(%1)"/>
      <w:numFmt w:val="decimal"/>
      <w:start w:val="3"/>
    </w:lvl>
    <w:lvl w:ilvl="1">
      <w:lvlJc w:val="left"/>
      <w:lvlText w:val="(%2)"/>
      <w:numFmt w:val="lowerLetter"/>
      <w:start w:val="3"/>
    </w:lvl>
  </w:abstractNum>
  <w:abstractNum w:abstractNumId="275">
    <w:nsid w:val="1D206B8E"/>
    <w:multiLevelType w:val="hybridMultilevel"/>
    <w:lvl w:ilvl="0">
      <w:lvlJc w:val="left"/>
      <w:lvlText w:val="(%1)"/>
      <w:numFmt w:val="lowerLetter"/>
      <w:start w:val="1"/>
    </w:lvl>
  </w:abstractNum>
  <w:abstractNum w:abstractNumId="276">
    <w:nsid w:val="7934D3D4"/>
    <w:multiLevelType w:val="hybridMultilevel"/>
    <w:lvl w:ilvl="0">
      <w:lvlJc w:val="left"/>
      <w:lvlText w:val="(%1)"/>
      <w:numFmt w:val="lowerLetter"/>
      <w:start w:val="2"/>
    </w:lvl>
  </w:abstractNum>
  <w:abstractNum w:abstractNumId="277">
    <w:nsid w:val="1C65E98"/>
    <w:multiLevelType w:val="hybridMultilevel"/>
    <w:lvl w:ilvl="0">
      <w:lvlJc w:val="left"/>
      <w:lvlText w:val="(%1)"/>
      <w:numFmt w:val="lowerLetter"/>
      <w:start w:val="1"/>
    </w:lvl>
  </w:abstractNum>
  <w:abstractNum w:abstractNumId="278">
    <w:nsid w:val="1495E50A"/>
    <w:multiLevelType w:val="hybridMultilevel"/>
    <w:lvl w:ilvl="0">
      <w:lvlJc w:val="left"/>
      <w:lvlText w:val="(%1)"/>
      <w:numFmt w:val="lowerLetter"/>
      <w:start w:val="2"/>
    </w:lvl>
  </w:abstractNum>
  <w:abstractNum w:abstractNumId="279">
    <w:nsid w:val="F5BCF61"/>
    <w:multiLevelType w:val="hybridMultilevel"/>
    <w:lvl w:ilvl="0">
      <w:lvlJc w:val="left"/>
      <w:lvlText w:val="(%1)"/>
      <w:numFmt w:val="lowerLetter"/>
      <w:start w:val="1"/>
    </w:lvl>
  </w:abstractNum>
  <w:abstractNum w:abstractNumId="280">
    <w:nsid w:val="3B1DD403"/>
    <w:multiLevelType w:val="hybridMultilevel"/>
    <w:lvl w:ilvl="0">
      <w:lvlJc w:val="left"/>
      <w:lvlText w:val="(%1)"/>
      <w:numFmt w:val="lowerLetter"/>
      <w:start w:val="5"/>
    </w:lvl>
  </w:abstractNum>
  <w:abstractNum w:abstractNumId="281">
    <w:nsid w:val="530386D1"/>
    <w:multiLevelType w:val="hybridMultilevel"/>
    <w:lvl w:ilvl="0">
      <w:lvlJc w:val="left"/>
      <w:lvlText w:val="%1."/>
      <w:numFmt w:val="decimal"/>
      <w:start w:val="4"/>
    </w:lvl>
  </w:abstractNum>
  <w:abstractNum w:abstractNumId="282">
    <w:nsid w:val="7525F2BC"/>
    <w:multiLevelType w:val="hybridMultilevel"/>
    <w:lvl w:ilvl="0">
      <w:lvlJc w:val="left"/>
      <w:lvlText w:val="(%1)"/>
      <w:numFmt w:val="lowerLetter"/>
      <w:start w:val="1"/>
    </w:lvl>
  </w:abstractNum>
  <w:abstractNum w:abstractNumId="283">
    <w:nsid w:val="CE8E1A7"/>
    <w:multiLevelType w:val="hybridMultilevel"/>
    <w:lvl w:ilvl="0">
      <w:lvlJc w:val="left"/>
      <w:lvlText w:val="(%1)"/>
      <w:numFmt w:val="lowerLetter"/>
      <w:start w:val="3"/>
    </w:lvl>
    <w:lvl w:ilvl="1">
      <w:lvlJc w:val="left"/>
      <w:lvlText w:val="(%2)"/>
      <w:numFmt w:val="lowerRoman"/>
      <w:start w:val="1"/>
    </w:lvl>
  </w:abstractNum>
  <w:abstractNum w:abstractNumId="284">
    <w:nsid w:val="4E9EFB0D"/>
    <w:multiLevelType w:val="hybridMultilevel"/>
    <w:lvl w:ilvl="0">
      <w:lvlJc w:val="left"/>
      <w:lvlText w:val="(%1)"/>
      <w:numFmt w:val="lowerLetter"/>
      <w:start w:val="5"/>
    </w:lvl>
  </w:abstractNum>
  <w:abstractNum w:abstractNumId="285">
    <w:nsid w:val="90802BE"/>
    <w:multiLevelType w:val="hybridMultilevel"/>
    <w:lvl w:ilvl="0">
      <w:lvlJc w:val="left"/>
      <w:lvlText w:val="(%1)"/>
      <w:numFmt w:val="lowerLetter"/>
      <w:start w:val="1"/>
    </w:lvl>
  </w:abstractNum>
  <w:abstractNum w:abstractNumId="286">
    <w:nsid w:val="3266459B"/>
    <w:multiLevelType w:val="hybridMultilevel"/>
    <w:lvl w:ilvl="0">
      <w:lvlJc w:val="left"/>
      <w:lvlText w:val="(%1)"/>
      <w:numFmt w:val="lowerLetter"/>
      <w:start w:val="2"/>
    </w:lvl>
  </w:abstractNum>
  <w:abstractNum w:abstractNumId="287">
    <w:nsid w:val="3F8B0CBF"/>
    <w:multiLevelType w:val="hybridMultilevel"/>
    <w:lvl w:ilvl="0">
      <w:lvlJc w:val="left"/>
      <w:lvlText w:val="(%1)"/>
      <w:numFmt w:val="lowerLetter"/>
      <w:start w:val="10"/>
    </w:lvl>
  </w:abstractNum>
  <w:abstractNum w:abstractNumId="288">
    <w:nsid w:val="37E203AB"/>
    <w:multiLevelType w:val="hybridMultilevel"/>
    <w:lvl w:ilvl="0">
      <w:lvlJc w:val="left"/>
      <w:lvlText w:val="(%1)"/>
      <w:numFmt w:val="lowerLetter"/>
      <w:start w:val="12"/>
    </w:lvl>
  </w:abstractNum>
  <w:abstractNum w:abstractNumId="289">
    <w:nsid w:val="2586D60E"/>
    <w:multiLevelType w:val="hybridMultilevel"/>
    <w:lvl w:ilvl="0">
      <w:lvlJc w:val="left"/>
      <w:lvlText w:val="%1."/>
      <w:numFmt w:val="decimal"/>
      <w:start w:val="5"/>
    </w:lvl>
  </w:abstractNum>
  <w:abstractNum w:abstractNumId="290">
    <w:nsid w:val="1F3DA4D5"/>
    <w:multiLevelType w:val="hybridMultilevel"/>
    <w:lvl w:ilvl="0">
      <w:lvlJc w:val="left"/>
      <w:lvlText w:val="(%1)"/>
      <w:numFmt w:val="lowerLetter"/>
      <w:start w:val="1"/>
    </w:lvl>
  </w:abstractNum>
  <w:abstractNum w:abstractNumId="291">
    <w:nsid w:val="74C93698"/>
    <w:multiLevelType w:val="hybridMultilevel"/>
    <w:lvl w:ilvl="0">
      <w:lvlJc w:val="left"/>
      <w:lvlText w:val="%1."/>
      <w:numFmt w:val="decimal"/>
      <w:start w:val="6"/>
    </w:lvl>
  </w:abstractNum>
  <w:abstractNum w:abstractNumId="292">
    <w:nsid w:val="48781401"/>
    <w:multiLevelType w:val="hybridMultilevel"/>
    <w:lvl w:ilvl="0">
      <w:lvlJc w:val="left"/>
      <w:lvlText w:val="%1"/>
      <w:numFmt w:val="decimal"/>
      <w:start w:val="1"/>
    </w:lvl>
    <w:lvl w:ilvl="1">
      <w:lvlJc w:val="left"/>
      <w:lvlText w:val="(%2)"/>
      <w:numFmt w:val="lowerLetter"/>
      <w:start w:val="1"/>
    </w:lvl>
  </w:abstractNum>
  <w:abstractNum w:abstractNumId="293">
    <w:nsid w:val="186928D6"/>
    <w:multiLevelType w:val="hybridMultilevel"/>
    <w:lvl w:ilvl="0">
      <w:lvlJc w:val="left"/>
      <w:lvlText w:val="%1."/>
      <w:numFmt w:val="decimal"/>
      <w:start w:val="7"/>
    </w:lvl>
    <w:lvl w:ilvl="1">
      <w:lvlJc w:val="left"/>
      <w:lvlText w:val="(%2)"/>
      <w:numFmt w:val="lowerLetter"/>
      <w:start w:val="1"/>
    </w:lvl>
  </w:abstractNum>
  <w:abstractNum w:abstractNumId="294">
    <w:nsid w:val="47195E5"/>
    <w:multiLevelType w:val="hybridMultilevel"/>
    <w:lvl w:ilvl="0">
      <w:lvlJc w:val="left"/>
      <w:lvlText w:val="%1"/>
      <w:numFmt w:val="decimal"/>
      <w:start w:val="1"/>
    </w:lvl>
    <w:lvl w:ilvl="1">
      <w:lvlJc w:val="left"/>
      <w:lvlText w:val="(%2)"/>
      <w:numFmt w:val="lowerLetter"/>
      <w:start w:val="2"/>
    </w:lvl>
  </w:abstractNum>
  <w:abstractNum w:abstractNumId="295">
    <w:nsid w:val="3746A5F2"/>
    <w:multiLevelType w:val="hybridMultilevel"/>
    <w:lvl w:ilvl="0">
      <w:lvlJc w:val="left"/>
      <w:lvlText w:val="%1."/>
      <w:numFmt w:val="decimal"/>
      <w:start w:val="8"/>
    </w:lvl>
    <w:lvl w:ilvl="1">
      <w:lvlJc w:val="left"/>
      <w:lvlText w:val="%2"/>
      <w:numFmt w:val="lowerLetter"/>
      <w:start w:val="1"/>
    </w:lvl>
  </w:abstractNum>
  <w:abstractNum w:abstractNumId="296">
    <w:nsid w:val="682DFED6"/>
    <w:multiLevelType w:val="hybridMultilevel"/>
    <w:lvl w:ilvl="0">
      <w:lvlJc w:val="left"/>
      <w:lvlText w:val="(%1)"/>
      <w:numFmt w:val="lowerLetter"/>
      <w:start w:val="1"/>
    </w:lvl>
  </w:abstractNum>
  <w:abstractNum w:abstractNumId="297">
    <w:nsid w:val="606ED7F6"/>
    <w:multiLevelType w:val="hybridMultilevel"/>
    <w:lvl w:ilvl="0">
      <w:lvlJc w:val="left"/>
      <w:lvlText w:val="(%1)"/>
      <w:numFmt w:val="lowerLetter"/>
      <w:start w:val="1"/>
    </w:lvl>
    <w:lvl w:ilvl="1">
      <w:lvlJc w:val="left"/>
      <w:lvlText w:val="(%2)"/>
      <w:numFmt w:val="lowerRoman"/>
      <w:start w:val="1"/>
    </w:lvl>
  </w:abstractNum>
  <w:abstractNum w:abstractNumId="298">
    <w:nsid w:val="2D9DF57D"/>
    <w:multiLevelType w:val="hybridMultilevel"/>
    <w:lvl w:ilvl="0">
      <w:lvlJc w:val="left"/>
      <w:lvlText w:val="[***]"/>
      <w:numFmt w:val="bullet"/>
      <w:start w:val="1"/>
    </w:lvl>
    <w:lvl w:ilvl="1">
      <w:lvlJc w:val="left"/>
      <w:lvlText w:val="(%2)"/>
      <w:numFmt w:val="lowerRoman"/>
      <w:start w:val="4"/>
    </w:lvl>
  </w:abstractNum>
  <w:abstractNum w:abstractNumId="299">
    <w:nsid w:val="7FBD7A3E"/>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300">
    <w:nsid w:val="490B7C5"/>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301">
    <w:nsid w:val="4303A216"/>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302">
    <w:nsid w:val="19B8A08E"/>
    <w:multiLevelType w:val="hybridMultilevel"/>
    <w:lvl w:ilvl="0">
      <w:lvlJc w:val="left"/>
      <w:lvlText w:val="(%1)"/>
      <w:numFmt w:val="lowerLetter"/>
      <w:start w:val="5"/>
    </w:lvl>
    <w:lvl w:ilvl="1">
      <w:lvlJc w:val="left"/>
      <w:lvlText w:val="%2"/>
      <w:numFmt w:val="lowerLetter"/>
      <w:start w:val="1"/>
    </w:lvl>
    <w:lvl w:ilvl="2">
      <w:lvlJc w:val="left"/>
      <w:lvlText w:val="%3"/>
      <w:numFmt w:val="upperLetter"/>
      <w:start w:val="1"/>
    </w:lvl>
  </w:abstractNum>
  <w:abstractNum w:abstractNumId="303">
    <w:nsid w:val="54B59621"/>
    <w:multiLevelType w:val="hybridMultilevel"/>
    <w:lvl w:ilvl="0">
      <w:lvlJc w:val="left"/>
      <w:lvlText w:val="[***]"/>
      <w:numFmt w:val="bullet"/>
      <w:start w:val="1"/>
    </w:lvl>
  </w:abstractNum>
  <w:abstractNum w:abstractNumId="304">
    <w:nsid w:val="5992A02E"/>
    <w:multiLevelType w:val="hybridMultilevel"/>
    <w:lvl w:ilvl="0">
      <w:lvlJc w:val="left"/>
      <w:lvlText w:val="(%1)"/>
      <w:numFmt w:val="lowerLetter"/>
      <w:start w:val="1"/>
    </w:lvl>
    <w:lvl w:ilvl="1">
      <w:lvlJc w:val="left"/>
      <w:lvlText w:val="(%2)"/>
      <w:numFmt w:val="lowerRoman"/>
      <w:start w:val="1"/>
    </w:lvl>
  </w:abstractNum>
  <w:abstractNum w:abstractNumId="305">
    <w:nsid w:val="29EF532D"/>
    <w:multiLevelType w:val="hybridMultilevel"/>
    <w:lvl w:ilvl="0">
      <w:lvlJc w:val="left"/>
      <w:lvlText w:val="%1"/>
      <w:numFmt w:val="lowerLetter"/>
      <w:start w:val="1"/>
    </w:lvl>
    <w:lvl w:ilvl="1">
      <w:lvlJc w:val="left"/>
      <w:lvlText w:val="(%2)"/>
      <w:numFmt w:val="lowerLetter"/>
      <w:start w:val="4"/>
    </w:lvl>
  </w:abstractNum>
  <w:abstractNum w:abstractNumId="306">
    <w:nsid w:val="71D601AF"/>
    <w:multiLevelType w:val="hybridMultilevel"/>
    <w:lvl w:ilvl="0">
      <w:lvlJc w:val="left"/>
      <w:lvlText w:val="(%1)"/>
      <w:numFmt w:val="lowerLetter"/>
      <w:start w:val="4"/>
    </w:lvl>
    <w:lvl w:ilvl="1">
      <w:lvlJc w:val="left"/>
      <w:lvlText w:val="%2"/>
      <w:numFmt w:val="lowerLetter"/>
      <w:start w:val="1"/>
    </w:lvl>
  </w:abstractNum>
  <w:abstractNum w:abstractNumId="307">
    <w:nsid w:val="52C77402"/>
    <w:multiLevelType w:val="hybridMultilevel"/>
    <w:lvl w:ilvl="0">
      <w:lvlJc w:val="left"/>
      <w:lvlText w:val="%1."/>
      <w:numFmt w:val="decimal"/>
      <w:start w:val="11"/>
    </w:lvl>
  </w:abstractNum>
  <w:abstractNum w:abstractNumId="308">
    <w:nsid w:val="2BB5B1C6"/>
    <w:multiLevelType w:val="hybridMultilevel"/>
    <w:lvl w:ilvl="0">
      <w:lvlJc w:val="left"/>
      <w:lvlText w:val="%1."/>
      <w:numFmt w:val="decimal"/>
      <w:start w:val="12"/>
    </w:lvl>
  </w:abstractNum>
  <w:abstractNum w:abstractNumId="309">
    <w:nsid w:val="66BE6B9"/>
    <w:multiLevelType w:val="hybridMultilevel"/>
    <w:lvl w:ilvl="0">
      <w:lvlJc w:val="left"/>
      <w:lvlText w:val="%1."/>
      <w:numFmt w:val="decimal"/>
      <w:start w:val="13"/>
    </w:lvl>
  </w:abstractNum>
  <w:abstractNum w:abstractNumId="310">
    <w:nsid w:val="62234363"/>
    <w:multiLevelType w:val="hybridMultilevel"/>
    <w:lvl w:ilvl="0">
      <w:lvlJc w:val="left"/>
      <w:lvlText w:val="(%1)"/>
      <w:numFmt w:val="lowerLetter"/>
      <w:start w:val="1"/>
    </w:lvl>
    <w:lvl w:ilvl="1">
      <w:lvlJc w:val="left"/>
      <w:lvlText w:val="(%2)"/>
      <w:numFmt w:val="lowerRoman"/>
      <w:start w:val="1"/>
    </w:lvl>
  </w:abstractNum>
  <w:abstractNum w:abstractNumId="311">
    <w:nsid w:val="66D385C9"/>
    <w:multiLevelType w:val="hybridMultilevel"/>
    <w:lvl w:ilvl="0">
      <w:lvlJc w:val="left"/>
      <w:lvlText w:val="(%1)"/>
      <w:numFmt w:val="lowerRoman"/>
      <w:start w:val="2"/>
    </w:lvl>
    <w:lvl w:ilvl="1">
      <w:lvlJc w:val="left"/>
      <w:lvlText w:val="%2."/>
      <w:numFmt w:val="decimal"/>
      <w:start w:val="1"/>
    </w:lvl>
  </w:abstractNum>
  <w:abstractNum w:abstractNumId="312">
    <w:nsid w:val="596F6D8A"/>
    <w:multiLevelType w:val="hybridMultilevel"/>
    <w:lvl w:ilvl="0">
      <w:lvlJc w:val="left"/>
      <w:lvlText w:val="%1."/>
      <w:numFmt w:val="decimal"/>
      <w:start w:val="14"/>
    </w:lvl>
  </w:abstractNum>
  <w:abstractNum w:abstractNumId="313">
    <w:nsid w:val="5749361F"/>
    <w:multiLevelType w:val="hybridMultilevel"/>
    <w:lvl w:ilvl="0">
      <w:lvlJc w:val="left"/>
      <w:lvlText w:val="%1."/>
      <w:numFmt w:val="decimal"/>
      <w:start w:val="15"/>
    </w:lvl>
  </w:abstractNum>
  <w:abstractNum w:abstractNumId="314">
    <w:nsid w:val="73BC6770"/>
    <w:multiLevelType w:val="hybridMultilevel"/>
    <w:lvl w:ilvl="0">
      <w:lvlJc w:val="left"/>
      <w:lvlText w:val="%1."/>
      <w:numFmt w:val="decimal"/>
      <w:start w:val="16"/>
    </w:lvl>
  </w:abstractNum>
  <w:abstractNum w:abstractNumId="315">
    <w:nsid w:val="280E6897"/>
    <w:multiLevelType w:val="hybridMultilevel"/>
    <w:lvl w:ilvl="0">
      <w:lvlJc w:val="left"/>
      <w:lvlText w:val="(%1)"/>
      <w:numFmt w:val="lowerLetter"/>
      <w:start w:val="1"/>
    </w:lvl>
  </w:abstractNum>
  <w:abstractNum w:abstractNumId="316">
    <w:nsid w:val="605138DE"/>
    <w:multiLevelType w:val="hybridMultilevel"/>
    <w:lvl w:ilvl="0">
      <w:lvlJc w:val="left"/>
      <w:lvlText w:val="(%1)"/>
      <w:numFmt w:val="lowerLetter"/>
      <w:start w:val="4"/>
    </w:lvl>
  </w:abstractNum>
  <w:abstractNum w:abstractNumId="317">
    <w:nsid w:val="2622AD0C"/>
    <w:multiLevelType w:val="hybridMultilevel"/>
    <w:lvl w:ilvl="0">
      <w:lvlJc w:val="left"/>
      <w:lvlText w:val="(%1)"/>
      <w:numFmt w:val="lowerLetter"/>
      <w:start w:val="1"/>
    </w:lvl>
  </w:abstractNum>
  <w:abstractNum w:abstractNumId="318">
    <w:nsid w:val="67997556"/>
    <w:multiLevelType w:val="hybridMultilevel"/>
    <w:lvl w:ilvl="0">
      <w:lvlJc w:val="left"/>
      <w:lvlText w:val="%1."/>
      <w:numFmt w:val="decimal"/>
      <w:start w:val="17"/>
    </w:lvl>
  </w:abstractNum>
  <w:abstractNum w:abstractNumId="319">
    <w:nsid w:val="18333C89"/>
    <w:multiLevelType w:val="hybridMultilevel"/>
    <w:lvl w:ilvl="0">
      <w:lvlJc w:val="left"/>
      <w:lvlText w:val="%1."/>
      <w:numFmt w:val="decimal"/>
      <w:start w:val="18"/>
    </w:lvl>
  </w:abstractNum>
  <w:abstractNum w:abstractNumId="320">
    <w:nsid w:val="4BA9831A"/>
    <w:multiLevelType w:val="hybridMultilevel"/>
    <w:lvl w:ilvl="0">
      <w:lvlJc w:val="left"/>
      <w:lvlText w:val="(%1)"/>
      <w:numFmt w:val="lowerLetter"/>
      <w:start w:val="1"/>
    </w:lvl>
  </w:abstractNum>
  <w:abstractNum w:abstractNumId="321">
    <w:nsid w:val="6D71A2B"/>
    <w:multiLevelType w:val="hybridMultilevel"/>
    <w:lvl w:ilvl="0">
      <w:lvlJc w:val="left"/>
      <w:lvlText w:val="%1"/>
      <w:numFmt w:val="decimal"/>
      <w:start w:val="101"/>
    </w:lvl>
  </w:abstractNum>
  <w:abstractNum w:abstractNumId="322">
    <w:nsid w:val="CFC7321"/>
    <w:multiLevelType w:val="hybridMultilevel"/>
    <w:lvl w:ilvl="0">
      <w:lvlJc w:val="left"/>
      <w:lvlText w:val="(%1)"/>
      <w:numFmt w:val="lowerLetter"/>
      <w:start w:val="1"/>
    </w:lvl>
  </w:abstractNum>
  <w:abstractNum w:abstractNumId="323">
    <w:nsid w:val="1421971B"/>
    <w:multiLevelType w:val="hybridMultilevel"/>
    <w:lvl w:ilvl="0">
      <w:lvlJc w:val="left"/>
      <w:lvlText w:val="%1"/>
      <w:numFmt w:val="decimal"/>
      <w:start w:val="1"/>
    </w:lvl>
    <w:lvl w:ilvl="1">
      <w:lvlJc w:val="left"/>
      <w:lvlText w:val="(%2)"/>
      <w:numFmt w:val="lowerLetter"/>
      <w:start w:val="9"/>
    </w:lvl>
  </w:abstractNum>
  <w:abstractNum w:abstractNumId="324">
    <w:nsid w:val="1F404301"/>
    <w:multiLevelType w:val="hybridMultilevel"/>
    <w:lvl w:ilvl="0">
      <w:lvlJc w:val="left"/>
      <w:lvlText w:val="%1."/>
      <w:numFmt w:val="decimal"/>
      <w:start w:val="2"/>
    </w:lvl>
    <w:lvl w:ilvl="1">
      <w:lvlJc w:val="left"/>
      <w:lvlText w:val="%2"/>
      <w:numFmt w:val="lowerLetter"/>
      <w:start w:val="1"/>
    </w:lvl>
  </w:abstractNum>
  <w:abstractNum w:abstractNumId="325">
    <w:nsid w:val="116E0907"/>
    <w:multiLevelType w:val="hybridMultilevel"/>
    <w:lvl w:ilvl="0">
      <w:lvlJc w:val="left"/>
      <w:lvlText w:val="%1"/>
      <w:numFmt w:val="decimal"/>
      <w:start w:val="1"/>
    </w:lvl>
    <w:lvl w:ilvl="1">
      <w:lvlJc w:val="left"/>
      <w:lvlText w:val="(%2)"/>
      <w:numFmt w:val="lowerLetter"/>
      <w:start w:val="1"/>
    </w:lvl>
  </w:abstractNum>
  <w:abstractNum w:abstractNumId="326">
    <w:nsid w:val="4B683D0D"/>
    <w:multiLevelType w:val="hybridMultilevel"/>
    <w:lvl w:ilvl="0">
      <w:lvlJc w:val="left"/>
      <w:lvlText w:val="(%1)"/>
      <w:numFmt w:val="decimal"/>
      <w:start w:val="180"/>
    </w:lvl>
    <w:lvl w:ilvl="1">
      <w:lvlJc w:val="left"/>
      <w:lvlText w:val="(%2)"/>
      <w:numFmt w:val="lowerLetter"/>
      <w:start w:val="2"/>
    </w:lvl>
  </w:abstractNum>
  <w:abstractNum w:abstractNumId="327">
    <w:nsid w:val="76E41D8"/>
    <w:multiLevelType w:val="hybridMultilevel"/>
    <w:lvl w:ilvl="0">
      <w:lvlJc w:val="left"/>
      <w:lvlText w:val="%1"/>
      <w:numFmt w:val="decimal"/>
      <w:start w:val="1"/>
    </w:lvl>
    <w:lvl w:ilvl="1">
      <w:lvlJc w:val="left"/>
      <w:lvlText w:val="(%2)"/>
      <w:numFmt w:val="lowerLetter"/>
      <w:start w:val="1"/>
    </w:lvl>
  </w:abstractNum>
  <w:abstractNum w:abstractNumId="328">
    <w:nsid w:val="71DCE0FD"/>
    <w:multiLevelType w:val="hybridMultilevel"/>
    <w:lvl w:ilvl="0">
      <w:lvlJc w:val="left"/>
      <w:lvlText w:val="%1."/>
      <w:numFmt w:val="decimal"/>
      <w:start w:val="3"/>
    </w:lvl>
    <w:lvl w:ilvl="1">
      <w:lvlJc w:val="left"/>
      <w:lvlText w:val="%2"/>
      <w:numFmt w:val="lowerLetter"/>
      <w:start w:val="1"/>
    </w:lvl>
  </w:abstractNum>
  <w:abstractNum w:abstractNumId="329">
    <w:nsid w:val="7906328B"/>
    <w:multiLevelType w:val="hybridMultilevel"/>
    <w:lvl w:ilvl="0">
      <w:lvlJc w:val="left"/>
      <w:lvlText w:val="(%1)"/>
      <w:numFmt w:val="lowerLetter"/>
      <w:start w:val="1"/>
    </w:lvl>
  </w:abstractNum>
  <w:abstractNum w:abstractNumId="330">
    <w:nsid w:val="72BBC16"/>
    <w:multiLevelType w:val="hybridMultilevel"/>
    <w:lvl w:ilvl="0">
      <w:lvlJc w:val="left"/>
      <w:lvlText w:val="(%1)"/>
      <w:numFmt w:val="lowerLetter"/>
      <w:start w:val="1"/>
    </w:lvl>
  </w:abstractNum>
  <w:abstractNum w:abstractNumId="331">
    <w:nsid w:val="766D98C2"/>
    <w:multiLevelType w:val="hybridMultilevel"/>
    <w:lvl w:ilvl="0">
      <w:lvlJc w:val="left"/>
      <w:lvlText w:val="(%1)"/>
      <w:numFmt w:val="lowerLetter"/>
      <w:start w:val="3"/>
    </w:lvl>
  </w:abstractNum>
  <w:abstractNum w:abstractNumId="332">
    <w:nsid w:val="3C09D4A1"/>
    <w:multiLevelType w:val="hybridMultilevel"/>
    <w:lvl w:ilvl="0">
      <w:lvlJc w:val="left"/>
      <w:lvlText w:val="%1"/>
      <w:numFmt w:val="lowerLetter"/>
      <w:start w:val="1"/>
    </w:lvl>
    <w:lvl w:ilvl="1">
      <w:lvlJc w:val="left"/>
      <w:lvlText w:val="(%2)"/>
      <w:numFmt w:val="lowerLetter"/>
      <w:start w:val="1"/>
    </w:lvl>
  </w:abstractNum>
  <w:abstractNum w:abstractNumId="333">
    <w:nsid w:val="20E45CA4"/>
    <w:multiLevelType w:val="hybridMultilevel"/>
    <w:lvl w:ilvl="0">
      <w:lvlJc w:val="left"/>
      <w:lvlText w:val="(%1)"/>
      <w:numFmt w:val="lowerLetter"/>
      <w:start w:val="9"/>
    </w:lvl>
    <w:lvl w:ilvl="1">
      <w:lvlJc w:val="left"/>
      <w:lvlText w:val="(%2)"/>
      <w:numFmt w:val="lowerLetter"/>
      <w:start w:val="2"/>
    </w:lvl>
  </w:abstractNum>
  <w:abstractNum w:abstractNumId="334">
    <w:nsid w:val="4B232EE3"/>
    <w:multiLevelType w:val="hybridMultilevel"/>
    <w:lvl w:ilvl="0">
      <w:lvlJc w:val="left"/>
      <w:lvlText w:val="%1."/>
      <w:numFmt w:val="decimal"/>
      <w:start w:val="4"/>
    </w:lvl>
  </w:abstractNum>
  <w:abstractNum w:abstractNumId="335">
    <w:nsid w:val="159C74CF"/>
    <w:multiLevelType w:val="hybridMultilevel"/>
    <w:lvl w:ilvl="0">
      <w:lvlJc w:val="left"/>
      <w:lvlText w:val="%1"/>
      <w:numFmt w:val="lowerLetter"/>
      <w:start w:val="1"/>
    </w:lvl>
    <w:lvl w:ilvl="1">
      <w:lvlJc w:val="left"/>
      <w:lvlText w:val="(%2)"/>
      <w:numFmt w:val="lowerLetter"/>
      <w:start w:val="1"/>
    </w:lvl>
  </w:abstractNum>
  <w:abstractNum w:abstractNumId="336">
    <w:nsid w:val="4AD3AFD2"/>
    <w:multiLevelType w:val="hybridMultilevel"/>
    <w:lvl w:ilvl="0">
      <w:lvlJc w:val="left"/>
      <w:lvlText w:val="(%1)"/>
      <w:numFmt w:val="lowerLetter"/>
      <w:start w:val="61"/>
    </w:lvl>
    <w:lvl w:ilvl="1">
      <w:lvlJc w:val="left"/>
      <w:lvlText w:val="%2"/>
      <w:numFmt w:val="lowerLetter"/>
      <w:start w:val="1"/>
    </w:lvl>
  </w:abstractNum>
  <w:abstractNum w:abstractNumId="337">
    <w:nsid w:val="3CF93092"/>
    <w:multiLevelType w:val="hybridMultilevel"/>
    <w:lvl w:ilvl="0">
      <w:lvlJc w:val="left"/>
      <w:lvlText w:val="(%1)"/>
      <w:numFmt w:val="lowerLetter"/>
      <w:start w:val="2"/>
    </w:lvl>
  </w:abstractNum>
  <w:abstractNum w:abstractNumId="338">
    <w:nsid w:val="6863E8D2"/>
    <w:multiLevelType w:val="hybridMultilevel"/>
    <w:lvl w:ilvl="0">
      <w:lvlJc w:val="left"/>
      <w:lvlText w:val="%1."/>
      <w:numFmt w:val="decimal"/>
      <w:start w:val="5"/>
    </w:lvl>
  </w:abstractNum>
  <w:abstractNum w:abstractNumId="339">
    <w:nsid w:val="76896198"/>
    <w:multiLevelType w:val="hybridMultilevel"/>
    <w:lvl w:ilvl="0">
      <w:lvlJc w:val="left"/>
      <w:lvlText w:val="(%1)"/>
      <w:numFmt w:val="lowerLetter"/>
      <w:start w:val="1"/>
    </w:lvl>
    <w:lvl w:ilvl="1">
      <w:lvlJc w:val="left"/>
      <w:lvlText w:val="(%2)"/>
      <w:numFmt w:val="lowerLetter"/>
      <w:start w:val="9"/>
    </w:lvl>
  </w:abstractNum>
  <w:abstractNum w:abstractNumId="340">
    <w:nsid w:val="4365174B"/>
    <w:multiLevelType w:val="hybridMultilevel"/>
    <w:lvl w:ilvl="0">
      <w:lvlJc w:val="left"/>
      <w:lvlText w:val="(%1)"/>
      <w:numFmt w:val="lowerRoman"/>
      <w:start w:val="2"/>
    </w:lvl>
  </w:abstractNum>
  <w:abstractNum w:abstractNumId="341">
    <w:nsid w:val="4A872C35"/>
    <w:multiLevelType w:val="hybridMultilevel"/>
    <w:lvl w:ilvl="0">
      <w:lvlJc w:val="left"/>
      <w:lvlText w:val="(%1)"/>
      <w:numFmt w:val="lowerLetter"/>
      <w:start w:val="2"/>
    </w:lvl>
  </w:abstractNum>
  <w:abstractNum w:abstractNumId="342">
    <w:nsid w:val="5D5CE761"/>
    <w:multiLevelType w:val="hybridMultilevel"/>
    <w:lvl w:ilvl="0">
      <w:lvlJc w:val="left"/>
      <w:lvlText w:val="(%1)"/>
      <w:numFmt w:val="lowerLetter"/>
      <w:start w:val="1"/>
    </w:lvl>
  </w:abstractNum>
  <w:abstractNum w:abstractNumId="343">
    <w:nsid w:val="1CD484D5"/>
    <w:multiLevelType w:val="hybridMultilevel"/>
    <w:lvl w:ilvl="0">
      <w:lvlJc w:val="left"/>
      <w:lvlText w:val="(%1)"/>
      <w:numFmt w:val="lowerLetter"/>
      <w:start w:val="6"/>
    </w:lvl>
  </w:abstractNum>
  <w:abstractNum w:abstractNumId="344">
    <w:nsid w:val="21D06255"/>
    <w:multiLevelType w:val="hybridMultilevel"/>
    <w:lvl w:ilvl="0">
      <w:lvlJc w:val="left"/>
      <w:lvlText w:val="%1"/>
      <w:numFmt w:val="decimal"/>
      <w:start w:val="1"/>
    </w:lvl>
    <w:lvl w:ilvl="1">
      <w:lvlJc w:val="left"/>
      <w:lvlText w:val="(%2)"/>
      <w:numFmt w:val="lowerLetter"/>
      <w:start w:val="16"/>
    </w:lvl>
  </w:abstractNum>
  <w:abstractNum w:abstractNumId="345">
    <w:nsid w:val="51194ED1"/>
    <w:multiLevelType w:val="hybridMultilevel"/>
    <w:lvl w:ilvl="0">
      <w:lvlJc w:val="left"/>
      <w:lvlText w:val="%1."/>
      <w:numFmt w:val="decimal"/>
      <w:start w:val="2"/>
    </w:lvl>
    <w:lvl w:ilvl="1">
      <w:lvlJc w:val="left"/>
      <w:lvlText w:val="%2"/>
      <w:numFmt w:val="lowerLetter"/>
      <w:start w:val="1"/>
    </w:lvl>
  </w:abstractNum>
  <w:abstractNum w:abstractNumId="346">
    <w:nsid w:val="44E2ED6C"/>
    <w:multiLevelType w:val="hybridMultilevel"/>
    <w:lvl w:ilvl="0">
      <w:lvlJc w:val="left"/>
      <w:lvlText w:val="%1."/>
      <w:numFmt w:val="decimal"/>
      <w:start w:val="3"/>
    </w:lvl>
  </w:abstractNum>
  <w:abstractNum w:abstractNumId="347">
    <w:nsid w:val="2219B33"/>
    <w:multiLevelType w:val="hybridMultilevel"/>
    <w:lvl w:ilvl="0">
      <w:lvlJc w:val="left"/>
      <w:lvlText w:val="(%1)"/>
      <w:numFmt w:val="lowerLetter"/>
      <w:start w:val="1"/>
    </w:lvl>
  </w:abstractNum>
  <w:abstractNum w:abstractNumId="348">
    <w:nsid w:val="773BFBDD"/>
    <w:multiLevelType w:val="hybridMultilevel"/>
    <w:lvl w:ilvl="0">
      <w:lvlJc w:val="left"/>
      <w:lvlText w:val="(%1)"/>
      <w:numFmt w:val="lowerLetter"/>
      <w:start w:val="2"/>
    </w:lvl>
  </w:abstractNum>
  <w:abstractNum w:abstractNumId="349">
    <w:nsid w:val="2C7C62C2"/>
    <w:multiLevelType w:val="hybridMultilevel"/>
    <w:lvl w:ilvl="0">
      <w:lvlJc w:val="left"/>
      <w:lvlText w:val="%1."/>
      <w:numFmt w:val="decimal"/>
      <w:start w:val="4"/>
    </w:lvl>
    <w:lvl w:ilvl="1">
      <w:lvlJc w:val="left"/>
      <w:lvlText w:val="(%2)"/>
      <w:numFmt w:val="lowerLetter"/>
      <w:start w:val="1"/>
    </w:lvl>
  </w:abstractNum>
  <w:abstractNum w:abstractNumId="350">
    <w:nsid w:val="1A54D7BC"/>
    <w:multiLevelType w:val="hybridMultilevel"/>
    <w:lvl w:ilvl="0">
      <w:lvlJc w:val="left"/>
      <w:lvlText w:val="(%1)"/>
      <w:numFmt w:val="lowerLetter"/>
      <w:start w:val="1"/>
    </w:lvl>
  </w:abstractNum>
  <w:abstractNum w:abstractNumId="351">
    <w:nsid w:val="42E57EF7"/>
    <w:multiLevelType w:val="hybridMultilevel"/>
    <w:lvl w:ilvl="0">
      <w:lvlJc w:val="left"/>
      <w:lvlText w:val="(%1)"/>
      <w:numFmt w:val="lowerLetter"/>
      <w:start w:val="2"/>
    </w:lvl>
  </w:abstractNum>
  <w:abstractNum w:abstractNumId="352">
    <w:nsid w:val="33537CED"/>
    <w:multiLevelType w:val="hybridMultilevel"/>
    <w:lvl w:ilvl="0">
      <w:lvlJc w:val="left"/>
      <w:lvlText w:val="%1."/>
      <w:numFmt w:val="decimal"/>
      <w:start w:val="5"/>
    </w:lvl>
  </w:abstractNum>
  <w:abstractNum w:abstractNumId="353">
    <w:nsid w:val="27514ADE"/>
    <w:multiLevelType w:val="hybridMultilevel"/>
    <w:lvl w:ilvl="0">
      <w:lvlJc w:val="left"/>
      <w:lvlText w:val="%1."/>
      <w:numFmt w:val="decimal"/>
      <w:start w:val="6"/>
    </w:lvl>
  </w:abstractNum>
  <w:abstractNum w:abstractNumId="354">
    <w:nsid w:val="57071613"/>
    <w:multiLevelType w:val="hybridMultilevel"/>
    <w:lvl w:ilvl="0">
      <w:lvlJc w:val="left"/>
      <w:lvlText w:val="%1."/>
      <w:numFmt w:val="decimal"/>
      <w:start w:val="7"/>
    </w:lvl>
  </w:abstractNum>
  <w:abstractNum w:abstractNumId="355">
    <w:nsid w:val="5293BFEF"/>
    <w:multiLevelType w:val="hybridMultilevel"/>
    <w:lvl w:ilvl="0">
      <w:lvlJc w:val="left"/>
      <w:lvlText w:val="(%1)"/>
      <w:numFmt w:val="lowerLetter"/>
      <w:start w:val="1"/>
    </w:lvl>
  </w:abstractNum>
  <w:abstractNum w:abstractNumId="356">
    <w:nsid w:val="38BF53E5"/>
    <w:multiLevelType w:val="hybridMultilevel"/>
    <w:lvl w:ilvl="0">
      <w:lvlJc w:val="left"/>
      <w:lvlText w:val="%1"/>
      <w:numFmt w:val="decimal"/>
      <w:start w:val="1"/>
    </w:lvl>
    <w:lvl w:ilvl="1">
      <w:lvlJc w:val="left"/>
      <w:lvlText w:val="(%2)"/>
      <w:numFmt w:val="lowerLetter"/>
      <w:start w:val="2"/>
    </w:lvl>
  </w:abstractNum>
  <w:abstractNum w:abstractNumId="357">
    <w:nsid w:val="226F5320"/>
    <w:multiLevelType w:val="hybridMultilevel"/>
    <w:lvl w:ilvl="0">
      <w:lvlJc w:val="left"/>
      <w:lvlText w:val="%1."/>
      <w:numFmt w:val="decimal"/>
      <w:start w:val="8"/>
    </w:lvl>
    <w:lvl w:ilvl="1">
      <w:lvlJc w:val="left"/>
      <w:lvlText w:val="%2"/>
      <w:numFmt w:val="lowerLetter"/>
      <w:start w:val="1"/>
    </w:lvl>
  </w:abstractNum>
  <w:abstractNum w:abstractNumId="358">
    <w:nsid w:val="5A0201C7"/>
    <w:multiLevelType w:val="hybridMultilevel"/>
    <w:lvl w:ilvl="0">
      <w:lvlJc w:val="left"/>
      <w:lvlText w:val="i"/>
      <w:numFmt w:val="bullet"/>
      <w:start w:val="1"/>
    </w:lvl>
  </w:abstractNum>
  <w:abstractNum w:abstractNumId="359">
    <w:nsid w:val="2A9C34E2"/>
    <w:multiLevelType w:val="hybridMultilevel"/>
    <w:lvl w:ilvl="0">
      <w:lvlJc w:val="left"/>
      <w:lvlText w:val="(%1)"/>
      <w:numFmt w:val="lowerLetter"/>
      <w:start w:val="1"/>
    </w:lvl>
    <w:lvl w:ilvl="1">
      <w:lvlJc w:val="left"/>
      <w:lvlText w:val="(%2)"/>
      <w:numFmt w:val="lowerLetter"/>
      <w:start w:val="9"/>
    </w:lvl>
  </w:abstractNum>
  <w:abstractNum w:abstractNumId="360">
    <w:nsid w:val="1B7585AB"/>
    <w:multiLevelType w:val="hybridMultilevel"/>
    <w:lvl w:ilvl="0">
      <w:lvlJc w:val="left"/>
      <w:lvlText w:val="%1"/>
      <w:numFmt w:val="lowerLetter"/>
      <w:start w:val="1"/>
    </w:lvl>
    <w:lvl w:ilvl="1">
      <w:lvlJc w:val="left"/>
      <w:lvlText w:val="(%2)"/>
      <w:numFmt w:val="lowerRoman"/>
      <w:start w:val="2"/>
    </w:lvl>
  </w:abstractNum>
  <w:abstractNum w:abstractNumId="361">
    <w:nsid w:val="612DBDDD"/>
    <w:multiLevelType w:val="hybridMultilevel"/>
    <w:lvl w:ilvl="0">
      <w:lvlJc w:val="left"/>
      <w:lvlText w:val="(%1)"/>
      <w:numFmt w:val="lowerLetter"/>
      <w:start w:val="2"/>
    </w:lvl>
    <w:lvl w:ilvl="1">
      <w:lvlJc w:val="left"/>
      <w:lvlText w:val="%2"/>
      <w:numFmt w:val="lowerRoman"/>
      <w:start w:val="1"/>
    </w:lvl>
  </w:abstractNum>
  <w:abstractNum w:abstractNumId="362">
    <w:nsid w:val="2109CDA4"/>
    <w:multiLevelType w:val="hybridMultilevel"/>
    <w:lvl w:ilvl="0">
      <w:lvlJc w:val="left"/>
      <w:lvlText w:val="%1."/>
      <w:numFmt w:val="decimal"/>
      <w:start w:val="1"/>
    </w:lvl>
  </w:abstractNum>
  <w:abstractNum w:abstractNumId="363">
    <w:nsid w:val="577F5A4D"/>
    <w:multiLevelType w:val="hybridMultilevel"/>
    <w:lvl w:ilvl="0">
      <w:lvlJc w:val="left"/>
      <w:lvlText w:val="(%1)"/>
      <w:numFmt w:val="lowerRoman"/>
      <w:start w:val="1"/>
    </w:lvl>
  </w:abstractNum>
  <w:abstractNum w:abstractNumId="364">
    <w:nsid w:val="2121A81"/>
    <w:multiLevelType w:val="hybridMultilevel"/>
    <w:lvl w:ilvl="0">
      <w:lvlJc w:val="left"/>
      <w:lvlText w:val="(%1)"/>
      <w:numFmt w:val="lowerRoman"/>
      <w:start w:val="2"/>
    </w:lvl>
  </w:abstractNum>
  <w:abstractNum w:abstractNumId="365">
    <w:nsid w:val="6C2CFC88"/>
    <w:multiLevelType w:val="hybridMultilevel"/>
    <w:lvl w:ilvl="0">
      <w:lvlJc w:val="left"/>
      <w:lvlText w:val="%1."/>
      <w:numFmt w:val="decimal"/>
      <w:start w:val="2"/>
    </w:lvl>
  </w:abstractNum>
  <w:abstractNum w:abstractNumId="366">
    <w:nsid w:val="6D1BCF1C"/>
    <w:multiLevelType w:val="hybridMultilevel"/>
    <w:lvl w:ilvl="0">
      <w:lvlJc w:val="left"/>
      <w:lvlText w:val="%1."/>
      <w:numFmt w:val="decimal"/>
      <w:start w:val="3"/>
    </w:lvl>
  </w:abstractNum>
  <w:abstractNum w:abstractNumId="367">
    <w:nsid w:val="4CE5CA53"/>
    <w:multiLevelType w:val="hybridMultilevel"/>
    <w:lvl w:ilvl="0">
      <w:lvlJc w:val="left"/>
      <w:lvlText w:val="%1."/>
      <w:numFmt w:val="decimal"/>
      <w:start w:val="5"/>
    </w:lvl>
  </w:abstractNum>
  <w:abstractNum w:abstractNumId="368">
    <w:nsid w:val="29262D1A"/>
    <w:multiLevelType w:val="hybridMultilevel"/>
    <w:lvl w:ilvl="0">
      <w:lvlJc w:val="left"/>
      <w:lvlText w:val="%1."/>
      <w:numFmt w:val="decimal"/>
      <w:start w:val="6"/>
    </w:lvl>
  </w:abstractNum>
  <w:abstractNum w:abstractNumId="369">
    <w:nsid w:val="557FB7EE"/>
    <w:multiLevelType w:val="hybridMultilevel"/>
    <w:lvl w:ilvl="0">
      <w:lvlJc w:val="left"/>
      <w:lvlText w:val="%1."/>
      <w:numFmt w:val="decimal"/>
      <w:start w:val="7"/>
    </w:lvl>
    <w:lvl w:ilvl="1">
      <w:lvlJc w:val="left"/>
      <w:lvlText w:val="(%2)"/>
      <w:numFmt w:val="lowerRoman"/>
      <w:start w:val="1"/>
    </w:lvl>
  </w:abstractNum>
  <w:abstractNum w:abstractNumId="370">
    <w:nsid w:val="436F2BEB"/>
    <w:multiLevelType w:val="hybridMultilevel"/>
    <w:lvl w:ilvl="0">
      <w:lvlJc w:val="left"/>
      <w:lvlText w:val="%1."/>
      <w:numFmt w:val="decimal"/>
      <w:start w:val="8"/>
    </w:lvl>
  </w:abstractNum>
  <w:abstractNum w:abstractNumId="371">
    <w:nsid w:val="6C8B4466"/>
    <w:multiLevelType w:val="hybridMultilevel"/>
    <w:lvl w:ilvl="0">
      <w:lvlJc w:val="left"/>
      <w:lvlText w:val="%1."/>
      <w:numFmt w:val="decimal"/>
      <w:start w:val="9"/>
    </w:lvl>
  </w:abstractNum>
  <w:abstractNum w:abstractNumId="372">
    <w:nsid w:val="2006E424"/>
    <w:multiLevelType w:val="hybridMultilevel"/>
    <w:lvl w:ilvl="0">
      <w:lvlJc w:val="left"/>
      <w:lvlText w:val="%1."/>
      <w:numFmt w:val="decimal"/>
      <w:start w:val="10"/>
    </w:lvl>
  </w:abstractNum>
  <w:abstractNum w:abstractNumId="373">
    <w:nsid w:val="20CC134C"/>
    <w:multiLevelType w:val="hybridMultilevel"/>
    <w:lvl w:ilvl="0">
      <w:lvlJc w:val="left"/>
      <w:lvlText w:val="%1."/>
      <w:numFmt w:val="decimal"/>
      <w:start w:val="11"/>
    </w:lvl>
  </w:abstractNum>
  <w:abstractNum w:abstractNumId="374">
    <w:nsid w:val="95FC93B"/>
    <w:multiLevelType w:val="hybridMultilevel"/>
    <w:lvl w:ilvl="0">
      <w:lvlJc w:val="left"/>
      <w:lvlText w:val="%1"/>
      <w:numFmt w:val="decimal"/>
      <w:start w:val="1"/>
    </w:lvl>
    <w:lvl w:ilvl="1">
      <w:lvlJc w:val="left"/>
      <w:lvlText w:val="%2."/>
      <w:numFmt w:val="decimal"/>
      <w:start w:val="12"/>
    </w:lvl>
  </w:abstractNum>
  <w:abstractNum w:abstractNumId="375">
    <w:nsid w:val="41D74679"/>
    <w:multiLevelType w:val="hybridMultilevel"/>
    <w:lvl w:ilvl="0">
      <w:lvlJc w:val="left"/>
      <w:lvlText w:val="%1."/>
      <w:numFmt w:val="decimal"/>
      <w:start w:val="4"/>
    </w:lvl>
    <w:lvl w:ilvl="1">
      <w:lvlJc w:val="left"/>
      <w:lvlText w:val="%2"/>
      <w:numFmt w:val="decimal"/>
      <w:start w:val="1"/>
    </w:lvl>
  </w:abstractNum>
  <w:abstractNum w:abstractNumId="376">
    <w:nsid w:val="71E5621E"/>
    <w:multiLevelType w:val="hybridMultilevel"/>
    <w:lvl w:ilvl="0">
      <w:lvlJc w:val="left"/>
      <w:lvlText w:val="%1."/>
      <w:numFmt w:val="decimal"/>
      <w:start w:val="14"/>
    </w:lvl>
  </w:abstractNum>
  <w:abstractNum w:abstractNumId="377">
    <w:nsid w:val="4E42B6A8"/>
    <w:multiLevelType w:val="hybridMultilevel"/>
    <w:lvl w:ilvl="0">
      <w:lvlJc w:val="left"/>
      <w:lvlText w:val="a"/>
      <w:numFmt w:val="bullet"/>
      <w:start w:val="1"/>
    </w:lvl>
  </w:abstractNum>
  <w:abstractNum w:abstractNumId="378">
    <w:nsid w:val="43F8E1AC"/>
    <w:multiLevelType w:val="hybridMultilevel"/>
    <w:lvl w:ilvl="0">
      <w:lvlJc w:val="left"/>
      <w:lvlText w:val="%1."/>
      <w:numFmt w:val="decimal"/>
      <w:start w:val="1"/>
    </w:lvl>
  </w:abstractNum>
  <w:abstractNum w:abstractNumId="379">
    <w:nsid w:val="69215DFB"/>
    <w:multiLevelType w:val="hybridMultilevel"/>
    <w:lvl w:ilvl="0">
      <w:lvlJc w:val="left"/>
      <w:lvlText w:val="%1."/>
      <w:numFmt w:val="decimal"/>
      <w:start w:val="2"/>
    </w:lvl>
    <w:lvl w:ilvl="1">
      <w:lvlJc w:val="left"/>
      <w:lvlText w:val="%2."/>
      <w:numFmt w:val="decimal"/>
      <w:start w:val="6"/>
    </w:lvl>
  </w:abstractNum>
  <w:abstractNum w:abstractNumId="380">
    <w:nsid w:val="7ABF196A"/>
    <w:multiLevelType w:val="hybridMultilevel"/>
    <w:lvl w:ilvl="0">
      <w:lvlJc w:val="left"/>
      <w:lvlText w:val="%1."/>
      <w:numFmt w:val="decimal"/>
      <w:start w:val="3"/>
    </w:lvl>
  </w:abstractNum>
  <w:abstractNum w:abstractNumId="381">
    <w:nsid w:val="5E4DB968"/>
    <w:multiLevelType w:val="hybridMultilevel"/>
    <w:lvl w:ilvl="0">
      <w:lvlJc w:val="left"/>
      <w:lvlText w:val="%1."/>
      <w:numFmt w:val="decimal"/>
      <w:start w:val="1"/>
    </w:lvl>
    <w:lvl w:ilvl="1">
      <w:lvlJc w:val="left"/>
      <w:lvlText w:val="(%2)"/>
      <w:numFmt w:val="lowerLetter"/>
      <w:start w:val="34"/>
    </w:lvl>
    <w:lvl w:ilvl="2">
      <w:lvlJc w:val="left"/>
      <w:lvlText w:val="(%3)"/>
      <w:numFmt w:val="lowerLetter"/>
      <w:start w:val="1"/>
    </w:lvl>
  </w:abstractNum>
  <w:abstractNum w:abstractNumId="382">
    <w:nsid w:val="2C06DCF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383">
    <w:nsid w:val="2E129658"/>
    <w:multiLevelType w:val="hybridMultilevel"/>
    <w:lvl w:ilvl="0">
      <w:lvlJc w:val="left"/>
      <w:lvlText w:val="(%1)"/>
      <w:numFmt w:val="lowerLetter"/>
      <w:start w:val="3"/>
    </w:lvl>
  </w:abstractNum>
  <w:abstractNum w:abstractNumId="384">
    <w:nsid w:val="59F0446"/>
    <w:multiLevelType w:val="hybridMultilevel"/>
    <w:lvl w:ilvl="0">
      <w:lvlJc w:val="left"/>
      <w:lvlText w:val="(%1)"/>
      <w:numFmt w:val="lowerLetter"/>
      <w:start w:val="5"/>
    </w:lvl>
  </w:abstractNum>
  <w:abstractNum w:abstractNumId="385">
    <w:nsid w:val="30DF306"/>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2025-05-19T00:29:18Z</dcterms:created>
  <dcterms:modified xsi:type="dcterms:W3CDTF">2025-05-19T00:29:18Z</dcterms:modified>
</cp:coreProperties>
</file>