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606638.xml.htm"/>
      <w:bookmarkStart w:id="1" w:name="kswkform4_178060663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Dunne James J. III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CHIME FINANCIAL,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CALIFORNIA STREET,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Chime Financial, Inc.</w:t>
              </w:r>
            </w:hyperlink>
            <w:r>
              <w:rPr/>
              <w:t xml:space="preserve"> [ </w:t>
            </w:r>
            <w:r>
              <w:rPr>
                <w:rFonts w:ascii="Times;serif" w:hAnsi="Times;serif"/>
                <w:color w:val="0000FF"/>
                <w:sz w:val="24"/>
                <w:shd w:fill="FFFFFF" w:val="clear"/>
              </w:rPr>
              <w:t>CHYM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10,753</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84,950</w:t>
            </w:r>
            <w:r>
              <w:rPr>
                <w:rFonts w:ascii="Times;serif" w:hAnsi="Times;serif"/>
                <w:color w:val="008000"/>
                <w:position w:val="7"/>
                <w:sz w:val="16"/>
                <w:sz w:val="20"/>
                <w:shd w:fill="FFFFFF" w:val="clear"/>
              </w:rPr>
              <w:t>(2)</w:t>
            </w:r>
            <w:r>
              <w:rPr/>
              <w:t xml:space="preserve"> </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are restricted stock units ("RSUs"). Each RSU represents a contingent right to receive one share of the Issuer's Class A Common Stock. 100% of the RSUs shall vest on the earlier of (i) June 2, 2027 or (ii) the day immediately before the date of the Issuer's next annual meeting, subject to the Reporting Person continuing as a service provider through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Certain of these securities are RSUs. Each RSU represents a contingent right to receive one share of the Issuer's Class A Common Stock, subject to the applicable vesting schedule and conditions of each RSU.</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Theresa Bloom,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3251" TargetMode="External"/><Relationship Id="rId5" Type="http://schemas.openxmlformats.org/officeDocument/2006/relationships/hyperlink" Target="http://www.sec.gov/cgi-bin/browse-edgar?action=getcompany&amp;CIK=00017955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672</Words>
  <Characters>3581</Characters>
  <CharactersWithSpaces>4193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