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CHIME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Class A Common Stock, par value $0.0001 </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Menlo Ventures XIV,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6,865,680.00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6,865,680.00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6,865,680.00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MMEF XIV,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102,310.00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102,310.00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102,310.00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Menlo Entrepreneurs Fund XIV,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88,200.00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88,200.00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88,200.00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MV Management XIV,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7,056,190.00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7,056,190.00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7,056,190.00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Menlo Inflection 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9,650,310.00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9,650,310.00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9,650,310.00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MMSOP, L.P. </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156,900.00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156,900.00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156,900.00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MSOP GP, L.L.C. </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9,807,210.00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9,807,210.00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9,807,210.00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Menlo Inflection II,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569,755.00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569,755.00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569,755.00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MM Inflection,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5,793.00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5,793.00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Menlo Entrepreneurs Inflection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3,765.00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3,765.00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MSOP GP II,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579,313.00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579,313.00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579,313.00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item1to9"/>
      <w:bookmarkStart w:id="51" w:name="item1to9"/>
      <w:bookmarkEnd w:id="51"/>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CHIME FINANCIAL, INC.</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California Street, Suite 500, San Francisco, CA, 94111.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Menlo Ventures XIV, L.P. ("Menlo XIV") MMEF XIV, L.P. ("MMEF XIV") Menlo Entrepreneurs Fund XIV, L.P. ("MEF XIV") MV Management XIV, L.L.C. ("MVM XIV") Menlo Inflection I, L.P. ("MI") MMSOP, L.P. ("MMSOP") MSOP GP, L.L.C. ("MSOP GP") Menlo Inflection II, L.P. ("MI II") MM Inflection, L.P. ("MMI") Menlo Entrepreneurs Inflection Fund, L.P. ("MEIF") MSOP GP II, L.L.C. ("MSOP GP II") The Reporting Persons expressly disclaim status as a "group" for purposes of this Schedule 13G.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c/o Menlo Ventures 1300 El Camino Real, Suite 150 Menlo Park, California 94025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Menlo XIV Delaware MMEF XIV Delaware MEF XIV Delaware MVM XIV Delaware MI Delaware MMSOP Delaware MSOP GP Delaware MI II Delaware MMI Delaware MEIF Delaware MSOP GP II Delaware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 xml:space="preserve">Class A Common Stock, par value $0.0001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 sets forth the aggregate number of securities of the Issuer beneficially owned by such Reporting Person as of March 31, 2026 and is incorporated by reference. The Reporting Persons' ownership of the Issuer's securities consists of (i) 6,865,680 shares of Class A common stock held directly by Menlo XIV; (ii) 102,310 shares of Class A common stock held directly by MMEF XIV; (iii) 88,200 shares of Class A common stock held directly by MEF XIV; (iv) 9,650,310 shares of Class A common stock held directly by MI; (v) 156,900 shares of Class A common stock held directly by MMSOP; (vi) 569,755 shares of Class A common stock held directly by MI II; (vii) 5,793 shares of Class A common stock held directly by MMI; and (viii) 3,765 shares of Class A common stock held directly by MEIF. MVM XIV is the general partner of each of Menlo XIV, MMEF XIV and MEF XIV and shares voting and dispositive power over the securities held by each of Menlo XIV, MMEF XIV and MEF XIV. MSOP GP is the general partner of each of MI and MMSOP and shares voting and dispositive power over the securities held by each of MI and MMSOP. MSOP GP II is the general partner of each of MI II, MMI and MEIF and shares voting and dispositive power over the securities held by each of MI II, MMI and MEIF. The Reporting Persons beneficially own, in the aggregate, 17,442,713 shares of Class A common stock.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Class A common stock of the Issuer beneficially owned by such Reporting Person as of March 31, 2026 and is incorporated by reference. The shares of Class A common stock beneficially owned by the Reporting Persons represent, in the aggregate, 4.98% of the Issuer's outstanding Class A common stock. Such percentage, and the percentage set forth in each row 11 is based upon 350,471,830 shares of Class A common stock outstanding as of March 31, 2026, as reported in the Issuer's Quarterly Report on Form 10-Q filed with the Securities and Exchange Commission (the "SEC") on May 7, 2026.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2" w:name="certifications"/>
      <w:bookmarkStart w:id="53" w:name="certifications"/>
      <w:bookmarkEnd w:id="5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signatureInfo"/>
      <w:bookmarkStart w:id="55" w:name="signatureInfo"/>
      <w:bookmarkEnd w:id="5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Menlo Ventures XIV, L.P.</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Venky Ganesan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MV Management XIV, L.L.C., Its general partner, By Venky Ganesan,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4048" w:type="dxa"/>
        <w:jc w:val="left"/>
        <w:tblInd w:w="0" w:type="dxa"/>
        <w:tblLayout w:type="fixed"/>
        <w:tblCellMar>
          <w:top w:w="28" w:type="dxa"/>
          <w:left w:w="28" w:type="dxa"/>
          <w:bottom w:w="28" w:type="dxa"/>
          <w:right w:w="28" w:type="dxa"/>
        </w:tblCellMar>
      </w:tblPr>
      <w:tblGrid>
        <w:gridCol w:w="2024"/>
        <w:gridCol w:w="2024"/>
      </w:tblGrid>
      <w:tr>
        <w:trPr/>
        <w:tc>
          <w:tcPr>
            <w:tcW w:w="2024" w:type="dxa"/>
            <w:tcBorders/>
            <w:vAlign w:val="center"/>
          </w:tcPr>
          <w:p>
            <w:pPr>
              <w:pStyle w:val="TableContents"/>
              <w:bidi w:val="0"/>
              <w:spacing w:before="0" w:after="0"/>
              <w:jc w:val="left"/>
              <w:rPr/>
            </w:pPr>
            <w:r>
              <w:rPr/>
              <w:t> </w:t>
            </w:r>
          </w:p>
          <w:tbl>
            <w:tblPr>
              <w:tblW w:w="1891" w:type="dxa"/>
              <w:jc w:val="left"/>
              <w:tblInd w:w="0" w:type="dxa"/>
              <w:tblLayout w:type="fixed"/>
              <w:tblCellMar>
                <w:top w:w="28" w:type="dxa"/>
                <w:left w:w="28" w:type="dxa"/>
                <w:bottom w:w="28" w:type="dxa"/>
                <w:right w:w="28" w:type="dxa"/>
              </w:tblCellMar>
            </w:tblPr>
            <w:tblGrid>
              <w:gridCol w:w="1891"/>
            </w:tblGrid>
            <w:tr>
              <w:trPr/>
              <w:tc>
                <w:tcPr>
                  <w:tcW w:w="1891" w:type="dxa"/>
                  <w:tcBorders/>
                  <w:vAlign w:val="center"/>
                </w:tcPr>
                <w:p>
                  <w:pPr>
                    <w:pStyle w:val="TableContents"/>
                    <w:bidi w:val="0"/>
                    <w:spacing w:before="0" w:after="0"/>
                    <w:jc w:val="left"/>
                    <w:rPr/>
                  </w:pPr>
                  <w:r>
                    <w:rPr/>
                    <w:t>MMEF XIV, L.P.</w:t>
                  </w:r>
                </w:p>
              </w:tc>
            </w:tr>
          </w:tbl>
          <w:p>
            <w:pPr>
              <w:pStyle w:val="TableContents"/>
              <w:bidi w:val="0"/>
              <w:spacing w:before="0" w:after="283"/>
              <w:jc w:val="left"/>
              <w:rPr/>
            </w:pPr>
            <w:r>
              <w:rPr/>
            </w:r>
          </w:p>
        </w:tc>
        <w:tc>
          <w:tcPr>
            <w:tcW w:w="20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Venky Ganesan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MV Management XIV, L.L.C., Its general partner, By Venky Ganesan,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Menlo Entrepreneurs Fund XIV, L.P.</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Venky Ganesan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By MV Management XIV, L.L.C., Its general partner, By Venky Ganesan,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MV Management XIV, L.L.C.</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Venky Ganesan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Venky Ganesan,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Menlo Inflection I, L.P.</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Venky Ganesan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MSOP GP, L.L.C., Its general partner, By Venky Ganesan,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 xml:space="preserve">MMSOP, L.P. </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Venky Ganesan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MSOP GP, L.L.C., Its general partner, By Venky Ganesan,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 xml:space="preserve">MSOP GP, L.L.C. </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Venky Ganesan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Venky Ganesan,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Menlo Inflection II, L.P.</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Venky Ganesan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MSOP GP II, L.L.C., Its general partner, By Venky Ganesan,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MM Inflection, L.P.</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Venky Ganesan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MSOP GP II, L.L.C., Its general partner, By Venky Ganesan,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Menlo Entrepreneurs Inflection Fund,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9"/>
        <w:gridCol w:w="4366"/>
      </w:tblGrid>
      <w:tr>
        <w:trPr/>
        <w:tc>
          <w:tcPr>
            <w:tcW w:w="58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Venky Ganesan</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By MSOP GP II, L.L.C., Its general partner, By Venky Ganesan,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6" w:type="dxa"/>
            <w:tcBorders/>
            <w:vAlign w:val="center"/>
          </w:tcPr>
          <w:p>
            <w:pPr>
              <w:pStyle w:val="TableContents"/>
              <w:bidi w:val="0"/>
              <w:spacing w:before="0" w:after="283"/>
              <w:jc w:val="left"/>
              <w:rPr>
                <w:sz w:val="4"/>
                <w:szCs w:val="4"/>
              </w:rPr>
            </w:pPr>
            <w:r>
              <w:rPr>
                <w:sz w:val="4"/>
                <w:szCs w:val="4"/>
              </w:rPr>
            </w:r>
          </w:p>
        </w:tc>
      </w:tr>
    </w:tbl>
    <w:tbl>
      <w:tblPr>
        <w:tblW w:w="4586" w:type="dxa"/>
        <w:jc w:val="left"/>
        <w:tblInd w:w="0" w:type="dxa"/>
        <w:tblLayout w:type="fixed"/>
        <w:tblCellMar>
          <w:top w:w="28" w:type="dxa"/>
          <w:left w:w="28" w:type="dxa"/>
          <w:bottom w:w="28" w:type="dxa"/>
          <w:right w:w="28" w:type="dxa"/>
        </w:tblCellMar>
      </w:tblPr>
      <w:tblGrid>
        <w:gridCol w:w="2293"/>
        <w:gridCol w:w="2293"/>
      </w:tblGrid>
      <w:tr>
        <w:trPr/>
        <w:tc>
          <w:tcPr>
            <w:tcW w:w="2293" w:type="dxa"/>
            <w:tcBorders/>
            <w:vAlign w:val="center"/>
          </w:tcPr>
          <w:p>
            <w:pPr>
              <w:pStyle w:val="TableContents"/>
              <w:bidi w:val="0"/>
              <w:spacing w:before="0" w:after="0"/>
              <w:jc w:val="left"/>
              <w:rPr/>
            </w:pPr>
            <w:r>
              <w:rPr/>
              <w:t> </w:t>
            </w:r>
          </w:p>
          <w:tbl>
            <w:tblPr>
              <w:tblW w:w="2176" w:type="dxa"/>
              <w:jc w:val="left"/>
              <w:tblInd w:w="0" w:type="dxa"/>
              <w:tblLayout w:type="fixed"/>
              <w:tblCellMar>
                <w:top w:w="28" w:type="dxa"/>
                <w:left w:w="28" w:type="dxa"/>
                <w:bottom w:w="28" w:type="dxa"/>
                <w:right w:w="28" w:type="dxa"/>
              </w:tblCellMar>
            </w:tblPr>
            <w:tblGrid>
              <w:gridCol w:w="2176"/>
            </w:tblGrid>
            <w:tr>
              <w:trPr/>
              <w:tc>
                <w:tcPr>
                  <w:tcW w:w="2176" w:type="dxa"/>
                  <w:tcBorders/>
                  <w:vAlign w:val="center"/>
                </w:tcPr>
                <w:p>
                  <w:pPr>
                    <w:pStyle w:val="TableContents"/>
                    <w:bidi w:val="0"/>
                    <w:spacing w:before="0" w:after="0"/>
                    <w:jc w:val="left"/>
                    <w:rPr/>
                  </w:pPr>
                  <w:r>
                    <w:rPr/>
                    <w:t>MSOP GP II, L.L.C.</w:t>
                  </w:r>
                </w:p>
              </w:tc>
            </w:tr>
          </w:tbl>
          <w:p>
            <w:pPr>
              <w:pStyle w:val="TableContents"/>
              <w:bidi w:val="0"/>
              <w:spacing w:before="0" w:after="283"/>
              <w:jc w:val="left"/>
              <w:rPr/>
            </w:pPr>
            <w:r>
              <w:rPr/>
            </w:r>
          </w:p>
        </w:tc>
        <w:tc>
          <w:tcPr>
            <w:tcW w:w="22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Venky Ganesan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Venky Ganesan, Managing Member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August 14,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checked.jpg" TargetMode="External"/><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2706</Words>
  <Characters>13727</Characters>
  <CharactersWithSpaces>16238</CharactersWithSpaces>
  <Paragraphs>624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