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7049135" cy="8825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882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Newcomb Matthew S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CHIME FINANCIAL,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101 CALIFORNIA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Chime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CHYM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7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5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6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9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79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06/12/2025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78,419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3"/>
              </w:rPr>
              <w:t>550,814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(2)(3)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550,814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2,147,872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550,814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550,814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3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06/13/2025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2,147,872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2,147,872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103,417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103,417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11/05/2028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103,417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103,417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11/05/2028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103,417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325,000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07/22/2030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325,000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325,000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07/22/2030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325,000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02/06/2033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375,000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4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02/06/2033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375,000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338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9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266,667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266,667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12/24/2033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281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278765</wp:posOffset>
            </wp:positionH>
            <wp:positionV relativeFrom="page">
              <wp:posOffset>88900</wp:posOffset>
            </wp:positionV>
            <wp:extent cx="7049135" cy="3850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385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266,667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15.7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266,667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12/24/2033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266,667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233,400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233,400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2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383,400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27.9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06/13/2025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03/05/2035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383,400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 w:right="420" w:hanging="3"/>
        <w:spacing w:after="0" w:line="281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shares have been withheld by the Issuer, in an exempt disposition to the Issuer under Rule 16b-3(e), to satisfy its income tax withholding and remittance obligations in connection with the net settlement of restricted stock units ("RSUs") pursuant to the Issuer's initial public offering of Class A Common Stock (the "IPO").</w:t>
      </w: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Pursuant to a reclassification exempt under Rule 16b-7, each share of Common Stock was automatically reclassified into one share of Class A Common Stock immediately prior to the completion of the IPO.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Certain of these securities are RSUs. Each RSU represents a contingent right to receive one share of the Issuer's Common Stock, subject to the applicable vesting schedule and conditions of each RSU.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These shares are held by 2019 Newcomb Fox Family Trust, for which the Reporting Person and his spouse serve as trustees.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Certain of these securities are RSUs. Each RSU represents a contingent right to receive one share of the Issuer's Class A Common Stock, subject to the applicable vesting schedule and conditions of each RSU.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All of the shares subject to the option are fully vested and exercisable as of the date hereof.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March 7, 2023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March 15, 2024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1/48th of the shares subject to the option vested on March 15, 2025 and 1/48th of the shares vest monthly thereafter, subject to the Reporting Person's continued service through each vesting date.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180" w:hanging="3"/>
        <w:spacing w:after="0" w:line="281" w:lineRule="auto"/>
        <w:tabs>
          <w:tab w:leader="none" w:pos="20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10% of shares subject to the option vest on each of February 15, 2026 and February 15, 2027, 30% of shares subject to the option vest on February 15, 2028, and 50% of shares subject to the option vest on February 15, 2029, subject to the Reporting Person's continued service through each vesting date.</w:t>
      </w: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/s/ Theresa Bloom,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attorney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hanging="3"/>
        <w:spacing w:after="0" w:line="324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268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2025-06-13T18:51:55Z</dcterms:created>
  <dcterms:modified xsi:type="dcterms:W3CDTF">2025-06-13T18:51:55Z</dcterms:modified>
</cp:coreProperties>
</file>