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1228725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46990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156210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00" w:right="2080" w:hanging="374"/>
        <w:spacing w:after="0" w:line="286" w:lineRule="auto"/>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400" w:right="2060" w:hanging="374"/>
        <w:spacing w:after="0" w:line="286" w:lineRule="auto"/>
        <w:tabs>
          <w:tab w:leader="none" w:pos="4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84"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259715</wp:posOffset>
            </wp:positionV>
            <wp:extent cx="164592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Chime Financial, Inc.</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460" w:type="dxa"/>
            <w:vAlign w:val="bottom"/>
            <w:gridSpan w:val="3"/>
          </w:tcPr>
          <w:p>
            <w:pPr>
              <w:jc w:val="center"/>
              <w:ind w:left="19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00" w:type="dxa"/>
            <w:vAlign w:val="bottom"/>
          </w:tcPr>
          <w:p>
            <w:pPr>
              <w:jc w:val="right"/>
              <w:ind w:right="2743"/>
              <w:spacing w:after="0"/>
              <w:rPr>
                <w:sz w:val="20"/>
                <w:szCs w:val="20"/>
                <w:color w:val="auto"/>
              </w:rPr>
            </w:pPr>
            <w:r>
              <w:rPr>
                <w:rFonts w:ascii="Times New Roman" w:cs="Times New Roman" w:eastAsia="Times New Roman" w:hAnsi="Times New Roman"/>
                <w:sz w:val="18"/>
                <w:szCs w:val="18"/>
                <w:b w:val="1"/>
                <w:bCs w:val="1"/>
                <w:color w:val="auto"/>
              </w:rPr>
              <w:t>46-0925388</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460" w:type="dxa"/>
            <w:vAlign w:val="bottom"/>
            <w:gridSpan w:val="3"/>
          </w:tcPr>
          <w:p>
            <w:pPr>
              <w:jc w:val="center"/>
              <w:ind w:left="1941"/>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00" w:type="dxa"/>
            <w:vAlign w:val="bottom"/>
          </w:tcPr>
          <w:p>
            <w:pPr>
              <w:jc w:val="center"/>
              <w:ind w:right="2523"/>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4460" w:type="dxa"/>
            <w:vAlign w:val="bottom"/>
            <w:gridSpan w:val="3"/>
          </w:tcPr>
          <w:p>
            <w:pPr>
              <w:jc w:val="center"/>
              <w:ind w:left="194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00" w:type="dxa"/>
            <w:vAlign w:val="bottom"/>
          </w:tcPr>
          <w:p>
            <w:pPr>
              <w:jc w:val="center"/>
              <w:ind w:right="2543"/>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25"/>
        </w:trPr>
        <w:tc>
          <w:tcPr>
            <w:tcW w:w="160" w:type="dxa"/>
            <w:vAlign w:val="bottom"/>
          </w:tcPr>
          <w:p>
            <w:pPr>
              <w:spacing w:after="0"/>
              <w:rPr>
                <w:sz w:val="24"/>
                <w:szCs w:val="24"/>
                <w:color w:val="auto"/>
              </w:rPr>
            </w:pPr>
          </w:p>
        </w:tc>
        <w:tc>
          <w:tcPr>
            <w:tcW w:w="4460" w:type="dxa"/>
            <w:vAlign w:val="bottom"/>
            <w:gridSpan w:val="3"/>
          </w:tcPr>
          <w:p>
            <w:pPr>
              <w:jc w:val="center"/>
              <w:ind w:left="1941"/>
              <w:spacing w:after="0"/>
              <w:rPr>
                <w:sz w:val="20"/>
                <w:szCs w:val="20"/>
                <w:color w:val="auto"/>
              </w:rPr>
            </w:pPr>
            <w:r>
              <w:rPr>
                <w:rFonts w:ascii="Times New Roman" w:cs="Times New Roman" w:eastAsia="Times New Roman" w:hAnsi="Times New Roman"/>
                <w:sz w:val="18"/>
                <w:szCs w:val="18"/>
                <w:b w:val="1"/>
                <w:bCs w:val="1"/>
                <w:color w:val="auto"/>
                <w:w w:val="99"/>
              </w:rPr>
              <w:t>101 California Street, Suite 500</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00" w:type="dxa"/>
            <w:vAlign w:val="bottom"/>
            <w:vMerge w:val="restart"/>
          </w:tcPr>
          <w:p>
            <w:pPr>
              <w:jc w:val="right"/>
              <w:ind w:right="2963"/>
              <w:spacing w:after="0"/>
              <w:rPr>
                <w:sz w:val="20"/>
                <w:szCs w:val="20"/>
                <w:color w:val="auto"/>
              </w:rPr>
            </w:pPr>
            <w:r>
              <w:rPr>
                <w:rFonts w:ascii="Times New Roman" w:cs="Times New Roman" w:eastAsia="Times New Roman" w:hAnsi="Times New Roman"/>
                <w:sz w:val="18"/>
                <w:szCs w:val="18"/>
                <w:b w:val="1"/>
                <w:bCs w:val="1"/>
                <w:color w:val="auto"/>
              </w:rPr>
              <w:t>94111</w:t>
            </w: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4460" w:type="dxa"/>
            <w:vAlign w:val="bottom"/>
            <w:gridSpan w:val="3"/>
            <w:vMerge w:val="restart"/>
          </w:tcPr>
          <w:p>
            <w:pPr>
              <w:jc w:val="center"/>
              <w:ind w:left="1941"/>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44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460" w:type="dxa"/>
            <w:vAlign w:val="bottom"/>
            <w:gridSpan w:val="3"/>
          </w:tcPr>
          <w:p>
            <w:pPr>
              <w:jc w:val="center"/>
              <w:ind w:left="192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00" w:type="dxa"/>
            <w:vAlign w:val="bottom"/>
          </w:tcPr>
          <w:p>
            <w:pPr>
              <w:jc w:val="center"/>
              <w:ind w:right="2543"/>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74"/>
        </w:trPr>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(844) 244-6363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1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4620" w:type="dxa"/>
            <w:vAlign w:val="bottom"/>
            <w:gridSpan w:val="4"/>
            <w:vMerge w:val="restart"/>
          </w:tcPr>
          <w:p>
            <w:pPr>
              <w:jc w:val="center"/>
              <w:ind w:right="13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0" w:type="dxa"/>
            <w:vAlign w:val="bottom"/>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46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446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5"/>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00" w:type="dxa"/>
            <w:vAlign w:val="bottom"/>
          </w:tcPr>
          <w:p>
            <w:pPr>
              <w:jc w:val="center"/>
              <w:ind w:right="7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3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920" w:type="dxa"/>
            <w:vAlign w:val="bottom"/>
            <w:tcBorders>
              <w:top w:val="single" w:sz="8" w:color="auto"/>
            </w:tcBorders>
          </w:tcPr>
          <w:p>
            <w:pPr>
              <w:jc w:val="center"/>
              <w:ind w:right="801"/>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center"/>
              <w:ind w:right="488"/>
              <w:spacing w:after="0"/>
              <w:rPr>
                <w:sz w:val="20"/>
                <w:szCs w:val="20"/>
                <w:color w:val="auto"/>
              </w:rPr>
            </w:pPr>
            <w:r>
              <w:rPr>
                <w:rFonts w:ascii="Times New Roman" w:cs="Times New Roman" w:eastAsia="Times New Roman" w:hAnsi="Times New Roman"/>
                <w:sz w:val="14"/>
                <w:szCs w:val="14"/>
                <w:color w:val="auto"/>
                <w:w w:val="99"/>
              </w:rPr>
              <w:t>CHYM</w:t>
            </w:r>
          </w:p>
        </w:tc>
        <w:tc>
          <w:tcPr>
            <w:tcW w:w="80" w:type="dxa"/>
            <w:vAlign w:val="bottom"/>
          </w:tcPr>
          <w:p>
            <w:pPr>
              <w:spacing w:after="0"/>
              <w:rPr>
                <w:sz w:val="15"/>
                <w:szCs w:val="15"/>
                <w:color w:val="auto"/>
              </w:rPr>
            </w:pPr>
          </w:p>
        </w:tc>
        <w:tc>
          <w:tcPr>
            <w:tcW w:w="800" w:type="dxa"/>
            <w:vAlign w:val="bottom"/>
            <w:tcBorders>
              <w:top w:val="single" w:sz="8" w:color="auto"/>
            </w:tcBorders>
            <w:gridSpan w:val="2"/>
          </w:tcPr>
          <w:p>
            <w:pPr>
              <w:spacing w:after="0"/>
              <w:rPr>
                <w:sz w:val="15"/>
                <w:szCs w:val="15"/>
                <w:color w:val="auto"/>
              </w:rPr>
            </w:pPr>
          </w:p>
        </w:tc>
        <w:tc>
          <w:tcPr>
            <w:tcW w:w="3900" w:type="dxa"/>
            <w:vAlign w:val="bottom"/>
            <w:tcBorders>
              <w:top w:val="single" w:sz="8" w:color="auto"/>
            </w:tcBorders>
          </w:tcPr>
          <w:p>
            <w:pPr>
              <w:jc w:val="center"/>
              <w:ind w:right="7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24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6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1440" w:right="359" w:bottom="753"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Smaller reporting</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tcPr>
          <w:p>
            <w:pPr>
              <w:spacing w:after="0"/>
              <w:rPr>
                <w:sz w:val="16"/>
                <w:szCs w:val="16"/>
                <w:color w:val="auto"/>
              </w:rPr>
            </w:pPr>
          </w:p>
        </w:tc>
      </w:tr>
      <w:tr>
        <w:trPr>
          <w:trHeight w:val="298"/>
        </w:trPr>
        <w:tc>
          <w:tcPr>
            <w:tcW w:w="2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Emerging growth</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8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tcPr>
          <w:p>
            <w:pPr>
              <w:spacing w:after="0"/>
              <w:rPr>
                <w:sz w:val="16"/>
                <w:szCs w:val="16"/>
                <w:color w:val="auto"/>
              </w:rPr>
            </w:pPr>
          </w:p>
        </w:tc>
      </w:tr>
    </w:tbl>
    <w:p>
      <w:pPr>
        <w:spacing w:after="0" w:line="257" w:lineRule="exact"/>
        <w:rPr>
          <w:sz w:val="20"/>
          <w:szCs w:val="20"/>
          <w:color w:val="auto"/>
        </w:rPr>
      </w:pPr>
    </w:p>
    <w:p>
      <w:pPr>
        <w:ind w:right="3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As of November 2, 2026, the numbers of shares of the issuer’s Class A and Class B common stock outstanding were 353,422,420 and 30,359,341 and no shares of Class C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100330</wp:posOffset>
            </wp:positionV>
            <wp:extent cx="119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39" w:right="539" w:bottom="1440" w:gutter="0" w:footer="0" w:header="0"/>
        </w:sectPr>
      </w:pPr>
    </w:p>
    <w:bookmarkStart w:id="2" w:name="page3"/>
    <w:bookmarkEnd w:id="2"/>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2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Part 1- Financial Statements</w:t>
            </w:r>
          </w:p>
        </w:tc>
        <w:tc>
          <w:tcPr>
            <w:tcW w:w="7820" w:type="dxa"/>
            <w:vAlign w:val="bottom"/>
            <w:gridSpan w:val="31"/>
            <w:shd w:val="clear" w:color="auto" w:fill="CCEEFF"/>
          </w:tcPr>
          <w:p>
            <w:pPr>
              <w:spacing w:after="0"/>
              <w:rPr>
                <w:sz w:val="17"/>
                <w:szCs w:val="17"/>
                <w:color w:val="auto"/>
              </w:rPr>
            </w:pPr>
          </w:p>
        </w:tc>
        <w:tc>
          <w:tcPr>
            <w:tcW w:w="13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9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480" w:type="dxa"/>
            <w:vAlign w:val="bottom"/>
            <w:gridSpan w:val="16"/>
            <w:shd w:val="clear" w:color="auto" w:fill="CCEEFF"/>
          </w:tcPr>
          <w:p>
            <w:pPr>
              <w:spacing w:after="0"/>
              <w:rPr>
                <w:sz w:val="16"/>
                <w:szCs w:val="16"/>
                <w:color w:val="auto"/>
              </w:rPr>
            </w:pP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2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2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2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(Deficit)</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7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700" w:type="dxa"/>
            <w:vAlign w:val="bottom"/>
            <w:gridSpan w:val="11"/>
            <w:shd w:val="clear" w:color="auto" w:fill="CCEEFF"/>
          </w:tcPr>
          <w:p>
            <w:pPr>
              <w:spacing w:after="0"/>
              <w:rPr>
                <w:sz w:val="16"/>
                <w:szCs w:val="16"/>
                <w:color w:val="auto"/>
              </w:rPr>
            </w:pP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2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1 - Organization and Description of Business</w:t>
            </w:r>
          </w:p>
        </w:tc>
        <w:tc>
          <w:tcPr>
            <w:tcW w:w="5560" w:type="dxa"/>
            <w:vAlign w:val="bottom"/>
            <w:gridSpan w:val="9"/>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2 - Basis of Presentation and Summary of Significant Accounting Policies</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3 - Revenue</w:t>
            </w:r>
          </w:p>
        </w:tc>
        <w:tc>
          <w:tcPr>
            <w:tcW w:w="7940" w:type="dxa"/>
            <w:vAlign w:val="bottom"/>
            <w:tcBorders>
              <w:bottom w:val="single" w:sz="8" w:color="CCEEFF"/>
            </w:tcBorders>
            <w:gridSpan w:val="32"/>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4 - Fair Value Measurement</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5 - Marketable Securities</w:t>
            </w:r>
          </w:p>
        </w:tc>
        <w:tc>
          <w:tcPr>
            <w:tcW w:w="1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6 - Accounts Receivable, Net</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0000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7 - Loans Held For Investment, Net</w:t>
            </w:r>
          </w:p>
        </w:tc>
        <w:tc>
          <w:tcPr>
            <w:tcW w:w="6240" w:type="dxa"/>
            <w:vAlign w:val="bottom"/>
            <w:tcBorders>
              <w:bottom w:val="single" w:sz="8" w:color="CCEEFF"/>
            </w:tcBorders>
            <w:gridSpan w:val="14"/>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8 - Credit Obligations</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9 - Property, Equipment, and Software, Net</w:t>
            </w:r>
          </w:p>
        </w:tc>
        <w:tc>
          <w:tcPr>
            <w:tcW w:w="1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500" w:type="dxa"/>
            <w:vAlign w:val="bottom"/>
            <w:tcBorders>
              <w:top w:val="single" w:sz="8" w:color="0000FF"/>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10 - Business Combinations</w:t>
            </w:r>
          </w:p>
        </w:tc>
        <w:tc>
          <w:tcPr>
            <w:tcW w:w="5700" w:type="dxa"/>
            <w:vAlign w:val="bottom"/>
            <w:tcBorders>
              <w:top w:val="single" w:sz="8" w:color="CCEEFF"/>
            </w:tcBorders>
            <w:gridSpan w:val="11"/>
          </w:tcPr>
          <w:p>
            <w:pPr>
              <w:spacing w:after="0"/>
              <w:rPr>
                <w:sz w:val="16"/>
                <w:szCs w:val="16"/>
                <w:color w:val="auto"/>
              </w:rPr>
            </w:pPr>
          </w:p>
        </w:tc>
        <w:tc>
          <w:tcPr>
            <w:tcW w:w="11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0000FF"/>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11 - Significant Balance Sheet Components</w:t>
            </w:r>
          </w:p>
        </w:tc>
        <w:tc>
          <w:tcPr>
            <w:tcW w:w="5660" w:type="dxa"/>
            <w:vAlign w:val="bottom"/>
            <w:tcBorders>
              <w:bottom w:val="single" w:sz="8" w:color="CCEEFF"/>
            </w:tcBorders>
            <w:gridSpan w:val="10"/>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12 - Indebtedness</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13 - Variable Interest Entities</w:t>
            </w:r>
          </w:p>
        </w:tc>
        <w:tc>
          <w:tcPr>
            <w:tcW w:w="6700" w:type="dxa"/>
            <w:vAlign w:val="bottom"/>
            <w:tcBorders>
              <w:bottom w:val="single" w:sz="8" w:color="CCEEFF"/>
            </w:tcBorders>
            <w:gridSpan w:val="18"/>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14 - Common Stock and Stockholders’ Equity</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15 - Stock-Based Compensation</w:t>
            </w:r>
          </w:p>
        </w:tc>
        <w:tc>
          <w:tcPr>
            <w:tcW w:w="6480" w:type="dxa"/>
            <w:vAlign w:val="bottom"/>
            <w:tcBorders>
              <w:bottom w:val="single" w:sz="8" w:color="CCEEFF"/>
            </w:tcBorders>
            <w:gridSpan w:val="16"/>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16 - Net Income (Loss) Per Share</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FF"/>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17 - Related Party Transactions</w:t>
            </w:r>
          </w:p>
        </w:tc>
        <w:tc>
          <w:tcPr>
            <w:tcW w:w="6540" w:type="dxa"/>
            <w:vAlign w:val="bottom"/>
            <w:tcBorders>
              <w:bottom w:val="single" w:sz="8" w:color="CCEEFF"/>
            </w:tcBorders>
            <w:gridSpan w:val="17"/>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18 - Restructuring</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19 - Income Taxes</w:t>
            </w:r>
          </w:p>
        </w:tc>
        <w:tc>
          <w:tcPr>
            <w:tcW w:w="7480" w:type="dxa"/>
            <w:vAlign w:val="bottom"/>
            <w:tcBorders>
              <w:bottom w:val="single" w:sz="8" w:color="CCEEFF"/>
            </w:tcBorders>
            <w:gridSpan w:val="26"/>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20 - Commitments and Contingencies</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56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1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1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040" w:type="dxa"/>
            <w:vAlign w:val="bottom"/>
            <w:tcBorders>
              <w:bottom w:val="single" w:sz="8" w:color="CCEEFF"/>
            </w:tcBorders>
            <w:gridSpan w:val="33"/>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6760" w:type="dxa"/>
            <w:vAlign w:val="bottom"/>
            <w:gridSpan w:val="19"/>
          </w:tcPr>
          <w:p>
            <w:pPr>
              <w:spacing w:after="0"/>
              <w:rPr>
                <w:sz w:val="16"/>
                <w:szCs w:val="16"/>
                <w:color w:val="auto"/>
              </w:rPr>
            </w:pP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7760" w:type="dxa"/>
            <w:vAlign w:val="bottom"/>
            <w:gridSpan w:val="30"/>
            <w:shd w:val="clear" w:color="auto" w:fill="CCEEFF"/>
          </w:tcPr>
          <w:p>
            <w:pPr>
              <w:spacing w:after="0"/>
              <w:rPr>
                <w:sz w:val="16"/>
                <w:szCs w:val="16"/>
                <w:color w:val="auto"/>
              </w:rPr>
            </w:pP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30"/>
          </w:tcPr>
          <w:p>
            <w:pPr>
              <w:spacing w:after="0"/>
              <w:rPr>
                <w:sz w:val="16"/>
                <w:szCs w:val="16"/>
                <w:color w:val="auto"/>
              </w:rPr>
            </w:pPr>
          </w:p>
        </w:tc>
        <w:tc>
          <w:tcPr>
            <w:tcW w:w="1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Quarterly Report includes, among others, forward-looking statements regarding:</w:t>
      </w:r>
    </w:p>
    <w:p>
      <w:pPr>
        <w:spacing w:after="0" w:line="133" w:lineRule="exact"/>
        <w:rPr>
          <w:sz w:val="20"/>
          <w:szCs w:val="20"/>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and operating expenses, and our ability to achieve and maintain future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business and growth strategy;</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Active Members and maintain and increase their engagement with our platform and their Purchase Volume, as well as our ARPAM;</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and amounts available under our credit facility and from additional funding sources to meet our working capital and liquidity needs;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performance of, and our expectations regarding, certain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bring them to market in a timely manner and make enhancements to current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compliance with and the effects of existing and developing laws and regulations, including with respect to financial services and privacy and data protection;</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development, investment in, and integration of AI and ML technologies, including generative AI, into our products and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risk associated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bank partners and other third-party service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successful closing of our pending acquisition of the parent holding company of Stride Bank, N.A., including the realization of anticipated benefits;</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if the improvements in our U.S. operating results continue, a reasonable probability exists that sufficient positive evidence may become available to reach a conclusion that a significant portion of the U.S. valuation allowance would no longer be required; and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3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share repurchase program.</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Quarterly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Although we believe that we have a reasonable basis for each forward-looking statement contained in this Quarterly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spacing w:after="0" w:line="13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Quarterly Report relate only to our expectations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8"/>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8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636,656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466,252</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118,866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14,508</w:t>
            </w: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Marketable securities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546,319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587,828</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Product collateral</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251,204</w:t>
            </w: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257,884</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Loans held for investment,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71,581</w:t>
            </w: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71,231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106,753</w:t>
            </w:r>
          </w:p>
        </w:tc>
      </w:tr>
      <w:tr>
        <w:trPr>
          <w:trHeight w:val="195"/>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2,005,283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1,756,010</w:t>
            </w:r>
          </w:p>
        </w:tc>
      </w:tr>
      <w:tr>
        <w:trPr>
          <w:trHeight w:val="19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Property, equipment, and software,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94,320</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83,429</w:t>
            </w:r>
          </w:p>
        </w:tc>
      </w:tr>
      <w:tr>
        <w:trPr>
          <w:trHeight w:val="20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30,846</w:t>
            </w:r>
          </w:p>
        </w:tc>
      </w:tr>
      <w:tr>
        <w:trPr>
          <w:trHeight w:val="197"/>
        </w:trPr>
        <w:tc>
          <w:tcPr>
            <w:tcW w:w="802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2,207,427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1,964,605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38,680</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201,862</w:t>
            </w: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Product obligation</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147,698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147,382</w:t>
            </w:r>
          </w:p>
        </w:tc>
      </w:tr>
      <w:tr>
        <w:trPr>
          <w:trHeight w:val="195"/>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417,932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387,924</w:t>
            </w:r>
          </w:p>
        </w:tc>
      </w:tr>
      <w:tr>
        <w:trPr>
          <w:trHeight w:val="19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123,284</w:t>
            </w:r>
          </w:p>
        </w:tc>
      </w:tr>
      <w:tr>
        <w:trPr>
          <w:trHeight w:val="21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Warehouse facility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32,219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51,691</w:t>
            </w:r>
          </w:p>
        </w:tc>
      </w:tr>
      <w:tr>
        <w:trPr>
          <w:trHeight w:val="195"/>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665,269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562,899</w:t>
            </w:r>
          </w:p>
        </w:tc>
      </w:tr>
      <w:tr>
        <w:trPr>
          <w:trHeight w:val="18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20)</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58"/>
        </w:trPr>
        <w:tc>
          <w:tcPr>
            <w:tcW w:w="802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5"/>
                <w:szCs w:val="15"/>
                <w:color w:val="auto"/>
              </w:rPr>
              <w:t>Preferred stock, $0.0001 par value: 100,000,000 shares authorized, no shares issued and outstanding as of September 30,</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08"/>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2026 and December 31, 2025.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57"/>
        </w:trPr>
        <w:tc>
          <w:tcPr>
            <w:tcW w:w="8020" w:type="dxa"/>
            <w:vAlign w:val="bottom"/>
          </w:tcPr>
          <w:p>
            <w:pPr>
              <w:ind w:left="240"/>
              <w:spacing w:after="0" w:line="156" w:lineRule="exact"/>
              <w:rPr>
                <w:sz w:val="20"/>
                <w:szCs w:val="20"/>
                <w:color w:val="auto"/>
              </w:rPr>
            </w:pPr>
            <w:r>
              <w:rPr>
                <w:rFonts w:ascii="Times New Roman" w:cs="Times New Roman" w:eastAsia="Times New Roman" w:hAnsi="Times New Roman"/>
                <w:sz w:val="15"/>
                <w:szCs w:val="15"/>
                <w:color w:val="auto"/>
              </w:rPr>
              <w:t>Class A common stock, $0.0001 par value: 5,000,000,000 shares authorized, 352,879,240 shares issued and outstanding as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4"/>
        </w:trPr>
        <w:tc>
          <w:tcPr>
            <w:tcW w:w="80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of September 30, 2026. 5,000,000,000 shares authorized, 347,751,083 issued and outstanding as of December 31, 2025.</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61"/>
        </w:trPr>
        <w:tc>
          <w:tcPr>
            <w:tcW w:w="8020" w:type="dxa"/>
            <w:vAlign w:val="bottom"/>
            <w:shd w:val="clear" w:color="auto" w:fill="CCEEFF"/>
          </w:tcPr>
          <w:p>
            <w:pPr>
              <w:ind w:left="240"/>
              <w:spacing w:after="0" w:line="161" w:lineRule="exact"/>
              <w:rPr>
                <w:sz w:val="20"/>
                <w:szCs w:val="20"/>
                <w:color w:val="auto"/>
              </w:rPr>
            </w:pPr>
            <w:r>
              <w:rPr>
                <w:rFonts w:ascii="Times New Roman" w:cs="Times New Roman" w:eastAsia="Times New Roman" w:hAnsi="Times New Roman"/>
                <w:sz w:val="15"/>
                <w:szCs w:val="15"/>
                <w:color w:val="auto"/>
              </w:rPr>
              <w:t>Class B common stock, $0.0001 par value: 65,000,000 shares authorized, 30,420,959 shares issued and outstanding as of</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08"/>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September 30, 2026. 65,000,000 shares authorized, 32,182,289 issued and outstanding as of December 31, 2025.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57"/>
        </w:trPr>
        <w:tc>
          <w:tcPr>
            <w:tcW w:w="8020" w:type="dxa"/>
            <w:vAlign w:val="bottom"/>
          </w:tcPr>
          <w:p>
            <w:pPr>
              <w:ind w:left="240"/>
              <w:spacing w:after="0" w:line="156" w:lineRule="exact"/>
              <w:rPr>
                <w:sz w:val="20"/>
                <w:szCs w:val="20"/>
                <w:color w:val="auto"/>
              </w:rPr>
            </w:pPr>
            <w:r>
              <w:rPr>
                <w:rFonts w:ascii="Times New Roman" w:cs="Times New Roman" w:eastAsia="Times New Roman" w:hAnsi="Times New Roman"/>
                <w:sz w:val="15"/>
                <w:szCs w:val="15"/>
                <w:color w:val="auto"/>
              </w:rPr>
              <w:t>Class C common stock, $0.0001 par value: 500,000,000 shares authorized, no shares issued and outstanding as of</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4"/>
        </w:trPr>
        <w:tc>
          <w:tcPr>
            <w:tcW w:w="80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September 30, 2026 and December 31, 2025.</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4,794,166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4,775,607</w:t>
            </w:r>
          </w:p>
        </w:tc>
      </w:tr>
      <w:tr>
        <w:trPr>
          <w:trHeight w:val="201"/>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0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(3,249,074)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(3,374,104)</w:t>
            </w:r>
          </w:p>
        </w:tc>
      </w:tr>
      <w:tr>
        <w:trPr>
          <w:trHeight w:val="195"/>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1,542,158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1,401,706</w:t>
            </w:r>
          </w:p>
        </w:tc>
      </w:tr>
      <w:tr>
        <w:trPr>
          <w:trHeight w:val="222"/>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2,207,427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1,964,605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Pr>
          <w:p>
            <w:pPr>
              <w:spacing w:after="0"/>
              <w:rPr>
                <w:sz w:val="16"/>
                <w:szCs w:val="16"/>
                <w:color w:val="auto"/>
              </w:rPr>
            </w:pPr>
          </w:p>
        </w:tc>
      </w:tr>
      <w:tr>
        <w:trPr>
          <w:trHeight w:val="214"/>
        </w:trPr>
        <w:tc>
          <w:tcPr>
            <w:tcW w:w="4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10"/>
        </w:trPr>
        <w:tc>
          <w:tcPr>
            <w:tcW w:w="4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1,590,412</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196,939</w:t>
            </w:r>
          </w:p>
        </w:tc>
      </w:tr>
      <w:tr>
        <w:trPr>
          <w:trHeight w:val="223"/>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1,821,251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1,393,473</w:t>
            </w: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304,445</w:t>
            </w: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309,753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365,364</w:t>
            </w: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498,055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471,187</w:t>
            </w: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341,325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823,578</w:t>
            </w: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403,415</w:t>
            </w:r>
          </w:p>
        </w:tc>
      </w:tr>
      <w:tr>
        <w:trPr>
          <w:trHeight w:val="229"/>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23"/>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1,719,443</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2,379,684</w:t>
            </w:r>
          </w:p>
        </w:tc>
      </w:tr>
      <w:tr>
        <w:trPr>
          <w:trHeight w:val="223"/>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(986,211)</w:t>
            </w: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r>
      <w:tr>
        <w:trPr>
          <w:trHeight w:val="223"/>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(964,374)</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(965,159)</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1"/>
        </w:trPr>
        <w:tc>
          <w:tcPr>
            <w:tcW w:w="45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income (loss) per share attributable to common</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3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184"/>
        </w:trPr>
        <w:tc>
          <w:tcPr>
            <w:tcW w:w="4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45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used to compute net income (loss) per share attributable to</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380,680,024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371,829,972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380,709,024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189,227,164</w:t>
            </w:r>
          </w:p>
        </w:tc>
      </w:tr>
      <w:tr>
        <w:trPr>
          <w:trHeight w:val="234"/>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400,120,167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371,829,972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398,002,078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189,227,164</w:t>
            </w: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32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(965,159)</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unrealized gain (loss) on marketable securities, net of tax</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(965,441)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40" w:type="dxa"/>
            <w:vAlign w:val="bottom"/>
            <w:tcBorders>
              <w:right w:val="single" w:sz="8" w:color="auto"/>
            </w:tcBorders>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840" w:type="dxa"/>
            <w:vAlign w:val="bottom"/>
            <w:tcBorders>
              <w:right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740" w:type="dxa"/>
            <w:vAlign w:val="bottom"/>
            <w:tcBorders>
              <w:bottom w:val="single" w:sz="8" w:color="auto"/>
            </w:tcBorders>
            <w:gridSpan w:val="5"/>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auto"/>
            </w:tcBorders>
            <w:gridSpan w:val="4"/>
          </w:tcPr>
          <w:p>
            <w:pPr>
              <w:jc w:val="right"/>
              <w:ind w:right="409"/>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74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6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379,933,372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4,775,607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(3,374,104)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1,401,706</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53,456</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4,880,740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0" w:type="dxa"/>
            <w:vAlign w:val="bottom"/>
          </w:tcPr>
          <w:p>
            <w:pPr>
              <w:spacing w:after="0"/>
              <w:rPr>
                <w:sz w:val="1"/>
                <w:szCs w:val="1"/>
                <w:color w:val="auto"/>
              </w:rPr>
            </w:pPr>
          </w:p>
        </w:tc>
      </w:tr>
      <w:tr>
        <w:trPr>
          <w:trHeight w:val="139"/>
        </w:trPr>
        <w:tc>
          <w:tcPr>
            <w:tcW w:w="4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settlement of restricted stock</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1,871,134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19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units, net of shares withheld</w:t>
            </w:r>
          </w:p>
        </w:tc>
        <w:tc>
          <w:tcPr>
            <w:tcW w:w="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(85,740)</w:t>
            </w: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60,756</w:t>
            </w:r>
          </w:p>
        </w:tc>
        <w:tc>
          <w:tcPr>
            <w:tcW w:w="0" w:type="dxa"/>
            <w:vAlign w:val="bottom"/>
          </w:tcPr>
          <w:p>
            <w:pPr>
              <w:spacing w:after="0"/>
              <w:rPr>
                <w:sz w:val="1"/>
                <w:szCs w:val="1"/>
                <w:color w:val="auto"/>
              </w:rPr>
            </w:pPr>
          </w:p>
        </w:tc>
      </w:tr>
      <w:tr>
        <w:trPr>
          <w:trHeight w:val="146"/>
        </w:trPr>
        <w:tc>
          <w:tcPr>
            <w:tcW w:w="4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6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382,604,119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4,763,006</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(3,320,648)</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1,441,442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27,850</w:t>
            </w: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0" w:type="dxa"/>
            <w:vAlign w:val="bottom"/>
          </w:tcPr>
          <w:p>
            <w:pPr>
              <w:spacing w:after="0"/>
              <w:rPr>
                <w:sz w:val="1"/>
                <w:szCs w:val="1"/>
                <w:color w:val="auto"/>
              </w:rPr>
            </w:pPr>
          </w:p>
        </w:tc>
      </w:tr>
      <w:tr>
        <w:trPr>
          <w:trHeight w:val="146"/>
        </w:trPr>
        <w:tc>
          <w:tcPr>
            <w:tcW w:w="4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upon settlement of restricted stock</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2,551,100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98"/>
        </w:trPr>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net of shares withheld</w:t>
            </w:r>
          </w:p>
        </w:tc>
        <w:tc>
          <w:tcPr>
            <w:tcW w:w="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(7,322,737)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(136,334)</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charitable contribution</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69,400</w:t>
            </w:r>
          </w:p>
        </w:tc>
        <w:tc>
          <w:tcPr>
            <w:tcW w:w="0" w:type="dxa"/>
            <w:vAlign w:val="bottom"/>
          </w:tcPr>
          <w:p>
            <w:pPr>
              <w:spacing w:after="0"/>
              <w:rPr>
                <w:sz w:val="1"/>
                <w:szCs w:val="1"/>
                <w:color w:val="auto"/>
              </w:rPr>
            </w:pPr>
          </w:p>
        </w:tc>
      </w:tr>
      <w:tr>
        <w:trPr>
          <w:trHeight w:val="146"/>
        </w:trPr>
        <w:tc>
          <w:tcPr>
            <w:tcW w:w="4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6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378,671,760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4,698,137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(3,292,798)</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1,404,822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43,724</w:t>
            </w: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1,861,299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14,396</w:t>
            </w:r>
          </w:p>
        </w:tc>
        <w:tc>
          <w:tcPr>
            <w:tcW w:w="0" w:type="dxa"/>
            <w:vAlign w:val="bottom"/>
          </w:tcPr>
          <w:p>
            <w:pPr>
              <w:spacing w:after="0"/>
              <w:rPr>
                <w:sz w:val="1"/>
                <w:szCs w:val="1"/>
                <w:color w:val="auto"/>
              </w:rPr>
            </w:pPr>
          </w:p>
        </w:tc>
      </w:tr>
      <w:tr>
        <w:trPr>
          <w:trHeight w:val="146"/>
        </w:trPr>
        <w:tc>
          <w:tcPr>
            <w:tcW w:w="4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upon settlement of restricted stock</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2,472,934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198"/>
        </w:trPr>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 net of shares withheld</w:t>
            </w:r>
          </w:p>
        </w:tc>
        <w:tc>
          <w:tcPr>
            <w:tcW w:w="2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8,284</w:t>
            </w:r>
          </w:p>
        </w:tc>
        <w:tc>
          <w:tcPr>
            <w:tcW w:w="0" w:type="dxa"/>
            <w:vAlign w:val="bottom"/>
          </w:tcPr>
          <w:p>
            <w:pPr>
              <w:spacing w:after="0"/>
              <w:rPr>
                <w:sz w:val="1"/>
                <w:szCs w:val="1"/>
                <w:color w:val="auto"/>
              </w:rPr>
            </w:pPr>
          </w:p>
        </w:tc>
      </w:tr>
      <w:tr>
        <w:trPr>
          <w:trHeight w:val="19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plan</w:t>
            </w:r>
          </w:p>
        </w:tc>
        <w:tc>
          <w:tcPr>
            <w:tcW w:w="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charitable contribution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74,322</w:t>
            </w:r>
          </w:p>
        </w:tc>
        <w:tc>
          <w:tcPr>
            <w:tcW w:w="0" w:type="dxa"/>
            <w:vAlign w:val="bottom"/>
          </w:tcPr>
          <w:p>
            <w:pPr>
              <w:spacing w:after="0"/>
              <w:rPr>
                <w:sz w:val="1"/>
                <w:szCs w:val="1"/>
                <w:color w:val="auto"/>
              </w:rPr>
            </w:pPr>
          </w:p>
        </w:tc>
      </w:tr>
      <w:tr>
        <w:trPr>
          <w:trHeight w:val="139"/>
        </w:trPr>
        <w:tc>
          <w:tcPr>
            <w:tcW w:w="4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383,300,199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4,794,166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(3,249,074)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1,542,158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amounts listed above combine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880" w:type="dxa"/>
            <w:vAlign w:val="bottom"/>
            <w:tcBorders>
              <w:right w:val="single" w:sz="8" w:color="auto"/>
            </w:tcBorders>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88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09"/>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780" w:type="dxa"/>
            <w:vAlign w:val="bottom"/>
            <w:tcBorders>
              <w:bottom w:val="single" w:sz="8" w:color="auto"/>
            </w:tcBorders>
            <w:gridSpan w:val="4"/>
          </w:tcPr>
          <w:p>
            <w:pPr>
              <w:jc w:val="right"/>
              <w:ind w:right="328"/>
              <w:spacing w:after="0" w:line="11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tcBorders>
              <w:bottom w:val="single" w:sz="8" w:color="auto"/>
            </w:tcBorders>
            <w:gridSpan w:val="4"/>
          </w:tcPr>
          <w:p>
            <w:pPr>
              <w:jc w:val="right"/>
              <w:ind w:right="409"/>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74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258,464,156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2,890,121</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66,950,736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(1,930,600)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tcBorders>
              <w:top w:val="single" w:sz="8" w:color="CCEEFF"/>
            </w:tcBorders>
            <w:vMerge w:val="continue"/>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0" w:type="dxa"/>
            <w:vAlign w:val="bottom"/>
          </w:tcPr>
          <w:p>
            <w:pPr>
              <w:spacing w:after="0"/>
              <w:rPr>
                <w:sz w:val="1"/>
                <w:szCs w:val="1"/>
                <w:color w:val="auto"/>
              </w:rPr>
            </w:pPr>
          </w:p>
        </w:tc>
      </w:tr>
      <w:tr>
        <w:trPr>
          <w:trHeight w:val="146"/>
        </w:trPr>
        <w:tc>
          <w:tcPr>
            <w:tcW w:w="3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258,464,156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2,890,121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67,587,532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442,829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(2,351,229)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(1,908,104)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(923,376)</w:t>
            </w: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initial public</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30,700,765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770,585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770,588</w:t>
            </w:r>
          </w:p>
        </w:tc>
        <w:tc>
          <w:tcPr>
            <w:tcW w:w="0" w:type="dxa"/>
            <w:vAlign w:val="bottom"/>
          </w:tcPr>
          <w:p>
            <w:pPr>
              <w:spacing w:after="0"/>
              <w:rPr>
                <w:sz w:val="1"/>
                <w:szCs w:val="1"/>
                <w:color w:val="auto"/>
              </w:rPr>
            </w:pPr>
          </w:p>
        </w:tc>
      </w:tr>
      <w:tr>
        <w:trPr>
          <w:trHeight w:val="193"/>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Conversion of redeemable convertible preferred stock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(258,464,156)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(2,890,121)</w:t>
            </w:r>
          </w:p>
        </w:tc>
        <w:tc>
          <w:tcPr>
            <w:tcW w:w="100" w:type="dxa"/>
            <w:vAlign w:val="bottom"/>
            <w:tcBorders>
              <w:right w:val="single" w:sz="8" w:color="auto"/>
            </w:tcBorders>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258,667,796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2,890,095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2,890,121</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in connection with initial public offering</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settlement of restricted</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13,403,583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(322,619)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(322,619)</w:t>
            </w:r>
          </w:p>
        </w:tc>
        <w:tc>
          <w:tcPr>
            <w:tcW w:w="0" w:type="dxa"/>
            <w:vAlign w:val="bottom"/>
          </w:tcPr>
          <w:p>
            <w:pPr>
              <w:spacing w:after="0"/>
              <w:rPr>
                <w:sz w:val="1"/>
                <w:szCs w:val="1"/>
                <w:color w:val="auto"/>
              </w:rPr>
            </w:pPr>
          </w:p>
        </w:tc>
      </w:tr>
      <w:tr>
        <w:trPr>
          <w:trHeight w:val="193"/>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units, net of shares withheld</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charitable contribution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11,168</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910,320</w:t>
            </w: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3"/>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370,776,813</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4,702,788</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(3,274,605)</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1,428,098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785,350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upon settlement of restricted</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1,191,294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(25,453)</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units, net of shares withheld</w:t>
            </w: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(64,867)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85,516</w:t>
            </w: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accumulated other comprehensive income (loss),</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374,417,665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4,772,649</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(3,329,327)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1,443,274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40" w:hanging="332"/>
        <w:spacing w:after="0" w:line="27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of the Annual Report on Form 10-K for the year ended December 31, 2025 for more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1,003,598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charitable contribution</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11,168</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transaction dispute losses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product obligation</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41,575</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premium on marketable securities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Product collateral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(22,622)</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Settlements of the product obligation</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20,227</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(665,283)</w:t>
            </w: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sales of marketable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256,514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147,200</w:t>
            </w: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loans held for investment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(4,358,992)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(3,616,906)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Repayments of loans held for investment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3,547,726</w:t>
            </w: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property, equipment and software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 of internal-use software</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(344,483)</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Proceeds from the issuance of common stock upon initial public offering, net of underwriting discounts and offering</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771,239</w:t>
            </w:r>
          </w:p>
        </w:tc>
        <w:tc>
          <w:tcPr>
            <w:tcW w:w="0" w:type="dxa"/>
            <w:vAlign w:val="bottom"/>
          </w:tcPr>
          <w:p>
            <w:pPr>
              <w:spacing w:after="0"/>
              <w:rPr>
                <w:sz w:val="1"/>
                <w:szCs w:val="1"/>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costs paid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restricted stock units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(348,072)</w:t>
            </w:r>
          </w:p>
        </w:tc>
        <w:tc>
          <w:tcPr>
            <w:tcW w:w="0" w:type="dxa"/>
            <w:vAlign w:val="bottom"/>
          </w:tcPr>
          <w:p>
            <w:pPr>
              <w:spacing w:after="0"/>
              <w:rPr>
                <w:sz w:val="1"/>
                <w:szCs w:val="1"/>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borrowings under the warehouse facility</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432,958</w:t>
            </w:r>
          </w:p>
        </w:tc>
        <w:tc>
          <w:tcPr>
            <w:tcW w:w="0" w:type="dxa"/>
            <w:vAlign w:val="bottom"/>
          </w:tcPr>
          <w:p>
            <w:pPr>
              <w:spacing w:after="0"/>
              <w:rPr>
                <w:sz w:val="1"/>
                <w:szCs w:val="1"/>
                <w:color w:val="auto"/>
              </w:rPr>
            </w:pPr>
          </w:p>
        </w:tc>
      </w:tr>
      <w:tr>
        <w:trPr>
          <w:trHeight w:val="207"/>
        </w:trPr>
        <w:tc>
          <w:tcPr>
            <w:tcW w:w="81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0" w:type="dxa"/>
            <w:vAlign w:val="bottom"/>
          </w:tcPr>
          <w:p>
            <w:pPr>
              <w:spacing w:after="0"/>
              <w:rPr>
                <w:sz w:val="1"/>
                <w:szCs w:val="1"/>
                <w:color w:val="auto"/>
              </w:rPr>
            </w:pP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458,702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445,026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the period</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13,676</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the period</w:t>
            </w:r>
          </w:p>
        </w:tc>
        <w:tc>
          <w:tcPr>
            <w:tcW w:w="4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458,702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Supplementary cash flow disclosure: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 net of refunds received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offering costs not yet paid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deferred offering costs to additional paid-in capital upon initial public offering</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14,815</w:t>
            </w:r>
          </w:p>
        </w:tc>
      </w:tr>
      <w:tr>
        <w:trPr>
          <w:trHeight w:val="21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Conversion of redeemable convertible preferred stock to common stock in connection with initial public offering</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2,890,121</w:t>
            </w:r>
          </w:p>
        </w:tc>
      </w:tr>
      <w:tr>
        <w:trPr>
          <w:trHeight w:val="210"/>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spacing w:after="0" w:line="12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2012 and is headquartered in San Francisco, California with offices in Chicago, Illinois, and 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annual consolidated financial statements and notes included in our Annual Report on Form 10-K for the year ended December 31, 2025 (“2025 Form 10-K”).</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from those that were disclosed in its 2025 Form 10-K. 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and variable interest entities (“VIEs”) for which we are the primary beneficiary. All intercompany balances and transactions have been eliminated. The reporting currency of the Company is the U.S. Dollar.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condensed consolidated statements of operations as consolidated net income (loss). Revenue from external customers and significant segment expenses are presented in the Company's condensed consolidated statements of operations. The measure of segment assets is reported on the balance sheet as total consolidated assets. All long-lived assets are located in the United States, and all revenue is generated in the United States.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and the fair value of equity awards and stock-based compensation. These estimates are inherently subject to judgment. Actual results could differ from these estimates, and such differences may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w:t>
      </w:r>
    </w:p>
    <w:p>
      <w:pPr>
        <w:spacing w:after="0" w:line="1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maintained its product collateral with its bank partners based on contractual agreements with each bank partner. Product collateral consists of cash collateral accounts to provide each respective bank partner with protection against losses from certain products.</w:t>
      </w:r>
    </w:p>
    <w:p>
      <w:pPr>
        <w:spacing w:after="0" w:line="122"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there were no concentrations of investments in securities of the same issuer, except for U.S. government securities, which amounted to $527.4 million and $563.6 million, or 97% and 96% of the investments in marketable securities. All debt securities within the Company’s portfolio are investment-grade securities.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receivables outstanding from two bank partners, that represent 48% of receivables collectively (28% and 20% for each respective bank partner), and one card network partner that represented 48% of receivables. As of December 31, 2025, the Company had receivables outstanding from two bank partners, that represent 46% of receivables collectively (26% and 20% for each respective bank partner), and one card network partner that represented 50% of receivables.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which provides for a practical expedient to estimate credit losses related to accounts receivable and contract assets from revenue contracts accounted for in accordance with ASC 606 using information as of the balance sheet date. This ASU is effective for annual periods beginning after December 15, 2025 and early adoption is permitted. The Company adopted the amendments effective for the current fiscal year and the adoption did not have a material impact on the Company’s financial statements and related disclosures.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220): Disaggregation of Income Statement Expenses, </w:t>
      </w:r>
      <w:r>
        <w:rPr>
          <w:rFonts w:ascii="Times New Roman" w:cs="Times New Roman" w:eastAsia="Times New Roman" w:hAnsi="Times New Roman"/>
          <w:sz w:val="18"/>
          <w:szCs w:val="18"/>
          <w:color w:val="auto"/>
        </w:rPr>
        <w:t>which requires disclosure of additional information about specific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This ASU makes targeted improvements to the accounting for internal-use software costs, removing the previous “development stage” model and introducing a more judgment-based approach. This ASU is effective for annual reporting periods beginning after December 15, 2027 and provides for adoption on a prospective basis, with retrospective or modified retrospective application permitted. The Company is currently evaluating the impact of this ASU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products and services are offered only to members within the United States. The following table provides information about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disaggregated revenue streams: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1,104,569</w:t>
            </w:r>
          </w:p>
        </w:tc>
      </w:tr>
      <w:tr>
        <w:trPr>
          <w:trHeight w:val="229"/>
        </w:trPr>
        <w:tc>
          <w:tcPr>
            <w:tcW w:w="5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Platform-related revenue </w:t>
            </w:r>
            <w:r>
              <w:rPr>
                <w:rFonts w:ascii="Times New Roman" w:cs="Times New Roman" w:eastAsia="Times New Roman" w:hAnsi="Times New Roman"/>
                <w:sz w:val="23"/>
                <w:szCs w:val="23"/>
                <w:color w:val="auto"/>
                <w:vertAlign w:val="superscript"/>
              </w:rPr>
              <w:t>(1)(2)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485,843</w:t>
            </w:r>
          </w:p>
        </w:tc>
      </w:tr>
      <w:tr>
        <w:trPr>
          <w:trHeight w:val="248"/>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1,590,412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80" w:hanging="332"/>
        <w:spacing w:after="0" w:line="259"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three and nine months ended September 30, 2026, platform-related revenue included $173.6 million and $442.5 million that was not derived from contracts with customers. In the three and nine months ended September 30, 2025, platform-related revenue included $103.7 million and $261.4 million that was not derived from contracts with customers.</w:t>
      </w:r>
    </w:p>
    <w:p>
      <w:pPr>
        <w:ind w:left="340" w:right="40" w:hanging="332"/>
        <w:spacing w:after="0" w:line="26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three and nine months ended September 30, 2026, platform-related revenue included $136.4 million and $355.1 million related to MyPay receivables, which was comprised of $85.3 million and $222.1 million related to off-balance sheet MyPay receivables and $51.1 million and $133.0 million related to on-balance sheet MyPay receivables. In the three and nine months ended September 30, 2025, platform-related revenue included $88.4 million and $230.4 million related to MyPay receivables, which was comprised of $54.7 million and $141.8 million related to off-balance sheet MyPay receivables and $33.7 million and $88.6 million related to on-balance sheet MyPay receivables.</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for member-paid tips received prior to the expiration of the contractual refundable period. The deferred revenue balances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deferred revenue during the period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materially all revenue from amounts included in the opening deferred revenue balances for the nine months ended September 30, 2026. Changes in deferred revenue during the periods are driven by the increase in the amount of tips paid by members for using SpotMe.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measured at fair value on a recurring basis by level within the fair value hierarchy: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obligation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obligation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147,382</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the product obligation as 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w:t>
      </w:r>
    </w:p>
    <w:p>
      <w:pPr>
        <w:spacing w:after="0" w:line="1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for the product obligation measured at fair value on a recurring basis, weighted by the total unrecovered balance: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2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- 5.59%</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loss rate</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0.24% -100%</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458"/>
        </w:trPr>
        <w:tc>
          <w:tcPr>
            <w:tcW w:w="3520" w:type="dxa"/>
            <w:vAlign w:val="bottom"/>
          </w:tcPr>
          <w:p>
            <w:pPr>
              <w:spacing w:after="0"/>
              <w:rPr>
                <w:sz w:val="24"/>
                <w:szCs w:val="24"/>
                <w:color w:val="auto"/>
              </w:rPr>
            </w:pPr>
          </w:p>
        </w:tc>
        <w:tc>
          <w:tcPr>
            <w:tcW w:w="544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80" w:type="dxa"/>
            <w:vAlign w:val="bottom"/>
          </w:tcPr>
          <w:p>
            <w:pPr>
              <w:spacing w:after="0"/>
              <w:rPr>
                <w:sz w:val="24"/>
                <w:szCs w:val="24"/>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2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- 3.48%</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loss rate</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0.27% - 100%</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r>
    </w:tbl>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 Credit Obligations</w:t>
      </w:r>
      <w:r>
        <w:rPr>
          <w:rFonts w:ascii="Times New Roman" w:cs="Times New Roman" w:eastAsia="Times New Roman" w:hAnsi="Times New Roman"/>
          <w:sz w:val="18"/>
          <w:szCs w:val="18"/>
          <w:color w:val="auto"/>
        </w:rPr>
        <w:t xml:space="preserve"> for more information on the product obligation.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transfers between Level 1, Level 2, and Level 3 assets or liabilities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amortized cost, gross unrealized gains and losses, and fair value of the Company’s available for sale (“AFS”)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aggregated by investment category: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1"/>
                <w:szCs w:val="11"/>
                <w:color w:val="auto"/>
              </w:rPr>
            </w:pPr>
          </w:p>
        </w:tc>
        <w:tc>
          <w:tcPr>
            <w:tcW w:w="144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527,353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1"/>
                <w:szCs w:val="11"/>
                <w:color w:val="auto"/>
              </w:rPr>
            </w:pPr>
          </w:p>
        </w:tc>
        <w:tc>
          <w:tcPr>
            <w:tcW w:w="144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563,594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92 and nil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 cost of securities sold is based on the specific-identification method. There were no material realized gains or losses from marketable securities that were reclassified out of accumulated other comprehensive income for the three and nine months ended September 30, 2026 and 2025.</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gross unrealized losses and fair values for those investments that were in an unrealized loss position as of September 30, 2026, aggregated by investment category and the length of time that individual securities have been in a continuous loss position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220" w:type="dxa"/>
            <w:vAlign w:val="bottom"/>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7"/>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top w:val="single" w:sz="8" w:color="auto"/>
            </w:tcBorders>
            <w:gridSpan w:val="3"/>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535,066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7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There were no gross unrealized losses as of December 31, 2025.</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4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summarizes the Company’s marketable securities by contractual maturity:</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440,776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year to five years</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546,319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ACCOUNTS RECEIVABLE,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24"/>
                <w:szCs w:val="24"/>
                <w:color w:val="auto"/>
              </w:rPr>
            </w:pPr>
          </w:p>
        </w:tc>
        <w:tc>
          <w:tcPr>
            <w:tcW w:w="140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Receivables due from bank partners</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116,217</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incentive receivable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40" w:right="120" w:hanging="332"/>
        <w:spacing w:after="0" w:line="283"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due from bank partners are net of bank partner and network costs. As of September 30, 2026 and December 31, 2025, $92.3 million and $23.3 million of gross receivables due from bank partners were pledged as collateral.</w:t>
      </w:r>
    </w:p>
    <w:p>
      <w:pPr>
        <w:spacing w:after="0" w:line="3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allowance for credit losses on accounts receivable was not material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LOANS HELD FOR INVESTMENT,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Loans held for investment, net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148,221</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As of September 30, 2026, $101.7 million of loans held for investment are pledged as collateral under the warehouse credit facility. See Note 12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and Note 13</w:t>
      </w:r>
      <w:r>
        <w:rPr>
          <w:rFonts w:ascii="Times New Roman" w:cs="Times New Roman" w:eastAsia="Times New Roman" w:hAnsi="Times New Roman"/>
          <w:sz w:val="18"/>
          <w:szCs w:val="18"/>
          <w:i w:val="1"/>
          <w:iCs w:val="1"/>
          <w:color w:val="auto"/>
        </w:rPr>
        <w:t xml:space="preserve"> – Variable Interest Entities </w:t>
      </w:r>
      <w:r>
        <w:rPr>
          <w:rFonts w:ascii="Times New Roman" w:cs="Times New Roman" w:eastAsia="Times New Roman" w:hAnsi="Times New Roman"/>
          <w:sz w:val="18"/>
          <w:szCs w:val="18"/>
          <w:color w:val="auto"/>
        </w:rPr>
        <w:t>for more information.</w:t>
      </w:r>
    </w:p>
    <w:p>
      <w:pPr>
        <w:spacing w:after="0" w:line="10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Days from origination</w:t>
            </w: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1 - 30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64,779</w:t>
            </w:r>
          </w:p>
        </w:tc>
      </w:tr>
      <w:tr>
        <w:trPr>
          <w:trHeight w:val="229"/>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r>
      <w:tr>
        <w:trPr>
          <w:trHeight w:val="230"/>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61</w:t>
            </w:r>
          </w:p>
        </w:tc>
        <w:tc>
          <w:tcPr>
            <w:tcW w:w="7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r>
      <w:tr>
        <w:trPr>
          <w:trHeight w:val="229"/>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91</w:t>
            </w: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121 - 180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181 - 270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w:t>
            </w:r>
          </w:p>
        </w:tc>
      </w:tr>
      <w:tr>
        <w:trPr>
          <w:trHeight w:val="229"/>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270</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19,074</w:t>
            </w:r>
          </w:p>
        </w:tc>
      </w:tr>
      <w:tr>
        <w:trPr>
          <w:trHeight w:val="223"/>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148,221</w:t>
            </w:r>
          </w:p>
        </w:tc>
      </w:tr>
      <w:tr>
        <w:trPr>
          <w:trHeight w:val="20"/>
        </w:trPr>
        <w:tc>
          <w:tcPr>
            <w:tcW w:w="2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CREDIT OBLIGATIONS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credit obligations related to both on- and off-balance sheet receivables from members. Credit obligations related to MyPay and other loans held for investment on the Company’s balance sheets are recorded as an allowance for expected credit losses. Future expected cash flows, including credit obligations related to MyPay and Instant Loan receivables retained by the bank partners, SpotMe, and other instances where a member’s account is overdrawn are recorded as a product obligation on the condensed consolidated balance sheets.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allowance for expected credit losses on loans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changes in allowance for expected credit losses on loans held for investment:</w:t>
      </w:r>
    </w:p>
    <w:p>
      <w:pPr>
        <w:spacing w:after="0" w:line="20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collected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79,283</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began writing off loans held for investment during the second quarter in 2025, when such loans began aging beyond 365 days. Write-offs increased on a year over year basis as the population of loans meeting this criterion expanded.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Obligation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Company’s product obligation: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96"/>
        </w:trPr>
        <w:tc>
          <w:tcPr>
            <w:tcW w:w="4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114,377</w:t>
            </w:r>
          </w:p>
        </w:tc>
      </w:tr>
      <w:tr>
        <w:trPr>
          <w:trHeight w:val="230"/>
        </w:trPr>
        <w:tc>
          <w:tcPr>
            <w:tcW w:w="47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Change in fair value of product obligation</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41,575</w:t>
            </w: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134,302</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fair value of the product obligation was recorded on the condensed consolidated statements of operations as follows:</w:t>
      </w:r>
    </w:p>
    <w:p>
      <w:pPr>
        <w:spacing w:after="0" w:line="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5"/>
        </w:trPr>
        <w:tc>
          <w:tcPr>
            <w:tcW w:w="4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4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Off-balance sheet MyPay receivables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(85,302)</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(222,077)</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(141,849)</w:t>
            </w:r>
          </w:p>
        </w:tc>
      </w:tr>
      <w:tr>
        <w:trPr>
          <w:trHeight w:val="21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Instant Loans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(28,419)</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(10,723)</w:t>
            </w:r>
          </w:p>
        </w:tc>
      </w:tr>
      <w:tr>
        <w:trPr>
          <w:trHeight w:val="190"/>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recorded as revenue</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(285,105)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(152,572)</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and risk losses: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4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Off-balance sheet MyPay receivables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36,260</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29,636</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99,087</w:t>
            </w:r>
          </w:p>
        </w:tc>
      </w:tr>
      <w:tr>
        <w:trPr>
          <w:trHeight w:val="21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Instant Loans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14,054</w:t>
            </w:r>
          </w:p>
        </w:tc>
      </w:tr>
      <w:tr>
        <w:trPr>
          <w:trHeight w:val="196"/>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SpotMe and other negative balances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81,006</w:t>
            </w:r>
          </w:p>
        </w:tc>
      </w:tr>
      <w:tr>
        <w:trPr>
          <w:trHeight w:val="196"/>
        </w:trPr>
        <w:tc>
          <w:tcPr>
            <w:tcW w:w="4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recorded as transaction and risk losses</w:t>
            </w: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203,653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194,147</w:t>
            </w:r>
          </w:p>
        </w:tc>
      </w:tr>
      <w:tr>
        <w:trPr>
          <w:trHeight w:val="203"/>
        </w:trPr>
        <w:tc>
          <w:tcPr>
            <w:tcW w:w="41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change in fair value of the product obligation</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(29,170)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(81,452)</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41,575</w:t>
            </w:r>
          </w:p>
        </w:tc>
      </w:tr>
      <w:tr>
        <w:trPr>
          <w:trHeight w:val="20"/>
        </w:trPr>
        <w:tc>
          <w:tcPr>
            <w:tcW w:w="4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losses under its product obligation was $915.8 million and $722.3 million as of September 30, 2026 and December 31, 2025, which represent the total possible undiscounted amounts the Company could be required to pay, assuming no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EQUIPMENT, AND SOFTWARE,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79,429</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r>
      <w:tr>
        <w:trPr>
          <w:trHeight w:val="223"/>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(73,831)</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$7.9 million and $23.0 million for the three and nine months ended September 30, 2026, and $7.5 million and $22.2 million for the three and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BUSINESS COMBINATIONS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Stride Acquisition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8, 2026, the Company entered into an Agreement and Plan of Merger (the “Merger Agreement”) to acquire Central Service Corporation (“CSC”), the parent company of Stride Bank, National Association (“Stride”) (the “Stride Acquisition”). Upon closing, CSC will become a wholly-owned subsidiary of the Company. Following the closing, the Company intends to rename Stride as Chime Bank, N.A.</w:t>
      </w:r>
    </w:p>
    <w:p>
      <w:pPr>
        <w:spacing w:after="0" w:line="12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the Company will acquire CSC for approximately $590.0 million in cash, subject to customary purchase price adjustments, including deductions in respect of certain transaction expenses incurred by CSC, certain dividends paid by CSC prior to the closing of the transactions contemplated by the Merger Agreement and amounts paid to redeem the outstanding shares of CSC preferred stock. The Company expects to fund the purchase price with cash on hand. Immediately prior to the effective time of the Stride Acquisition, all outstanding shares of CSC preferred stock will be redeemed.</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Stride Acquisition is expected to close in the first half of 2027, subject to approvals by CSC’s shareholders (which has already been obtained), the Office of the Comptroller of the Currency and the Board of Governors of the Federal Reserve System, and the satisfaction of other customary closing conditions. Upon completion of the Stride Acquisition, the Company will become a bank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SIGNIFICANT BALANCE SHEET COMPONENTS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assets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3"/>
                <w:szCs w:val="13"/>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transaction dispute losses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incentive obligation, current portion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reconciliation of the beginning and ending accrued transaction dispute losses is as follows: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5"/>
        </w:trPr>
        <w:tc>
          <w:tcPr>
            <w:tcW w:w="4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transaction dispute losses, beginning of the period</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10,497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w:t>
            </w:r>
          </w:p>
        </w:tc>
      </w:tr>
      <w:tr>
        <w:trPr>
          <w:trHeight w:val="195"/>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transaction dispute losses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53,354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48,048</w:t>
            </w:r>
          </w:p>
        </w:tc>
      </w:tr>
      <w:tr>
        <w:trPr>
          <w:trHeight w:val="20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losses</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(47,991)</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(44,896)</w:t>
            </w:r>
          </w:p>
        </w:tc>
      </w:tr>
      <w:tr>
        <w:trPr>
          <w:trHeight w:val="20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transaction dispute losses, end of the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color w:val="auto"/>
              </w:rPr>
              <w:t>15,860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10,911</w:t>
            </w: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incentive obligation, net of current portion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48,804</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INDEBTEDNESS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Warehouse Facility</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2026, the Company established a trust (the “Trust”) to enter into a warehouse credit facility (the “Warehouse Facility”) with Goldman Sachs Lending Partners LLC. The Warehouse Facility has a maturity date of June 1, 2028 and is used to fund purchases of loans held for investment originated by certain bank partners. The facility provides for a total commitment amount of $200.0 million and an uncommitted amount of $300.0 million, for a total facility limit of $500.0 million. Uncommitted advances may be made at the lender’s sole and absolute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discretion. Borrowings under the Warehouse Facility are secured by certain of the loans held for investment. In connection with the Warehouse Facility, the Company maintains a reserve account, which is contractually constrained as to its withdrawal and use, and is included in restricted cash on the condensed consolidated balance sheet. As of September 30, 2026, $100.0 million was outstanding under the Warehouse Facility.</w:t>
      </w:r>
    </w:p>
    <w:p>
      <w:pPr>
        <w:spacing w:after="0" w:line="12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Loans under the Warehouse Facility bear interest at a benchmark rate based on the secured overnight financing rate (“Term SOFR”) for a one-month interest period, plus an applicable margin of 1.90%. The Term SOFR rate is at all times subject to a floor of 0.50%. The Trust is also obligated to pay a draw fee of 0.30% per annum on each incremental advance above $200.0 million and an unused commitment fee of 0.25% per annum on the undrawn committed amount.</w:t>
      </w:r>
    </w:p>
    <w:p>
      <w:pPr>
        <w:spacing w:after="0" w:line="12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2026 was $1.5 million and $1.7 million and was recorded within general and administrative expenses in the condensed consolidated statement of operations.</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Warehouse Facility contains certain customary affirmative and negative covenants and financial covenants including minimum liquidity and minimum tangible net worth. The Trust was in compliance with all covenants as of September 30, 2026.</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a $475.0 million senior secured revolving credit facility maturing on March 31, 2030 (the “credit facility”), which replaced its prior $125.0 million revolving credit facility. As of September 30, 2026, no funds have been drawn under the credit facility and the Company had letters of credit outstanding thereunder of $23.2 million.</w:t>
      </w:r>
    </w:p>
    <w:p>
      <w:pPr>
        <w:spacing w:after="0" w:line="1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Loans under the credit facility initially bear interest at the Company’s option of (i) an annual rate based on the forward-looking term rate based on the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w:t>
      </w:r>
    </w:p>
    <w:p>
      <w:pPr>
        <w:spacing w:after="0" w:line="135" w:lineRule="exact"/>
        <w:rPr>
          <w:sz w:val="20"/>
          <w:szCs w:val="20"/>
          <w:color w:val="auto"/>
        </w:rPr>
      </w:pPr>
    </w:p>
    <w:p>
      <w:pPr>
        <w:ind w:right="560" w:firstLine="324"/>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September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VARIABLE INTEREST ENTITIES</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2026, the Company established the Trust, which is a VIE, to enter into the Warehouse Facility. Refer to Note 12 </w:t>
      </w:r>
      <w:r>
        <w:rPr>
          <w:rFonts w:ascii="Times New Roman" w:cs="Times New Roman" w:eastAsia="Times New Roman" w:hAnsi="Times New Roman"/>
          <w:sz w:val="18"/>
          <w:szCs w:val="18"/>
          <w:i w:val="1"/>
          <w:iCs w:val="1"/>
          <w:color w:val="auto"/>
        </w:rPr>
        <w:t>– Indebtedness</w:t>
      </w:r>
      <w:r>
        <w:rPr>
          <w:rFonts w:ascii="Times New Roman" w:cs="Times New Roman" w:eastAsia="Times New Roman" w:hAnsi="Times New Roman"/>
          <w:sz w:val="18"/>
          <w:szCs w:val="18"/>
          <w:color w:val="auto"/>
        </w:rPr>
        <w:t xml:space="preserve"> for additional information. The Trust was formed for the limited purpose of purchasing loan receivables from the Company and pledging them as collateral to secure borrowings under the Warehouse Facility. The Company holds a significant interest in the Trust through its ownership of the residual beneficial interest, which is the first interest to absorb losses should the receivables not generate sufficient cash flows to satisfy more senior claims. The Company may be required to provide financial support to the Trust in the form of providing capital contributions to fund receivable purchases when the Trust lacks sufficient cash under the facility. The Company makes standard representations and warranties with respect to the loan receivables sold to the trust and may be required to repurchase certain loan receivables that fail to meet specified eligibility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is the primary beneficiary of the Trust because it or one of its consolidated subsidiaries has (i) the power to direct the activities that most significantly affect the Trust's economic performance through its continued involvement as servicer and administrator of the underlying loans, and (ii) the obligation to absorb losses and the right to receive benefits that could potentially be significant to the Trust through its first loss residual beneficial interest. Accordingly, the Company consolidates the Trust in its condensed consolidated financial statements.</w:t>
      </w:r>
    </w:p>
    <w:p>
      <w:pPr>
        <w:spacing w:after="0" w:line="126" w:lineRule="exact"/>
        <w:rPr>
          <w:sz w:val="20"/>
          <w:szCs w:val="20"/>
          <w:color w:val="auto"/>
        </w:rPr>
      </w:pPr>
    </w:p>
    <w:p>
      <w:pPr>
        <w:jc w:val="both"/>
        <w:ind w:right="48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carrying amounts of the Trust’s assets and liabilities included in the Company’s condensed consolidated balance sheets and excludes intercompany balances that eliminate upon consolidation. The creditors of the Trust have no recourse to the general credit of the Company and the assets of the Trust can only be used to settle obligations of the Trust.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of VIE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100,830</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of VIE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183,586</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of VIE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Warehouse facility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of VIE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w:t>
            </w:r>
          </w:p>
        </w:tc>
        <w:tc>
          <w:tcPr>
            <w:tcW w:w="0" w:type="dxa"/>
            <w:vAlign w:val="bottom"/>
          </w:tcPr>
          <w:p>
            <w:pPr>
              <w:spacing w:after="0"/>
              <w:rPr>
                <w:sz w:val="1"/>
                <w:szCs w:val="1"/>
                <w:color w:val="auto"/>
              </w:rPr>
            </w:pP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 of VIE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83,414</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COMMON STOCK AND STOCKHOLDERS’ EQUITY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no terms of the preferred stock have been designated, no shares of preferred stock were outstanding and the Company had no present plan to issue any shares of preferred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has three series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20 votes per share and is 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three and nine months ended September 30, 2026 and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Company’s initial public offering in 2025, the Company adopted the 2025 Equity Incentive Plan (the “2025 Plan”), and the Company’s 2012 Equity Incentive Plan (the “2012 Plan”) was terminated. Following the effectiveness of the 2025 Plan, no further awards have been or will be granted under the 2012 Plan, and all outstanding awards under the 2012 Plan continue to be governed by their existing terms. Under the 2025 Plan, the Company is authorized to grant incentive stock options (“ISOs”), within the meaning of Section 422 of the Code, to employees and employees of its parent and subsidiary corporations. The Company may also grant non-qualified stock options (“NSOs”), restricted stock awards (“RSAs”), restricted stock units (“RSUs”), performance stock units (“PSUs”), stock appreciation rights, and other performance awards to employees, directors, consultants, and employees and consultants of its parent and subsidiary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there were 57,017,986 shares of Class A common stock reserved for future issuance under the 2025 Plan.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Service-based stock options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stock option activity for the nine months ended September 30, 2026 is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Stock</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4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4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25,280,942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368,580</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September 30, 2026</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21,474,050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250,390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2024, the Company granted performance stock options to certain executives that were subject to both service-based and performance-based vesting conditions. As of September 30, 2026 and December 31, 2025, 400,000 options were outstanding at a weighted average exercise price of $17.35. As of September 30, 2026, 258,332 options were exercisable.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Service-Based RSAs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RSA activity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498,722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(109,051)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Performance-Based RSAs</w:t>
      </w:r>
    </w:p>
    <w:p>
      <w:pPr>
        <w:spacing w:after="0" w:line="17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7"/>
          <w:szCs w:val="17"/>
          <w:color w:val="auto"/>
        </w:rPr>
        <w:t>The Company has granted RSAs to certain employees which vest based upon the achievement of designated operational metrics and continued employment through the date the designated operational metrics are achieved. A summary of the Company’s performance-based RSA activity is as follows:</w:t>
      </w: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483,125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the Company’s service-based RSUs activity is as follows: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20,874,834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21,249,240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Vested and settled </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(7,138,688)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(5,502,673)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29,290,147</w:t>
            </w: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243,520 shares of common stock underlying RSUs that were withheld to cover taxes on the settlement of vested RSUs during the nine months ended September 30, 2026.</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Performance-based PSUs</w:t>
      </w:r>
    </w:p>
    <w:p>
      <w:pPr>
        <w:spacing w:after="0" w:line="17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Salt Labs, Inc. in 2024, certain employees were granted 1,929,943 PSUs, which vest based upon the achievement of designated operational metrics, continued employment through the date the designated operational metrics are achieved, and upon the occurrence of a liquidity event. The liquidity-based vesting condition was satisfied upon completion of the Company’s IPO.</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April 2025, the Co-Founders were granted 4,800,000 PSUs which vest based upon the achievement of growth and profit performance-based metrics, continued employment through the date the growth and profit performance-based condition is met, a service-based condition that is satisfied over four years, and upon the occurrence of a liquidity event. The liquidity-based vesting condition was satisfied upon completion of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performance-based PSU activity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80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6,669,297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Market-based PSUs</w:t>
      </w:r>
    </w:p>
    <w:p>
      <w:pPr>
        <w:spacing w:after="0" w:line="17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April 2025, the Co-Founders were granted 1,600,000 PSU awards which vest based upon the achievement of stock price hurdle market-based metrics, continued employment through the date the stock price hurdles are met, a service-based condition that is satisfied over four years, and upon the occurrence of a liquidity event. The liquidity-based vesting condition was satisfied upon completion of the Company’s IPO.</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1,400,000 PSUs were unvested. Of the 1,600,000 PSUs originally granted, 200,000 had vested but not yet settled during the nine months ended September 30, 2026 and none had been cancelled. The weighted-average grant date fair value per share of the awards is $23.96.</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 total of 12,623,409 shares of Class A common stock are reserved for sale under the 2025 Employee Stock Purchase Plan (the “ESPP”).</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the ESPP, eligible employees may contribute through payroll deductions, subject to plan limits, to purchase shares at a 15% discount under six-month offering periods. The plan includes a look-back feature based on the lower of the offering or purchase date stock price. Stock-based compensation expense is recognized on a straight-line basis over the offering period, with fair value measured at grant using the Black-Scholes model.</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initial offering period under the ESPP commenced on February 20, 2026 and ended on August 20, 2026. On August 20, 2026, the Company issued 466,106 shares of common stock to participating employees at a purchase price of $17.77 per share, for an aggregate purchase price of $8.3 million. The second offering period under the ESPP commenced on August 20, 2026 and will end on February 20, 2027. As of September 30, 2026, the Company recorded a liability of $2.3 million related to the accumulated payroll deductions, which is included within accrued expenses and other current liabilities in the condensed consolidated balance sheets.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stock-based compensation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62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09"/>
        </w:trPr>
        <w:tc>
          <w:tcPr>
            <w:tcW w:w="47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support and operations</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573,644</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252,354</w:t>
            </w: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$747.5 million of unrecognized stock based compensation expected to be recognized over a weighted average period of 2.88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NET INCOME (LOSS) PER SHARE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presents net income (loss) per share in conformity with the two-class method required for multiple classes of common stock and participating securities. Class A, Class B, and Class C common stock share proportionately, on a per share basis, in the Company’s net income (loss) and participate equally in the dividends on common stock, if declared. The Company allocates net income (loss) attributable to common stock between each class of common stock on a one-to-one basis when computing net income (loss) per share. As a result, basic and diluted net income (loss) per share for each class of common stock are equivalent. The Company considers redeemable convertible preferred stock, which was outstanding prior to the Company’s IPO, to be participating securities.</w:t>
      </w:r>
    </w:p>
    <w:p>
      <w:pPr>
        <w:spacing w:after="0" w:line="13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calculates basic net income (loss) per share attributable to common stockholders by dividing net income (loss) attributable to common stockholders by the weighted-average number of shares of common stock outstanding during the period. For the purpose of calculating weighted-average number of shares of common stock outstanding, common stock outstanding prior to the close of the Company’s IPO which were automatically reclassified into an equivalent number of shares of the Company’s Class A common stock upon the IPO have been retroactively adjusted to reflect the reclassification. Diluted net income (loss) per share is computed using the weighted-average number of shares common stock outstanding in each class, after giving consideration to the effect of potentially dilutive securities outstanding during the period, including stock options, unvested shares, and ESPP shares. The dilutive effect of potentially dilutive securities is determined using the treasury stock method. The computation of the diluted net income (loss) per share of Class A common stock assumes the conversion of Class B common stock, while the diluted net income (loss) per share of Class B common stock does not assume the conversion of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calculated basic and diluted net income (loss) per share attributable to common stockholders as follows (in thousands,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40,167</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114,645</w:t>
            </w:r>
          </w:p>
        </w:tc>
        <w:tc>
          <w:tcPr>
            <w:tcW w:w="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0" w:type="dxa"/>
            <w:vAlign w:val="bottom"/>
          </w:tcPr>
          <w:p>
            <w:pPr>
              <w:spacing w:after="0"/>
              <w:rPr>
                <w:sz w:val="1"/>
                <w:szCs w:val="1"/>
                <w:color w:val="auto"/>
              </w:rPr>
            </w:pPr>
          </w:p>
        </w:tc>
      </w:tr>
      <w:tr>
        <w:trPr>
          <w:trHeight w:val="19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Basic weighted-average</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349,712,704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30,967,320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380,680,024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349,088,328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31,620,696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380,709,024</w:t>
            </w: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40,167</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114,645</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common stockholders</w:t>
            </w: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Reallocation of net income to</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Class B common stock</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for 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Basic weighted-average</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349,712,704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30,967,320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380,680,024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349,088,328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31,620,696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380,709,024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Dilutive effect of potentially</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19,440,143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6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w w:val="99"/>
              </w:rPr>
              <w:t>19,440,143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17,293,054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17,293,054</w:t>
            </w:r>
          </w:p>
        </w:tc>
        <w:tc>
          <w:tcPr>
            <w:tcW w:w="0" w:type="dxa"/>
            <w:vAlign w:val="bottom"/>
          </w:tcPr>
          <w:p>
            <w:pPr>
              <w:spacing w:after="0"/>
              <w:rPr>
                <w:sz w:val="1"/>
                <w:szCs w:val="1"/>
                <w:color w:val="auto"/>
              </w:rPr>
            </w:pPr>
          </w:p>
        </w:tc>
      </w:tr>
      <w:tr>
        <w:trPr>
          <w:trHeight w:val="213"/>
        </w:trPr>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dilutive securities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Conversion of Class B to Class</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30,967,320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31,620,696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 common stock</w:t>
            </w: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Diluted weighted-average</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400,120,167</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30,967,320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w w:val="99"/>
              </w:rPr>
              <w:t>400,120,167</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398,002,078</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31,620,696</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398,002,078</w:t>
            </w: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 common</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(49,986)</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(54,722)</w:t>
            </w:r>
          </w:p>
        </w:tc>
        <w:tc>
          <w:tcPr>
            <w:tcW w:w="8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(899,019)</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(66,140)</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0" w:type="dxa"/>
            <w:vAlign w:val="bottom"/>
          </w:tcPr>
          <w:p>
            <w:pPr>
              <w:spacing w:after="0"/>
              <w:rPr>
                <w:sz w:val="1"/>
                <w:szCs w:val="1"/>
                <w:color w:val="auto"/>
              </w:rPr>
            </w:pPr>
          </w:p>
        </w:tc>
      </w:tr>
      <w:tr>
        <w:trPr>
          <w:trHeight w:val="194"/>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Basic weighted-average common</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339,647,683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32,182,289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371,829,972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176,259,941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12,967,223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189,227,164</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shares outstanding</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(54,722)</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(899,019)</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common stockholders</w:t>
            </w: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Reallocation of net income (loss) to</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(66,140)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Class B common stock</w:t>
            </w: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 for diluted EPS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(965,159)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Basic weighted-average common</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339,647,683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32,182,289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371,829,972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176,259,941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12,967,223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189,227,164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shares outstanding</w:t>
            </w: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Conversion of Class B to Class A</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32,182,289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12,967,223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800" w:type="dxa"/>
            <w:vAlign w:val="bottom"/>
            <w:tcBorders>
              <w:top w:val="single" w:sz="8" w:color="CCEEFF"/>
            </w:tcBorders>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color w:val="auto"/>
              </w:rPr>
              <w:t>Diluted weighted-average common</w:t>
            </w: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371,829,972</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32,182,289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371,829,972</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189,227,164</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12,967,223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189,227,164</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income (loss) per share because including them would have had an anti-dilutive effect, or issuance of such shares is contingent upon the satisfaction of certain conditions which were not satisfied at the end of the respective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3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70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7,277,247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31,822,783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7,277,247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31,822,783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service-based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8,014,094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22,303,344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8,014,094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22,303,344</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performance-based 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6,102,763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6,669,297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6,102,763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6,669,297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market-based PSUs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1,044,189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1,044,189</w:t>
            </w:r>
          </w:p>
        </w:tc>
      </w:tr>
      <w:tr>
        <w:trPr>
          <w:trHeight w:val="22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23,115,460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63,439,613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23,115,460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63,439,613</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Related party transactions may include any transaction between the Company and parties that control, are controlled by, or are under common control with the Company, as well as other related parties. The Company has defined related parties as members of the board of directors, executive officers, principal owners of the Company’s outstanding stock, and any immediate family members of each such related party, as well as any entity for which the aforementioned individuals exercise significant influence over or control.</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established the Chime Scholars Foundation (the “Foundation”), a non-controlled nonprofit organization formed for the purpose of distributing charitable donations to recipients generally located in the communities the Company serves. In connection with this initiative, the Company entered into an agreement to gift 3,210,192 shares of the Company’s Class A common stock to the Foundation. In March 2026, the agreement was amended to provide for quarterly, rather than annual, share transfers beginning in the second quarter of 2026. The Company gifted 80,254 and 160,509 shares of the Company’s Class A common stock in the three and nine months ended September 30, 2026 and gifted nil and 321,019 shares of the Company’s Class A common stock in the three and nine months ended September 30, 2025. The Company recognized $1.7 million and $3.2 million in the three and nine months ended September 30, 2026. During the nine months ended September 30, 2025, the Company recognized $11.2 million of stock-based charitable contribution for the fair value of donated shares, based on the closing stock price on the day of donation, within general and administrative expenses in the condensed consolidated statement of operations.</w:t>
      </w:r>
    </w:p>
    <w:p>
      <w:pPr>
        <w:spacing w:after="0" w:line="13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Cash donations are recognized as expenses when paid to the Foundation. There were no cash donations during the three and nine months ended September 30, 2026. During the three and nine months ended September 30, 2025, cash donations were $2.3 million and $3.0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RESTRUCTURING</w:t>
      </w:r>
    </w:p>
    <w:p>
      <w:pPr>
        <w:spacing w:after="0" w:line="17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On July 31, 2026, the Company committed to a reorganization (the “Restructuring”) to better align the Company’s personnel with its strategic priorities, improve operational efficiency, and position the Company for continued growth.</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Restructuring involved the reduction of approximately 9% of the Company’s total workforce. The Company recorded $17.1 million in net cash restructuring charges primarily relating to one-time employee-related wages, severance, and benefits costs in the three and nine months ended September 30, 2026. The following table summarizes the total net cash restructuring charges:</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Member support and operations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and Nine Months Ended</w:t>
      </w: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-5376545</wp:posOffset>
            </wp:positionH>
            <wp:positionV relativeFrom="paragraph">
              <wp:posOffset>8890</wp:posOffset>
            </wp:positionV>
            <wp:extent cx="684911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911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9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9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r>
      <w:tr>
        <w:trPr>
          <w:trHeight w:val="234"/>
        </w:trPr>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3"/>
        </w:trPr>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-5376545</wp:posOffset>
            </wp:positionH>
            <wp:positionV relativeFrom="paragraph">
              <wp:posOffset>-479425</wp:posOffset>
            </wp:positionV>
            <wp:extent cx="684911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9110" cy="146050"/>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-187960</wp:posOffset>
            </wp:positionV>
            <wp:extent cx="684911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420"/>
          </w:cols>
          <w:pgMar w:left="320" w:top="360" w:right="359" w:bottom="1440" w:gutter="0" w:footer="0" w:header="0"/>
          <w:type w:val="continuous"/>
        </w:sectPr>
      </w:pPr>
    </w:p>
    <w:p>
      <w:pPr>
        <w:spacing w:after="0" w:line="3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$8.1 million of the cash restructuring charges had been paid, with the remaining expected to be paid in the fourth quarter of 2026.</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stock-based compensation, also as part of the Restructuring, the Company allowed a portion of the affected employees’ stock awards to vest that otherwise would have required continued service. However, as a result of the reversal of stock-based compensation expense that had been previously recognized (under the accelerated attribution method, generally) for the forfeited portions of the impacted employees’ stock awards, the Company recognized $9.5 million of net reduction to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4"/>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43,974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(54,442)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125,948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(964,374)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9"/>
                <w:szCs w:val="19"/>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(“ETR”), adjusted for discrete items arising in the period. In each quarter, the Company updates its estimated annual ETR and makes a year-to-date calculation of the provision.</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ETR was 0.6% and 0.7% for the three and nine months ended September 30, 2026. The primary difference between the ETR and the federal statutory tax rate for each period was due to the non-deductible executive compensation, the excess tax benefits from stock-based compensation and valuation allowance on the Company’s deferred tax assets. Tax expense for the three and nine months ended September 30, 2026 was primarily due to certain state taxes.</w:t>
      </w:r>
    </w:p>
    <w:p>
      <w:pPr>
        <w:spacing w:after="0" w:line="12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ETR was (0.5)% and (0.1)% for the three and nine months ended September 30, 2025. The primary difference between the ETR and the federal statutory tax rate for each period was due to the non-deductible executive compensation, the excess tax benefits from stock-based compensation and valuation allowance on the Company’s deferred tax assets. Tax expense for the three and nine months ended September 30, 2025 was primarily due to certain state taxes.</w:t>
      </w:r>
    </w:p>
    <w:p>
      <w:pPr>
        <w:spacing w:after="0" w:line="12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Management reviews all available positive and negative evidence in assessing the realizability of deferred tax assets. As of September 30, 2026, the Company maintained a full valuation allowance against the net deferred tax assets in applicable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7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under operating leases that expire at various dates. The most significant of these operating leases is the corporate headquarters in San Francisco, California. For the three and nine months ended September 30, 2026, rent expense for all operating leases was $3.9 million and $12.0 million. For the three and nine months ended September 30, 2025, rent expense for all operating leases was $3.7 million and $9.1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operating lease costs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680" w:type="dxa"/>
            <w:vAlign w:val="bottom"/>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costs</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operating lease costs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Variable operating lease costs are primarily related to payments made to the Company’s landlords for common area maintenance, property taxes, insurance,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CHIME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ratios, or as noted)</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flows related to leases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860" w:type="dxa"/>
            <w:vAlign w:val="bottom"/>
            <w:gridSpan w:val="4"/>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09"/>
        </w:trPr>
        <w:tc>
          <w:tcPr>
            <w:tcW w:w="4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operating lease 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If the reasonable estimate is a range and no amount within that range is considered a better estimate than any other amount, an accrual is recorded based on the bottom amount of the range. Loss contingencies that are reasonably possible of occurrence are subject to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Annual Report on Form 10-K for the year ended December 31, 2025 (“2025 Form 10-K”).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Financial data as of and for the three and nine months ended September 30, 2026 and 2025 has been derived from our unaudited condensed consolidated financial statements appearing at the beginning of this Quarterly Report.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created Chime to help Americans make progress in their financial lives. For too long, millions of people in our country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Americans’ most critical financial needs across spending, saving, accessing liquidity, building credit, and investing, all while avoiding punitive fees.</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Through our broad suite of products, we have built trusted relationships with 10.9 million Active Members as of September 30, 2026. The majority of our Active Members rely on Chime to serve as their primary financial relationship, which we believe is among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 As our product suite expands, we are meeting more of our members’ financial needs and attracting higher-income consumers. Our opportunity extends across a broad range of incomes, including Americans earning up to $200,000 annually, who want greater value, convenience and control over their money.</w:t>
      </w:r>
    </w:p>
    <w:p>
      <w:pPr>
        <w:spacing w:after="0" w:line="133"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bold in our ambition to build a generational consumer brand that empowers Americans to make progress in their financial journeys.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Stride Acquisition</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September 8, 2026, we entered into an Agreement and Plan of Merger (the “Merger Agreement”) to acquire Central Service Corporation (“CSC”), the parent company of Stride Bank, National Association (“Stride”), for $590.0 million in cash, subject to customary purchase price adjustments (the “Stride Acquisition”). Stride has been one of our partner banks for more than seven years. Upon closing, we intend to rename Stride as Chime Bank, N.A., which we will operate as our wholly-owned subsidiary. We expect to fund the purchase price with cash on hand.</w:t>
      </w:r>
    </w:p>
    <w:p>
      <w:pPr>
        <w:spacing w:after="0" w:line="12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Stride Acquisition is expected to close in the first half of 2027, subject to approvals by the Office of the Comptroller of the Currency and the Board of Governors of the Federal Reserve System and the satisfaction of other customary closing conditions. There can be no assurance that the Stride Acquisition will be completed on the anticipated timeline or at all.</w:t>
      </w:r>
    </w:p>
    <w:p>
      <w:pPr>
        <w:spacing w:after="0" w:line="12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Upon completion of the Stride Acquisition, we will become a bank holding company. We expect that owning our bank will reduce our reliance on third-party partner banks, lower partner bank fees and our cost of funds, and allow us to integrate our technology platform more closely with our banking operations. We will also become subject to supervision by the Federal Reserve and to additional regulatory requirements, including capital, liquidity and compliance requirements, which will increase our costs. For additional information, see Note 10 </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xml:space="preserve"> and the section titled “Risks Related to the Pending Stride Acquisition” in Part II, Item 1A, “Risk Factors.”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July 31, 2026, we committed to a reorganization (the “Restructuring”) to better align our personnel with our strategic priorities, improve operational efficiency, and position us for continued growth. The Restructuring involved the reduction of approximately 9% of our total workforce. See Note 18 </w:t>
      </w:r>
      <w:r>
        <w:rPr>
          <w:rFonts w:ascii="Times New Roman" w:cs="Times New Roman" w:eastAsia="Times New Roman" w:hAnsi="Times New Roman"/>
          <w:sz w:val="18"/>
          <w:szCs w:val="18"/>
          <w:i w:val="1"/>
          <w:iCs w:val="1"/>
          <w:color w:val="auto"/>
        </w:rPr>
        <w:t>– Restructuring</w:t>
      </w:r>
      <w:r>
        <w:rPr>
          <w:rFonts w:ascii="Times New Roman" w:cs="Times New Roman" w:eastAsia="Times New Roman" w:hAnsi="Times New Roman"/>
          <w:sz w:val="18"/>
          <w:szCs w:val="18"/>
          <w:color w:val="auto"/>
        </w:rPr>
        <w:t xml:space="preserve"> within the notes to our condensed consolidated financial statements included in this Quarterly Report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review several operating and financial metrics, including the key metrics set forth below, to help us evaluate our business and growth trends, establish budgets, evaluate the effectiveness of our investments, and assess 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620" w:type="dxa"/>
            <w:vAlign w:val="bottom"/>
            <w:gridSpan w:val="4"/>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1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Average Revenue per Active Member)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Volume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115,221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Volume</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Instant Loans, sending or receiving funds with Pay Anyone, outbound instant transfers, and other types of ACH or direct debit transfers. Purchase Volume exhibits seasonality, most prominently in the first quarter of each year due to increased spending following our members’ receipt of tax refunds.</w:t>
      </w:r>
    </w:p>
    <w:tbl>
      <w:tblPr>
        <w:tblLayout w:type="fixed"/>
        <w:tblInd w:w="0" w:type="dxa"/>
        <w:tblCellMar>
          <w:top w:w="0" w:type="dxa"/>
          <w:left w:w="0" w:type="dxa"/>
          <w:bottom w:w="0" w:type="dxa"/>
          <w:right w:w="0" w:type="dxa"/>
        </w:tblCellMar>
      </w:tblPr>
      <w:tr>
        <w:trPr>
          <w:trHeight w:val="180"/>
        </w:trPr>
        <w:tc>
          <w:tcPr>
            <w:tcW w:w="7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center"/>
              <w:ind w:right="279"/>
              <w:spacing w:after="0" w:line="180"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11"/>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Average Revenue per Active Member)</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Active Members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34"/>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Revenue per Active Member (ARPAM)</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Active Members</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or repaying a MyPay advance or an Instant Loan.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Average Revenue per Active Member (“ARPAM”)</w:t>
      </w:r>
    </w:p>
    <w:p>
      <w:pPr>
        <w:spacing w:after="0" w:line="173" w:lineRule="exact"/>
        <w:rPr>
          <w:sz w:val="20"/>
          <w:szCs w:val="20"/>
          <w:color w:val="auto"/>
        </w:rPr>
      </w:pPr>
    </w:p>
    <w:p>
      <w:pPr>
        <w:jc w:val="both"/>
        <w:ind w:right="400" w:firstLine="324"/>
        <w:spacing w:after="0" w:line="256" w:lineRule="auto"/>
        <w:rPr>
          <w:sz w:val="20"/>
          <w:szCs w:val="20"/>
          <w:color w:val="auto"/>
        </w:rPr>
      </w:pPr>
      <w:r>
        <w:rPr>
          <w:rFonts w:ascii="Times New Roman" w:cs="Times New Roman" w:eastAsia="Times New Roman" w:hAnsi="Times New Roman"/>
          <w:sz w:val="18"/>
          <w:szCs w:val="18"/>
          <w:color w:val="auto"/>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certain non-GAAP financial measures, as described below, to facilitate analysis of our financial trends and for internal planning and forecasting purposes.</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use transaction profit, transaction margin, adjusted EBITDA, and adjusted EBITDA margin in conjunction with GAAP measures to evaluate our operating performance, formulate business plans, prepare budgets and forecasts, and make strategic decisions.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Profit and Transaction Margin</w:t>
      </w:r>
    </w:p>
    <w:p>
      <w:pPr>
        <w:spacing w:after="0" w:line="17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gross profit to transaction profit: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tcPr>
          <w:p>
            <w:pPr>
              <w:spacing w:after="0"/>
              <w:rPr>
                <w:sz w:val="16"/>
                <w:szCs w:val="16"/>
                <w:color w:val="auto"/>
              </w:rPr>
            </w:pPr>
          </w:p>
        </w:tc>
      </w:tr>
      <w:tr>
        <w:trPr>
          <w:trHeight w:val="214"/>
        </w:trPr>
        <w:tc>
          <w:tcPr>
            <w:tcW w:w="4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1"/>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646,065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474,118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1,821,251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1,393,473</w:t>
            </w:r>
          </w:p>
        </w:tc>
      </w:tr>
      <w:tr>
        <w:trPr>
          <w:trHeight w:val="21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for: Transaction and risk losses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115,614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97,053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307,806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304,445</w:t>
            </w:r>
          </w:p>
        </w:tc>
      </w:tr>
      <w:tr>
        <w:trPr>
          <w:trHeight w:val="209"/>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profit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530,451</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377,065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1,513,445</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1,089,028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margin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each of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80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11"/>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(54,722)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125,030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(965,159)</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margin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22,183</w:t>
            </w:r>
          </w:p>
        </w:tc>
      </w:tr>
      <w:tr>
        <w:trPr>
          <w:trHeight w:val="219"/>
        </w:trPr>
        <w:tc>
          <w:tcPr>
            <w:tcW w:w="48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(income) expense, net</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(24,140)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(21,837)</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785</w:t>
            </w:r>
          </w:p>
        </w:tc>
      </w:tr>
      <w:tr>
        <w:trPr>
          <w:trHeight w:val="21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and related payroll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76,276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212,290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1,022,711</w:t>
            </w:r>
          </w:p>
        </w:tc>
      </w:tr>
      <w:tr>
        <w:trPr>
          <w:trHeight w:val="213"/>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charitable contribution expense</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11,168</w:t>
            </w:r>
          </w:p>
        </w:tc>
      </w:tr>
      <w:tr>
        <w:trPr>
          <w:trHeight w:val="219"/>
        </w:trPr>
        <w:tc>
          <w:tcPr>
            <w:tcW w:w="48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Restructuring charges</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137,309</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28,757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357,525</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69,851</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interest income, which consists of interest and dividends earned on our cash and cash equivalents and marketable securities.</w:t>
      </w:r>
    </w:p>
    <w:p>
      <w:pPr>
        <w:spacing w:after="0" w:line="11" w:lineRule="exact"/>
        <w:rPr>
          <w:rFonts w:ascii="Times New Roman" w:cs="Times New Roman" w:eastAsia="Times New Roman" w:hAnsi="Times New Roman"/>
          <w:sz w:val="14"/>
          <w:szCs w:val="14"/>
          <w:color w:val="auto"/>
        </w:rPr>
      </w:pPr>
    </w:p>
    <w:p>
      <w:pPr>
        <w:ind w:left="340" w:right="240" w:hanging="332"/>
        <w:spacing w:after="0" w:line="29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three and nine months ended September 30, 2026, includes cash charges for employee-related wages, benefits and severance. See Note 18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xml:space="preserve"> within the notes to our condensed consolidated financial statements included in this Quarterly Report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 Interchange-based fees from credit card transactions tend to be higher than interchange-based fees from debit card transactions, resulting in higher payments revenue recognized from the same amount of Purchase Volume. Card networks set the rates for interchange fees, which are generally determined as a percentage of the underlying transaction value plus a fixed amount per transaction, and may be influenced by competitive and regulatory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the second quarter of 2026, we launched Chime Prime, our premium membership tier. Chime Prime offers members cash back on a spending category of choice, which is recorded as a reduction of revenue.</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To deliver payment services to members, we contract with our bank partners to provide Chime members with access to deposit products and services such as full-featured, FDIC-insured checking accounts, debit cards, and secured credit cards.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earn platform-related revenue from other products offered to our members that provide additional convenience, financial management tools, and access to liquidity. These products include MyPay, ATMs, outbound instant transfers, third-party partnerships, SpotMe, cash deposits, Instant Loans, and high-yield savings accounts.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MyPay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spacing w:after="0" w:line="1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offer our members access to a network of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spacing w:after="0" w:line="12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Outbound instant transfers allow members to instantly transfer funds from their Chime account to an external account at a fixed rate. Revenue is recognized at a point in time on a gross basis when the transfer of funds is settled.</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w:t>
      </w:r>
    </w:p>
    <w:p>
      <w:pPr>
        <w:spacing w:after="0" w:line="12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SpotMe is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spacing w:after="0" w:line="12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Instant Loans product allows members to borrow funds that are repaid in equal installments over a set period of time. Instant Loans have a fixed interest rate with no late fees or compound interest. Our bank partner is the legal lender of the Instant Loan product. We earn revenue related to Instant Loans based on the interest charged to members, net of fees paid to the bank partner, at an amount that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14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offer our members access to high-yield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consists primarily of transaction processing and bank partner costs, and card and ATM network expenses, net of incentives.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Processing and Bank Partner Costs</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Transaction processing and bank partner costs include expenses relating to our internally-developed payment processor and ledger, ChimeCore. Costs associated with ChimeCore primarily consist of gateway processing costs, which are generally based on a fixed amount per transaction, which varies by transaction type, and cloud infrastructure and hosting costs.</w:t>
      </w:r>
    </w:p>
    <w:p>
      <w:pPr>
        <w:spacing w:after="0" w:line="17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Prior to November 2025, we relied on a third-party processor to perform transaction authorization, settlement, payments, adjustments, and other account-level processing, as well as to maintain member account information and provide transaction reporting. Fees paid to the third-party processor were generally based on a fixed amount per transaction, subject to volume-based discounts.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 processing and bank partner costs also include amortization of internal-use software related to supporting revenue-generating platforms.</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in which the percentage generally decreases with scale.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Card and ATM Network Expenses, Net of Incentives</w:t>
      </w:r>
    </w:p>
    <w:p>
      <w:pPr>
        <w:spacing w:after="0" w:line="1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pay card and ATM networks for providing the worldwide networks through which card payment, ATM transactions, and other money movements such as inbound and outbound transfers are authorized, processed, and settled. These fees are generally based on Purchase Volume, the total number of transactions in the period, and other money movement volume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consists of our total revenue minus total cost of revenue.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and Risk Losses</w:t>
      </w:r>
    </w:p>
    <w:p>
      <w:pPr>
        <w:spacing w:after="0" w:line="17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Transaction and risk losses primarily consist of losses relating to liquidity products both on- and off-balance sheet, overdrawn member accounts, and transaction dispute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Losses relating to our off-balance sheet receivables that are retained by bank partners and relate to MyPay, Instant Loans,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spacing w:after="0" w:line="1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allowance for credit losses relating to MyPay and other receivables we purchase, which are reflected on our balance sheet as loans held for investment, are recorded as a provision for credit losses within transaction and risk losses.</w:t>
      </w:r>
    </w:p>
    <w:p>
      <w:pPr>
        <w:spacing w:after="0" w:line="10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Transaction dispute losses result from member-initiated disputes with merchants or due to processing fraudulent transactions. We estimate the provision for transaction dispute losses each period based on current period data points and historical trends related to loss rates.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and Operations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include the costs of the third-party vendors we use for certain member support and loss prevention services, the costs of physical card issuance, software to help manage member interactions, and member onboarding, activation,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general marketing and promotional activities, including advertising costs associated with the production and communication of advertisements in various media outlets, referral bonuses given to prospective and existing members with certain qualifying conditions, and other promotional activities. Sales and marketing expenses also include personnel-related expenses including salaries, employee benefit costs, and stock-based compensation for employees engaged in sales and marketing functions and allocated overhead.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7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expenses primarily consist of amortization of our capitalized software and depreciation on our property and equipment.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interest income, which consists of interest and dividends earned on our cash and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7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operations data for each of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620" w:type="dxa"/>
            <w:vAlign w:val="bottom"/>
            <w:gridSpan w:val="7"/>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620" w:type="dxa"/>
            <w:vAlign w:val="bottom"/>
            <w:gridSpan w:val="7"/>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lef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top w:val="single" w:sz="8" w:color="auto"/>
              <w:bottom w:val="single" w:sz="8" w:color="auto"/>
            </w:tcBorders>
          </w:tcPr>
          <w:p>
            <w:pPr>
              <w:spacing w:after="0"/>
              <w:rPr>
                <w:sz w:val="18"/>
                <w:szCs w:val="18"/>
                <w:color w:val="auto"/>
              </w:rPr>
            </w:pPr>
          </w:p>
        </w:tc>
      </w:tr>
      <w:tr>
        <w:trPr>
          <w:trHeight w:val="22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2,035,156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1,590,412</w:t>
            </w:r>
          </w:p>
        </w:tc>
      </w:tr>
      <w:tr>
        <w:trPr>
          <w:trHeight w:val="230"/>
        </w:trPr>
        <w:tc>
          <w:tcPr>
            <w:tcW w:w="54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213,905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196,939</w:t>
            </w:r>
          </w:p>
        </w:tc>
      </w:tr>
      <w:tr>
        <w:trPr>
          <w:trHeight w:val="223"/>
        </w:trPr>
        <w:tc>
          <w:tcPr>
            <w:tcW w:w="340" w:type="dxa"/>
            <w:vAlign w:val="bottom"/>
            <w:shd w:val="clear" w:color="auto" w:fill="CCEEFF"/>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1,821,251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1,393,473</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risk losses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307,806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304,445</w:t>
            </w:r>
          </w:p>
        </w:tc>
      </w:tr>
      <w:tr>
        <w:trPr>
          <w:trHeight w:val="229"/>
        </w:trPr>
        <w:tc>
          <w:tcPr>
            <w:tcW w:w="54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Member support and operations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309,753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365,364</w:t>
            </w:r>
          </w:p>
        </w:tc>
      </w:tr>
      <w:tr>
        <w:trPr>
          <w:trHeight w:val="230"/>
        </w:trPr>
        <w:tc>
          <w:tcPr>
            <w:tcW w:w="54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498,055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471,187</w:t>
            </w:r>
          </w:p>
        </w:tc>
      </w:tr>
      <w:tr>
        <w:trPr>
          <w:trHeight w:val="229"/>
        </w:trPr>
        <w:tc>
          <w:tcPr>
            <w:tcW w:w="54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Technology and development</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341,325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823,578</w:t>
            </w:r>
          </w:p>
        </w:tc>
      </w:tr>
      <w:tr>
        <w:trPr>
          <w:trHeight w:val="230"/>
        </w:trPr>
        <w:tc>
          <w:tcPr>
            <w:tcW w:w="54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249,310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403,415</w:t>
            </w:r>
          </w:p>
        </w:tc>
      </w:tr>
      <w:tr>
        <w:trPr>
          <w:trHeight w:val="229"/>
        </w:trPr>
        <w:tc>
          <w:tcPr>
            <w:tcW w:w="540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13,194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11,695</w:t>
            </w:r>
          </w:p>
        </w:tc>
      </w:tr>
      <w:tr>
        <w:trPr>
          <w:trHeight w:val="223"/>
        </w:trPr>
        <w:tc>
          <w:tcPr>
            <w:tcW w:w="340" w:type="dxa"/>
            <w:vAlign w:val="bottom"/>
            <w:shd w:val="clear" w:color="auto" w:fill="CCEEFF"/>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1,719,443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2,379,684</w:t>
            </w:r>
          </w:p>
        </w:tc>
      </w:tr>
      <w:tr>
        <w:trPr>
          <w:trHeight w:val="223"/>
        </w:trPr>
        <w:tc>
          <w:tcPr>
            <w:tcW w:w="34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101,808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(986,211)</w:t>
            </w:r>
          </w:p>
        </w:tc>
      </w:tr>
      <w:tr>
        <w:trPr>
          <w:trHeight w:val="230"/>
        </w:trPr>
        <w:tc>
          <w:tcPr>
            <w:tcW w:w="5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24,140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21,837</w:t>
            </w:r>
          </w:p>
        </w:tc>
      </w:tr>
      <w:tr>
        <w:trPr>
          <w:trHeight w:val="223"/>
        </w:trPr>
        <w:tc>
          <w:tcPr>
            <w:tcW w:w="34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125,948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(964,374)</w:t>
            </w:r>
          </w:p>
        </w:tc>
      </w:tr>
      <w:tr>
        <w:trPr>
          <w:trHeight w:val="23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34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125,030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(965,159)</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97"/>
        </w:trPr>
        <w:tc>
          <w:tcPr>
            <w:tcW w:w="54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340" w:type="dxa"/>
            <w:vAlign w:val="bottom"/>
            <w:shd w:val="clear" w:color="auto" w:fill="CCEEFF"/>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r>
      <w:tr>
        <w:trPr>
          <w:trHeight w:val="175"/>
        </w:trPr>
        <w:tc>
          <w:tcPr>
            <w:tcW w:w="5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outstanding used to</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4"/>
        </w:trPr>
        <w:tc>
          <w:tcPr>
            <w:tcW w:w="540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compute net income (loss) per share attributable to common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340" w:type="dxa"/>
            <w:vAlign w:val="bottom"/>
            <w:shd w:val="clear" w:color="auto" w:fill="CCEEFF"/>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380,680,024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371,829,972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380,709,024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189,227,164</w:t>
            </w:r>
          </w:p>
        </w:tc>
      </w:tr>
      <w:tr>
        <w:trPr>
          <w:trHeight w:val="234"/>
        </w:trPr>
        <w:tc>
          <w:tcPr>
            <w:tcW w:w="3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400,120,167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371,829,972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398,002,078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189,227,164</w:t>
            </w: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88"/>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Total depreciation and amortization includes amounts as follows: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36"/>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262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recorded in cost of revenue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4"/>
                <w:szCs w:val="14"/>
                <w:color w:val="auto"/>
              </w:rPr>
              <w:t>10,488</w:t>
            </w:r>
          </w:p>
        </w:tc>
        <w:tc>
          <w:tcPr>
            <w:tcW w:w="4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recorded as operating expense</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4,729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w w:val="98"/>
              </w:rPr>
              <w:t>11,695</w:t>
            </w:r>
          </w:p>
        </w:tc>
        <w:tc>
          <w:tcPr>
            <w:tcW w:w="440" w:type="dxa"/>
            <w:vAlign w:val="bottom"/>
          </w:tcPr>
          <w:p>
            <w:pPr>
              <w:spacing w:after="0"/>
              <w:rPr>
                <w:sz w:val="17"/>
                <w:szCs w:val="17"/>
                <w:color w:val="auto"/>
              </w:rPr>
            </w:pPr>
          </w:p>
        </w:tc>
      </w:tr>
      <w:tr>
        <w:trPr>
          <w:trHeight w:val="228"/>
        </w:trPr>
        <w:tc>
          <w:tcPr>
            <w:tcW w:w="34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7,938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4"/>
                <w:szCs w:val="14"/>
                <w:color w:val="auto"/>
              </w:rPr>
              <w:t>22,183</w:t>
            </w:r>
          </w:p>
        </w:tc>
        <w:tc>
          <w:tcPr>
            <w:tcW w:w="4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and related payroll tax as follows:</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6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support and operations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133,882</w:t>
            </w: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48,014</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development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584,189</w:t>
            </w:r>
          </w:p>
        </w:tc>
      </w:tr>
      <w:tr>
        <w:trPr>
          <w:trHeight w:val="19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256,626</w:t>
            </w:r>
          </w:p>
        </w:tc>
      </w:tr>
      <w:tr>
        <w:trPr>
          <w:trHeight w:val="228"/>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stock-based compensation expense and related payroll tax</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212,290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1,022,711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2026 and 2025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6"/>
                <w:szCs w:val="16"/>
                <w:color w:val="auto"/>
              </w:rPr>
            </w:pP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940" w:type="dxa"/>
            <w:vAlign w:val="bottom"/>
            <w:vMerge w:val="continue"/>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0"/>
                <w:szCs w:val="10"/>
                <w:color w:val="auto"/>
              </w:rPr>
            </w:pPr>
          </w:p>
        </w:tc>
        <w:tc>
          <w:tcPr>
            <w:tcW w:w="11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7"/>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81,278</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202,538</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Platform-related revenue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93,204</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728,049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485,843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242,206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174,482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1,590,412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444,744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2026 increased by $174.5 million, or 32%, and $444.7 million, or 28%, year over year, primarily driven by the growth of our total Active Members and the associated increase in Purchase Volume, a continued shift in payment mix toward credit from debit with the launch of Chime Prime, as well as the continued growth of MyPay, Instant Loans, and outbound instant transfers.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revenue</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Payments revenue increased by $81.3 million, or 22%, and $202.5 million, or 18%, for the three and nine months ended September 30, 2026 compared to the same periods in 2025.</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2026, this increase primarily reflected an $83.3 million, or 81%, increase in revenue from interchange-based fees from credit card transactions compared to the same period in 2025. The increase in payments revenue was driven by a $6.2 billion, or 19%, increase in Purchase Volume for the three months ended September 30, 2026 compared to the same period in 2025. For the three months ended September 30, 2026 and 2025, interchange-based fees from debit card transactions represented 36% and 48% of revenue, with debit card transactions representing 71% and</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84% of Purchase Volume. For the three months ended September 30, 2026 and 2025, interchange-based fees from credit card transactions represented 26% and 19% of revenue, with credit card transactions representing 29% and 16% of Purchase Volume.</w:t>
      </w:r>
    </w:p>
    <w:p>
      <w:pPr>
        <w:spacing w:after="0" w:line="1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this increase primarily reflected a $204.6 million, or 65%, increase in revenue from interchange-based fees from credit card transactions compared to the same period in 2025. The increase in payments revenue was driven by a $15.9 billion, or 16%, increase in Purchase Volume for the nine months ended September 30, 2026 compared to the same period in 2025. For the nine months ended September 30, 2026 and 2025, interchange-based fees from debit card transactions represented 39% and 50% of revenue, with debit card transactions representing 74% and 84% of Purchase Volume. For the nine months ended September 30, 2026 and 2025, interchange-based fees from credit card transactions represented 25% and 20% of revenue, with credit card transactions representing 26% and 16% of Purchase Volume.</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increase in Purchase Volume was driven, in part, by a 1.8 million, or 20%, increase in Active Members as of September 30, 2026 compared to September 30, 2025. Increasing the number of Active Members on our platform helps drive Purchase Volume, which increases the interchange-based fees generated and the payments revenue that we recognize.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Platform-related revenue</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Platform-related revenue for the three and nine months ended September 30, 2026 increased $93.2 million, or 52%, and $242.2 million, or 50%, year over year. For the three and nine months ended September 30, 2026, the increase was primarily driven by a $48.0 million and $124.7 million increase year over year from MyPay driven by our new variable pricing plan adopted in the first quarter of 2026 and increased MyPay transaction volume from continued adoption. Additionally, during the three and nine months ended September 30, 2026, Instant Loan revenue increased $20.9 million and $53.6 million and outbound instant transfer fees increased $15.6 million and $46.1 million as members continued to adopt these products.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71,936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69,401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16,966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September 30, 2026 increased $2.5 million, or 4%, driven by an $8.0 million increase in card and ATM network expenses, net of incentives, partially offset by a $5.4 million decrease in transaction processing and bank partner costs. Cost of revenue for the nine months ended September 30, 2026 increased $17.0 million, or 9%, driven by a $33.5 million increase in card and ATM network expenses, net of incentives, partially offset by a $16.6 million decrease in transaction processing and bank partner costs.</w:t>
      </w:r>
    </w:p>
    <w:p>
      <w:pPr>
        <w:spacing w:after="0" w:line="12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increase in card and ATM network expenses in the three and nine months ended September 30, 2026 compared to the prior year was driven both by the increase in Active Members and from Active Members engaging more frequently with our products, including instant transfers. The decrease in transaction processing and bank partner costs in the three and nine months ended September 30, 2026 compared to the prior year was driven by cost savings following our migration from a third-party transaction processor to ChimeCore, which occurred in the fourth quarter of 2025, partially offset by growth in Active Members, the related growth in Purchase Volume, and the shift in payment mix toward credit.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vMerge w:val="restart"/>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Transaction and risk losses</w:t>
            </w: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18,561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307,806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304,445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Member support and operations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21,141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365,364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(55,611)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498,055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471,187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26,868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823,578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(482,253)</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403,415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98"/>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11,695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26"/>
        </w:trPr>
        <w:tc>
          <w:tcPr>
            <w:tcW w:w="2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611,742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538,828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72,914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1,719,443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2,379,684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(660,241)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Operating expenses increased by $72.9 million, or 14%, for the three months ended September 30, 2026 and decreased $660.2 million, or 28%, for the nine months ended September 30, 2026 compared to the same periods in 2025 driven by the following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and risk losses</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Transaction and risk losses for the three months ended September 30, 2026 increased by $18.6 million, or 19%, year over year, primarily driven by a $16.1 million increase in losses related to our Instant Loans product primarily due to higher volumes and an $8.8 million increase in losses related to MyPay as a result of higher MyPay volume and partially offset by the improved loss rates on originations made during the current quarter. These increases were partially offset by a $7.4 million decrease in transaction dispute losses due to improved fraud mitigation.</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Transaction and risk losses for the nine months ended September 30, 2026 increased by $3.4 million, or 1%, year over year, driven by a $32.2 million increase in losses related to our Instant Loans product primarily due to higher volumes and a $5.3 million increase in transaction dispute losses primarily attributable to the increase in Purchase Volume and increase in the rate of disputed transactions in the second quarter of 2026. These increases were partially offset by a $22.6 million decrease in losses related to MyPay primarily attributable to improved loss rates on originations made during the current period, particularly in the first half of the year as we introduced the expansion of eligible repayment sources in the third quarter of 2025, and a $12.6 million decrease in losses related to SpotMe and other member negative balances primarily due to the nonrecurrence of losses from isolated fraud incidents in the first quarter of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support and operations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Member support and operations expenses for the three months ended September 30, 2026 increased by $21.1 million, or 25%, year over year driven by an $8.5 million increase in software costs related to member support and operations, including certain dispute and processing platform fees, driven by growth in Active Members. Additionally, there was a $4.5 million increase in member onboarding costs and a $3.8 million increase in physical card issuance costs primarily attributable to growth of Active Members and launch of Chime Prime in the second quarter of 2026.</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Member support and operations expenses for the nine months ended September 30, 2026 decreased by $55.6 million, or 15%, year over year driven by a $105.2 million decrease in stock-based compensation and related payroll tax as the prior year period included higher stock-based compensation expense recognized in connection with our IPO in the second quarter of 2025. This decrease was partially offset by a $17.6 million increase in software costs related to member support and operations, including dispute and processing platform fees, driven by growth in Active Members. There was also a $17.2 million increase in member onboarding costs related to activation expenses and $7.9 million increase in physical card issuance costs primarily attributable to growth of Active Members and launch of Chime Prime in the second quarter of 2026.</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2026 increased by $14.9 million, or 10%, year over year driven by a $10.0 million increase in marketing and promotional activities and $1.7 million in Restructuring costs related to employee-related wages, benefits and severance costs recognized in the three months ended September 30, 2026.</w:t>
      </w:r>
    </w:p>
    <w:p>
      <w:pPr>
        <w:spacing w:after="0" w:line="1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nine months ended September 30, 2026 increased by $26.9 million, or 6%, year over year driven by a $52.0 million increase in marketing and promotional activities and $1.7 million in Restructuring costs related to employee-related wages, benefits and severance costs recognized in the nine months ended September 30, 2026. This was partially offset by a $33.7 million decrease in stock-based compensation and related payroll tax as the prior year period included higher stock-based compensation expense recognized in connection with our IPO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Technology and development expenses for the three months ended September 30, 2026 decreased by $4.5 million, or 4%, year over year primarily driven by a $14.1 million decrease in stock-based compensation and related payroll tax due to the reversal of previously recognized stock-based compensation expense for unvested awards forfeited in connection with the Restructuring in the third quarter of 2026, as well as other award forfeitures. This decrease was partially offset by $8.6 million in Restructuring costs related to employee-related wages, benefits and severance costs recognized in the three months ended September 30, 2026.</w:t>
      </w:r>
    </w:p>
    <w:p>
      <w:pPr>
        <w:spacing w:after="0" w:line="129"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Technology and development expenses for the nine months ended September 30, 2026 decreased by $482.3 million, or 59%, year over year, primarily driven by a $501.4 million decrease in stock-based compensation and related payroll tax as the prior year period included higher stock-based compensation expense recognized in connection with our IPO in the second quarter of 2025. The decrease also reflects the reversal of previously recognized stock-based compensation expense for unvested awards forfeited in connection with the Restructuring in the third quarter of 2026, as well as other award forfeitures.</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This decrease was partially offset by $8.6 million in Restructuring costs related to employee-related wages, benefits and severance costs recognized in the nine months ended September 30, 2026.</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2026 increased by $22.1 million, or 29%, year over year primarily driven by $4.7 million in Restructuring costs related to employee-related wages, benefits and severance costs recognized in the three months ended September 30, 2026, the non-recurrence of a $4.5 million one-time non-income tax benefit recognized in the third quarter of 2025, and a $4.5 million increase in professional services fees primarily attributable to supporting initiatives such as the Stride Acquisition. There was also a $3.3 million increase in stock-based compensation expense and related payroll tax driven by higher expense for certain executive awards, partially offset by the reversal of previously recognized expense for unvested awards forfeited in connection with the Restructuring in the third quarter of 2026, as well as other award forfeitures.</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2026 decreased by $154.1 million, or 38%, year over year, primarily driven by a $170.1 million decrease in stock-based compensation and related payroll tax as the prior year period included higher stock-based compensation expense recognized in connection with our IPO in the second quarter of 2025.</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3"/>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21,837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2026 decreased by $0.6 million, or 6%, year over year, primarily attributable to a decrease in interest income due to reduced yields on corporate cash and cash equivalents and marketable securities.</w:t>
      </w:r>
    </w:p>
    <w:p>
      <w:pPr>
        <w:spacing w:after="0" w:line="10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2026 increased by $2.3 million, or 11%, year over year, primarily attributable to an increase in interest income due to higher balances on interest-bearing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our principal sources of liquidity were our cash and cash equivalents of $636.7 million and investments in marketable securities of $546.3 million. Additionally, we have $451.8 million in borrowing capacity under our revolving credit facility and $100.0 million of remaining committed capacity under our warehouse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September 30, 2026, the amount of this commitment would have been approximately $1.8 billion (with such amount in connection with liquidity products excluding Credit Builder not to exceed approximately $1.1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w:t>
      </w:r>
    </w:p>
    <w:p>
      <w:pPr>
        <w:spacing w:after="0" w:line="13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November 2025, our board of directors approved a share repurchase program with authorization to purchase up to $200.0 million of our Class A common stock at management’s discretion, and in May 2026 we announced that our board of directors approved an additional $200.0 million share repurchase authorization.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obligate us to repurchase any particular amount of Class A common stock and may be suspended or discontinued at any time at our discretion without prior notice, subject to all applicable securities laws. During the three months ended September 30, 2026, we did not repurchase any shares of our common stock. During the nine months ended September 30, 2026, we repurchased approximately 11.4 million shares of our common stock for an aggregate purchase price of $222.1 million.</w:t>
      </w:r>
    </w:p>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2026, we established a trust to enter into a credit agreement with Goldman Sachs Lending Partners LLC as the lender which provides for a commitment amount of $200.0 million, with a total facility limit of $500.0 million, maturing on June 1, 2028 (the “Warehouse Facility”), with an intent to access additional financing in support of our MyPay product and to supplement our existing bank partner model. As of September 30, 2026, $100.0 million was outstanding under the Warehouse Facility with $100.0 million of remaining committed capacity available. The expected utilization of the Warehouse Facility may depend on a variety of factors, including the growth of MyPay origination volumes. We maintain a reserve account pledged as first-priority collateral to the lender which is not available for general use and may only be disbursed in accordance with the Warehouse Facility’s payment waterfall. The Warehouse Facility includes customary affirmative and negative covenants and requires us to maintain certain levels of minimum liquidity and minimum tangible net worth. We are in compliance with all covenants as of September 30, 2026. See Note 12 </w:t>
      </w:r>
      <w:r>
        <w:rPr>
          <w:rFonts w:ascii="Times New Roman" w:cs="Times New Roman" w:eastAsia="Times New Roman" w:hAnsi="Times New Roman"/>
          <w:sz w:val="18"/>
          <w:szCs w:val="18"/>
          <w:i w:val="1"/>
          <w:iCs w:val="1"/>
          <w:color w:val="auto"/>
        </w:rPr>
        <w:t>– Indebtedness</w:t>
      </w:r>
      <w:r>
        <w:rPr>
          <w:rFonts w:ascii="Times New Roman" w:cs="Times New Roman" w:eastAsia="Times New Roman" w:hAnsi="Times New Roman"/>
          <w:sz w:val="18"/>
          <w:szCs w:val="18"/>
          <w:color w:val="auto"/>
        </w:rPr>
        <w:t xml:space="preserve"> within the notes to our condensed consolidated financial statements included in this Quarterly Report for additional information.</w:t>
      </w:r>
    </w:p>
    <w:p>
      <w:pPr>
        <w:spacing w:after="0" w:line="1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current available cash and cash equivalents and investments in marketable securities, together with amounts available for borrowing under the credit facility and Warehouse Facility, will be sufficient to meet our working capital needs for at least the next twelve months, including the Stride Acquisition.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Instant Loans, and SpotMe, the expansion of sales and marketing activities, potential merger and acquisition activity, regulatory capital requirements, and other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generation and use of cash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421,023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(344,483)</w:t>
            </w:r>
          </w:p>
        </w:tc>
      </w:tr>
      <w:tr>
        <w:trPr>
          <w:trHeight w:val="234"/>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(90,014)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432,958</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$421.0 million for the nine months ended September 30, 2026, compared to $20.2 million in the nine months ended September 30, 2025. The increase of $400.8 million consists of a $1,090.2 million increase in net income and an increase of $238.7 million in changes in working capital, partially offset by a decrease of $928.1 million in non-cash adjustments.</w:t>
      </w:r>
    </w:p>
    <w:p>
      <w:pPr>
        <w:spacing w:after="0" w:line="12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increase of $238.7 million in changes in working capital for the nine months ended September 30, 2026 compared to the prior year was primarily driven by a decrease in our product collateral requirements primarily due to enhancements in our loss recovery processes, the timing of upfront payments received related to our network incentive obligation, and the timing of vendor payments. Additionally, settlements related to our product obligation were cash inflows of $81.8 million in the nine months ended September 30, 2026, compared to cash outflows of $21.7 million in the nine months ended September 30, 2025, primarily due to the growth of MyPay and Instant Loans revenue and the improved unit economics of MyPay compared to the prior year. This favorability was partially offset by settlements related to SpotMe and other negative balances, which were elevated in the nine months ended September 30, 2026 due to the settlement of prior year fraud events.</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decrease of $928.1 million in non-cash adjustments for the nine months ended September 30, 2026 compared to the prior year was primarily driven by a $799.3 million decrease in stock-based compensation as the liquidity-based vesting condition for certain equity awards was met in connection with our IPO in 2025. Additionally, the change in fair value of the product obligation was $(81.5) million in the nine months ended September 30, 2026, compared to $41.6 million in the prior year. This change is attributable to the growth of MyPay and Instant Loans revenue and improved MyPay loss rates and unit economics. See Note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i w:val="1"/>
          <w:iCs w:val="1"/>
          <w:color w:val="auto"/>
        </w:rPr>
        <w:t>redit Obligations</w:t>
      </w:r>
      <w:r>
        <w:rPr>
          <w:rFonts w:ascii="Times New Roman" w:cs="Times New Roman" w:eastAsia="Times New Roman" w:hAnsi="Times New Roman"/>
          <w:sz w:val="18"/>
          <w:szCs w:val="18"/>
          <w:color w:val="auto"/>
        </w:rPr>
        <w:t xml:space="preserve"> within the notes to our condensed consolidated financial statements included in this Quarterly Report for additional information.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$56.2 million for the nine months ended September 30, 2026 primarily due to $4,359.0 million in purchases of loans held for investment and $366.1 million in purchases of marketable securities, offset by $4,289.0 million in repayments of loans held for investment and $402.3 million in proceeds from maturities of marketable securities.</w:t>
      </w:r>
    </w:p>
    <w:p>
      <w:pPr>
        <w:spacing w:after="0" w:line="1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$344.5 million for the nine months ended September 30, 2025, primarily due to $3,616.9 million in purchases of loans held for investment and $665.3 million in purchases of marketable securities, offset by $3,547.7 million in repayments of loans held for investment, $256.5 million from sales of marketable securities and $147.2 million in proceeds from maturities of marketable securities.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cash used in financing activities was $90.0 million, primarily due to $222.1 million from repurchases of common stock, partially offset by $100.0 million in proceeds from borrowings under the Warehouse Facility and $30.4 million in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cash provided by financing activities was $433.0 million, primarily due to $771.2 million from the issuance of common stock in connection with our IPO in the second quarter of 2025, net of offering costs paid, partially offset by taxes paid related to the net share settlement of restricted stock units of $348.1 million.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calculate our fully diluted share count on an unweighted basis taking our total outstanding share count in addition to unexercised stock options, outstanding restricted stock units, outstanding PSUs, and shares reserved for charitable donations.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2026, our fully diluted share count was as follows:</w:t>
            </w:r>
          </w:p>
        </w:tc>
        <w:tc>
          <w:tcPr>
            <w:tcW w:w="1520" w:type="dxa"/>
            <w:vAlign w:val="bottom"/>
          </w:tcPr>
          <w:p>
            <w:pPr>
              <w:spacing w:after="0"/>
              <w:rPr>
                <w:sz w:val="20"/>
                <w:szCs w:val="20"/>
                <w:color w:val="auto"/>
              </w:rPr>
            </w:pPr>
          </w:p>
        </w:tc>
      </w:tr>
      <w:tr>
        <w:trPr>
          <w:trHeight w:val="189"/>
        </w:trPr>
        <w:tc>
          <w:tcPr>
            <w:tcW w:w="97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and B common stock issued and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383,300,199</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21,874,050</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29,482,713</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7,702,763</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donations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2,728,664</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fully diluted share count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445,088,389</w:t>
            </w:r>
          </w:p>
        </w:tc>
      </w:tr>
      <w:tr>
        <w:trPr>
          <w:trHeight w:val="20"/>
        </w:trPr>
        <w:tc>
          <w:tcPr>
            <w:tcW w:w="9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see Note 15 </w:t>
      </w:r>
      <w:r>
        <w:rPr>
          <w:rFonts w:ascii="Times New Roman" w:cs="Times New Roman" w:eastAsia="Times New Roman" w:hAnsi="Times New Roman"/>
          <w:sz w:val="18"/>
          <w:szCs w:val="18"/>
          <w:i w:val="1"/>
          <w:iCs w:val="1"/>
          <w:color w:val="auto"/>
        </w:rPr>
        <w:t>– Stock-based Compensation</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 Net Income (Loss) Per Share</w:t>
      </w:r>
      <w:r>
        <w:rPr>
          <w:rFonts w:ascii="Times New Roman" w:cs="Times New Roman" w:eastAsia="Times New Roman" w:hAnsi="Times New Roman"/>
          <w:sz w:val="18"/>
          <w:szCs w:val="18"/>
          <w:color w:val="auto"/>
        </w:rPr>
        <w:t xml:space="preserve"> within the notes to our condensed consolidated financial statements included in this Quarterly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2026, we had future minimum operating lease payments under non-cancelable leases of $161.5 million related to leases we have recognized on our condensed consolidated balance sheet which are due over a weighted average period of 7.8 years. Of the non-cancelable lease payments, $4.7 million is payable in the remainder of 2026. For additional discussion on our operating leases, see Note 20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within the notes to our condensed consolidated financial statements included in this Quarterly Report.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non-cancellable purchase commitments are primarily related to our cloud infrastructure services and various marketing partnerships. As of September 30, 2026, we had non-cancellable purchase obligations of $224.6 million, of which $37.7 million is due in the remainder of 2026.</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Stride Acquisition</w:t>
      </w:r>
    </w:p>
    <w:p>
      <w:pPr>
        <w:spacing w:after="0" w:line="17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September 8, 2026, we entered into the Merger Agreement to acquire CSC, the parent company of Stride, for approximately $590 million in cash, subject to customary purchase price adjustments. We expect to fund the purchase price with cash on hand at closing, which is expected to occur in the first half of 2027, subject to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spacing w:after="0" w:line="13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those disclosed in “Management’s Discussion and Analysis of Financial Condition and Results of Operations — Critical Accounting Policies and Estimates” in our 2025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p>
      <w:pPr>
        <w:spacing w:after="0" w:line="175"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continue to maintain a full valuation allowance against our U.S. federal and state deferred tax assets. If we continue to generate pretax income, sufficient positive evidence may become available in a future period for us to conclude that all or a significant portion of the valuation allowance is no longer required. The timing and amount of any release remain uncertain and will depend on several factors, including the level and sustainability of our profitability. Any release would result in the recognition of deferred tax assets and could reduce income tax expense in the period recorded. Any such benefit would be non-cash.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jc w:val="both"/>
        <w:ind w:right="100" w:firstLine="324"/>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recently adopted accounting pronouncements and recently issued accounting pronouncements not yet adopted, 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Presentation and Summary of Significant Accounting Policies </w:t>
      </w:r>
      <w:r>
        <w:rPr>
          <w:rFonts w:ascii="Times New Roman" w:cs="Times New Roman" w:eastAsia="Times New Roman" w:hAnsi="Times New Roman"/>
          <w:sz w:val="18"/>
          <w:szCs w:val="18"/>
          <w:color w:val="auto"/>
        </w:rPr>
        <w:t>within the notes to our unaudited condensed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Quarterly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and marketable debt securities as of September 30, 2026,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Future borrowings under our credit facility or Warehouse Facility will bear interest based on an applicable margin over underlying index rates. Because the interest rates applicable to borrowings are variable, we are exposed to market risk from changes in the underlying index rates, which affect our cost of borrowing. A hypothetical 100 basis point increase or decrease in interest rates would not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President and Interim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President and Interim Chief Financial Officer have concluded that, as of the end of the period covered by this Quarterly Report, our disclosure controls and procedures were effective at a reasonable assurance level.</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and 15d-15(f) under the Exchange Act) during the three months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September 30, 2026 and December 31, 2025, the Company does not expect any claims with a reasonably possible adverse outcome to have a material impact to the Company, and accordingly, has not accrued for any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summary. These risks include the following:</w:t>
      </w:r>
    </w:p>
    <w:p>
      <w:pPr>
        <w:spacing w:after="0" w:line="108"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complete our pending acquisition of the parent holding company of Stride Bank, N.A. on the anticipated timeline or at all, we may not realize the anticipated benefits of the acquisition, we may be prevented from pursuing other strategic opportunities while the acquisition is pending, and upon completion, we will become a bank holding company subject to extensive supervision and regulation, any of which may adversely affect our business, financial condition, and results of operations.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Active Members, and maintain and increase the revenue we generate from our Active Members,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bank partners are crucial to our business, and we may be unable to maintain our relationship with either of our bank partners,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rules and practices regarding interchange fees, card network fees, and other fees and assessments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strong and trusted brand and related marketing, and we may fail to maintain and protect our brand,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and we may not be able to consistently maintain or increase profitability in the future.</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complex and evolving laws and regulations, which are subject to change and to uncertain interpretation, and failure by us or by our bank partners or third-party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providers to comply with such laws and regulations may adversely affect our business, financial condition, and results of operations.</w:t>
      </w:r>
    </w:p>
    <w:p>
      <w:pPr>
        <w:spacing w:after="0" w:line="171" w:lineRule="exact"/>
        <w:rPr>
          <w:sz w:val="20"/>
          <w:szCs w:val="20"/>
          <w:color w:val="auto"/>
        </w:rPr>
      </w:pPr>
    </w:p>
    <w:p>
      <w:pPr>
        <w:ind w:left="660" w:right="3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banking ecosystem, including through our bank partnerships, FDIC regulations and policies, and other regulatory obligations, which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Stride Acquisition</w:t>
      </w:r>
    </w:p>
    <w:p>
      <w:pPr>
        <w:spacing w:after="0" w:line="1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pending acquisition (the “Stride Acquisition”) of Central Service Corporation (“CSC”), the parent holding company of Stride Bank, N.A. (“Stride”) may not be completed in a timely manner or at all, and we could be subject to unanticipated conditions on our business or the combined company, any of which could adversely affect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8, 2026, we entered into a definitive agreement (the “Merger Agreement”) to acquire CSC, the parent holding company of Stride, for approximately $590 million in cash, subject to certain adjustments. Completion of the Stride Acquisition is subject to conditions, including, among others, receipt of approvals from the Office of the Comptroller of the Currency (“OCC”) and the Board of Governors of the Federal Reserve System, the absence of legal restraints, the accuracy of each party’s representations and warranties, subject to specified materiality standards, and the absence of a material adverse effect on CSC. We cannot assure you that these conditions will be satisfied, that required regulatory approvals will be obtained on the anticipated timeline or at all, or that such approvals will not impose conditions that adversely affect us or the expected benefits of the Stride Acquisition. Our ability to obtain the requisite regulatory approvals for the Stride Acquisition depends on the bank regulators’ views of our capital levels, quality of management, and overall condition, in addition to their assessment of a variety of other factors, including our compliance with law. In connection with applying for these approvals, we have developed a financial and bank capitalization plan and may need to enhance our governance, compliance, controls and management infrastructure and capabilities in order to be compliant with all applicable regulations and operate to the satisfaction of the banking regulators, which may require substantial time, monetary and human resource commitments. If we are not successful in developing a financial and bank capitalization plan or enhancing, as needed, our governance, compliance, controls and management infrastructure and capabilities, our ability to complete the Stride Acquisition may be jeopardized.</w:t>
      </w:r>
    </w:p>
    <w:p>
      <w:pPr>
        <w:spacing w:after="0" w:line="133"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In addition, if the Stride Acquisition is not completed by June 8, 2027 (which date may be extended to September 8, 2027 in certain circumstances), either CSC or we may choose not to proceed with the Stride Acquisition by terminating the Merger Agreement. The parties can also mutually decide to terminate the Merger Agreement at any time. In addition, we and CSC may each elect to terminate the Merger Agreement in certain other circumstances.</w:t>
      </w:r>
    </w:p>
    <w:p>
      <w:pPr>
        <w:spacing w:after="0" w:line="10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the Stride Acquisition is not completed, or is completed on terms or subject to conditions different from those we currently anticipate, our business, financial condition, and results of operations could be adversely affected, and the market price of our Class A common stock could decline. In such event, we will have incurred significant legal, accounting, financial advisory, consulting, and other transaction costs, which we generally must pay whether or not the Stride Acquisition is completed, and we will have devoted substantial management attention and resources to the transaction without realizing its anticipated benefits. A failed or delayed transaction could also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4" w:name="page55"/>
    <w:bookmarkEnd w:id="54"/>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relationships with our members, employees, regulators, and bank partners, including Stride and The Bancorp Bank, N.A. (“Bancorp”), and we could become subject to litigation relating to the transaction or its failure to close.</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Stride Acquisition, and the pendency of the transaction and the integration of Stride may disrupt our business and adversely affect our business, financial condition, and results of operations.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the Merger Agreement with the expectation that the Stride Acquisition will result in various benefits. These expectations are based on assumptions that may prove inaccurate, and we may not realize the anticipated benefits, including the anticipated net synergies, in the amounts or on the timeline we expect, or at all. Achieving the anticipated benefits will depend in part on our ability to integrate Stride’s operations, systems, risk management, compliance, and personnel with our own and to transition member accounts and programs, including those currently held at Bancorp to Stride efficiently and without disruption to our members.</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Integration of a regulated bank into our business will be complex, costly, and time-consuming, and we have no prior experience owning or operating a bank. We may encounter difficulties, including, among others: integrating Stride’s core banking, payments, and other technology systems with ours; maintaining effective internal controls and compliance programs, including Bank Secrecy Act, anti-money laundering, sanctions, consumer protection, and privacy compliance, across the combined organization, retaining key Stride personnel; managing the risks associated with Stride’s existing loan portfolio, deposit base, and other customer and program relationships; and managing the larger size, complexity, and regulatory profile of the combined business. Integration may also require significant management attention and resources and may result in higher-than-expected costs, which could offset the anticipated benefits of the transaction.</w:t>
      </w:r>
    </w:p>
    <w:p>
      <w:pPr>
        <w:spacing w:after="0" w:line="13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In addition, the announcement and pendency of the Stride Acquisition may disrupt our business. Uncertainty about the transaction may affect our relationships with our members, employees, and business partners, including Bancorp, which continues to hold a significant portion of our member accounts and with which we will continue to have contractual relationships following the closing. We also expect to incur significant transaction and integration costs, many of which will be incurred whether or not the transaction is completed. Any of these factors could adversely affect our business, financial condition, and results of operations, and the market price of our Class A common stock.</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our ability to pursue certain transactions, including alternatives to the Stride Acquisition.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contains provisions that prohibit us from entering into, or agreeing to enter into, a transaction if doing so would reasonably be expected to (i) impose a material delay in or increase materially the risk of not obtaining certain governmental approvals or (ii) prevent or materially delay the consummation of the Stride Acquisition. Therefore, prior to the completion of the Stride Acquisition, we may be prevented from pursuing certain strategic opportunities, even if we believe they would be beneficial.</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Stride Acquisition, we will become a bank holding company subject to extensive supervision and regulation, which may restrict our activities, require us to maintain additional capital and liquidity, and increase our compliance costs.</w:t>
      </w:r>
    </w:p>
    <w:p>
      <w:pPr>
        <w:spacing w:after="0" w:line="1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the Stride Acquisition is completed, we will become a bank holding company within the meaning of the Bank Holding Company Act of 1956, as amended, and will be subject to additional supervision, regulation, and capital and other requirements of the Board of Governors of the Federal Reserve System, which may increase our compliance costs and limit our activities. We have not previously been subject to regulation as a bank holding company, and this framework will apply to us and our subsidiaries on a consolidated basis. Additionally, Stride (which we expect to rename “Chime Bank, National Association”) will continue to be subject to supervision, regulation, and capital and other requirements of the OCC. Our regulators will have broad supervisory and enforcement authority, including the ability to examine our and Stride’s operations, to require changes to our business, risk management, and compliance practices, to restrict our growth or activities, and to impose fines, penalties, consent orders, or other enforcement actions, and the results of supervisory examinations are generally confidential and not subject to appeal. We will be subject to heightened expectations regarding governance,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internal controls, consumer protection, community reinvestment, and Bank Secrecy Act and anti-money laundering compliance. Compliance with these laws and regulations will require significant resources and could increase our operating costs. Any failure to comply could result in enforcement actions, restrictions on our activities, reputational harm, and other adverse consequences, any of which could materially adversely affect our business, financial condition, and results of operations.</w:t>
      </w:r>
    </w:p>
    <w:p>
      <w:pPr>
        <w:spacing w:after="0" w:line="12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Should we successfully complete the Stride Acquisition, certain of our stockholders may need to comply with applicable federal banking statutes and regulations, including the Change in Bank Control Act and the Bank Holding Company Act of 1956. Specifically, stockholders holding 10.0% or more of our voting interests may be required to provide certain information and/or commitments on a confidential basis to, among other regulators, the Board of Governors of the Federal Reserve System. This requirement may deter certain existing or potential stockholders from purchasing shares of our common stock, which may suppress demand for the stock and cause the price to decline.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attract or retain key employees could adversely affect our business and operations.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not previously been subject to regulation as a bank holding company, and our ability to successfully operate as a bank holding company will depend in part on our ability to retain key management personnel and other key employees of Stride. While we currently expect that certain key management personnel of Stride will continue to oversee the operations of Stride, there can be no guarantee that we will be able to retain such personnel or that we will be able to attract other qualified management personnel and employees to the same extent that Stride has previously been able to. If we are unable to retain personnel, including Stride’s key management, who are critical to the future operations of Stride, we could face disruptions in operations, loss of key information, expertise or know-how and unanticipated additional recruitment and training costs. In addition, the loss of key personnel could diminish the anticipated benefits of the Stride Acquisition.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CSC may have liabilities that are not known to us, or that may materialize in a manner not consistent with our expectations.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CSC may have liabilities that we failed, or were unable, to discover in the course of performing our due diligence investigation. We may learn additional information about CSC that materially adversely affects CSC, such as unknown or contingent liabilities and liabilities related to compliance with applicable laws. As a result of these factors, we may incur additional costs and expenses and may be forced to later write-down or write-off assets, restructure operations or incur impairment or other charges that could result in losses. Even if our due diligence identified certain risks, unexpected risks may arise and previously known risks may materialize in a manner not consistent with our expectations. If any of these risks materialize, this could adversely affect our financial condition, results of operations.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Active Members, and maintain and increase the revenue we generate from our Active Members, which may adversely affect our business, financial condition, and results of operations.</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Plus, are currently available only to members who make qualifying direct deposits, such as direct depositing their paychecks, through Chime, which may limit our ability to grow these products and increase the revenue we generate from them.</w:t>
      </w:r>
    </w:p>
    <w:p>
      <w:pPr>
        <w:spacing w:after="0" w:line="135"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w:t>
      </w:r>
    </w:p>
    <w:p>
      <w:pPr>
        <w:spacing w:after="0" w:line="12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spacing w:after="0" w:line="11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our bank partners are crucial to our business, and we may be unable to maintain our relationship with either of our bank partners, which may adversely affect our business, financial condition, and results of operations.</w:t>
      </w:r>
    </w:p>
    <w:p>
      <w:pPr>
        <w:spacing w:after="0" w:line="10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rely on our bank partners to provide the banking services offered through our platform, such as opening and maintaining member bank accounts, issuing Chime-branded debit and credit cards, and providing short-term loans to our members to support the liquidity products offered through our platform. Our relationships with our bank partners are a crucial part of our business as we do not currently have a banking license, and will remain relevant to our member relationships even if and when the Stride Acquisition closes.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partner with Bancorp pursuant to a master services agreement (as amended, the “Bancorp MSA”) and with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and have auto-renewed for an additional one-year term ending in November 2026. We expect that the Stride Agreements will auto-renew in November 2026 and will remain in effect on the same terms through at least the closing of the Stride Acquisition.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w:t>
      </w:r>
    </w:p>
    <w:p>
      <w:pPr>
        <w:spacing w:after="0" w:line="14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Partnerships between banks and financial technology companies have been the subject of increased and evolving scrutiny from regulators and legislators in past years. Federal banking regulators, in some cases, have required increased oversight by banks of their partners or restricted banks’ ability to offer or expand programs. While more recent public statements by federal banking regulators acknowledge the benefits of bank fintech partnerships, federal banking regulators retain broad supervisory and enforcement authority of the bank partnership model. Federal banking regulators also retain the authority to make changes to the regulatory framework governing bank fintech partnerships, which,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Further, some state attorneys general have expressed increased skepticism toward, and in some cases hostility to, bank-fintech partnership models, particularly where fintech companies provide banking-like products and services directly to consumers, asserting that such arrangements may be inconsistent with consumer protection and may create regulatory compliance and risk-management challenges for bank partners. The potential for increased regulatory scrutiny may cause our current bank partners to reassess their partnerships with us and may deter new potential bank partners from entering a partnership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spacing w:after="0" w:line="12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rules and practices regarding interchange fees, card network fees, and other fees and assessments may adversely affect our business, financial condition, and results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In addition, following the completion of the Stride Acquisition, Stride’s assets will be aggregated with those of its affiliates, including us, for purposes of determining whether Stride qualifies for the small issuer exemption. Although we currently expect that the combined assets of Stride and its affiliates will remain below $10 billion for the foreseeable future, that may change, including as a result of our growth or the consolidation of our banking activities at Stride. To the extent that we seek to develop a relationship with a new bank partner, there is no assurance that it will be exempt.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spacing w:after="0" w:line="13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changes in interchange fee rates or limitations or classification of transaction types, whether due to actions by the card networks or merchants, changes in legislation or regulation, or judicial decisions or settlements, may adversely affect our competitive position and reduce the payments revenue we generate, require us to change our business practices, and otherwise adversely affect our business, financial condition, and results of operations.</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strong and trusted brand and related marketing, and we may fail to maintain and protect our brand, which may adversely affect our business, financial condition, and results of operations.</w:t>
      </w:r>
    </w:p>
    <w:p>
      <w:pPr>
        <w:spacing w:after="0" w:line="10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and adoption of our products, which may adversely affect our business, financial condition, and results of operations.</w:t>
      </w:r>
    </w:p>
    <w:p>
      <w:pPr>
        <w:spacing w:after="0" w:line="1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spacing w:after="0" w:line="10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spacing w:after="0" w:line="1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spacing w:after="0" w:line="133"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0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outbound instant transfers are processed by TabaPay, Inc., a third-party instant money movement platform; and we currently host our platform and support our operations using Amazon Web Services, a third-party provider of cloud infrastructure services. Historically, transactions have been processed by Galileo Financial Technologies, LLC (“Galileo”), a third-party payment processor. However, as of the end of 2025, we have transitioned our members’ transactions to being processed by ChimeCore. See the risk factor titled “Member transactions are now processed through ChimeCore, our proprietary payment processor and ledger. Any problems with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spacing w:after="0" w:line="13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card networks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and we may not be able to consistently maintain or increase profitability in the future.</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For 2025, 2024 and 2023, we incurred net losses of $1,009.9 million, $25.3 million and $203.2 million. Although we incurred net income of $43.7 million and $125.0 million during the three and nine months ended September 30, 2026,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may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spacing w:after="0" w:line="13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Following the completion of our IPO, stock-based compensation expense related to existing RSUs and other outstanding equity awards, and those to be awarded in the future has resulted in and will continue to result in increases in our expenses in future periods. As of September 30, 2026, we had $747.5 million of unrecognized stock-based compensation expense related to RSUs and other outstanding equity awards expected to vest.</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adequate revenue growth to exceed our expenditures, we may continue to incur losses in the future and may not be able to consistently maintain or increase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from period-to-period, which may cause the market price of our Class A common stock to decline.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annual and quarterly revenue, results of operations, and other key metrics have fluctuated significantly in the past and may vary significantly in the future due to a variety of factors, many of which are outside of our control. In addition to other risks described in this “Risk Factors” section, factors that may cause our results of operations to fluctuate include:</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Active Members’ use of our products, including their use of Chime-branded debit or credit cards to pay for goods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Active Members;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use and adoption of existing and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relationships with our bank partners and third-party service providers;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card networks to set interchange fees and the amount of such interchange fees that is remitted to Chime and our bank partners under our agreements;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or respond to 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to address the market for financial services and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growth, including in our technology platform and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detect and mitigate fraudulent activity on our platform and mitigate the risk of credit decisions that result in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liquidity products offered through our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and settlement of equity awards, including any cash used to remit taxes on behalf of employees in connection with net share settlement of RSUs and PSUs, and the recognition of stock-based compensation expense;</w:t>
      </w:r>
    </w:p>
    <w:p>
      <w:pPr>
        <w:spacing w:after="0" w:line="10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complete or integrate any acquisitions or other strategic transactions that we may undertake, including the Stride Acquisition;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critical infrastructure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interruptions, delays in service, catastrophic events, and resulting interruptions in the availability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data breaches, malware, and other security or hacking incidents, or human error in administering our software and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improper or unauthorized use of, disclosure of, or access to confidential, proprietary, personal, or sensitive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regulatory scrutiny and restrictions;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consumer class action lawsuits, intellectual property claims, government investigations or inquiries, and regulatory fines, penalties, or disputes;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industry, and market conditions.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w:t>
      </w:r>
    </w:p>
    <w:p>
      <w:pPr>
        <w:spacing w:after="0" w:line="12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and intense competition in our industry which may adversely affect our business, financial condition, and results of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spacing w:after="0" w:line="13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not function as intended due to errors in our software, systems, or processes, or human error in administering these systems or processes, which may adversely affect our business, results of operations, and financial condition.</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failures and interruptions in the availability of our platform may adversely affect our business, results of operations, and financial condition.</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spacing w:after="0" w:line="13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3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spacing w:after="0" w:line="1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spacing w:after="0" w:line="12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w:t>
      </w:r>
    </w:p>
    <w:p>
      <w:pPr>
        <w:spacing w:after="0" w:line="13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Due to political uncertainty and military actions around the world, we and our service providers are vulnerable to heightened risks of security incidents and security and privacy breaches from or affiliated with nation-state actors, including attacks that could materially disrupt our systems, operations, supply chain, products, and services.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spacing w:after="0" w:line="1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malware, and other security or hacking incidents may adversely affect our brand,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Data breaches, malware, and other security or hacking incidents have become more prevalent across industries and may occur on our systems or the systems of our bank partners, our third-party developers, and our third-party service providers or suppliers. We have experienced, and may continue to experience, cybersecurity incidents, including unauthorized account access, account takeovers, and fraudulent activity involving our products and systems. Future incidents, including incidents that are more extensive or severe than those we have experienced, could adversely affect our business, financial condition, and results of operations. Additionally, due to the proliferation and increased use of generative and agentic AI, and due to significant advances in the power of AI technology, many existing threats have become faster,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spacing w:after="0" w:line="1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and ML, combined with an uncertain legal and regulatory environment, may harm our brand, cause us to incur liabilities, and may adversely affect our business, financial condition, and results of operations.</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including our employees,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depend on a limited number of third-party AI-model providers and cloud platforms; any service interruption, change in license terms, or reduction in their training-data access could disrupt our products, require costly re-engineering, or expose us to claims of infringement. Furthermore, failures affecting our third-party AI-model providers and cloud platforms, attacks that exploit AI-specific vulnerabilities, or the misconfiguration or failure to implement effective controls within such models and platforms could result in the unauthorized access to data, inadvertent disclosure of data, or service interruptions.</w:t>
      </w:r>
    </w:p>
    <w:p>
      <w:pPr>
        <w:spacing w:after="0" w:line="1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spacing w:after="0" w:line="12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compliance with requirements related to automated decision making, including under the California Consumer Privacy Act, as amended by the California Privacy Rights Act (the “CCPA”),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spacing w:after="0" w:line="141"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Further, the adoption of agentic commerce, in which autonomous AI agents initiate and execute transactions on behalf of users, presents novel and complex regulatory, privacy and cybersecurity risks. Legal frameworks governing such autonomous agents remain nascent, with limited direct guidance specific to payments. The interplay between payments regulations, data privacy laws and evolving AI regulations may create uncertainty around compliance obligations and potential liability exposure as more participants enter the agentic commerce ecosystem. The market is still assessing how regulators may apply existing consumer protection and other laws in the context of AI. For example, as agentic commerce solutions scale, we may see increased instances of erroneous or disputed payments, increased chargebacks and reputational harm.</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liquidity products offered through our platform expose us to financial losses which may adversely affect our business, financial condition, and results of operations. For example, liquidity products such as SpotMe, MyPay, and Instant Loans, subject us to risk of loss if a member borrows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w:t>
      </w:r>
    </w:p>
    <w:p>
      <w:pPr>
        <w:spacing w:after="0" w:line="1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platform leverage AI and ML models along with comprehensive member data, including information regarding a member’s historical transaction and engagement activity through Chime, as well as traditional and alternative credit bureau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spacing w:after="0" w:line="1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as we scale the liquidity products offered through our platform, we expect our transaction and risk losses will increase. For example, our transaction and risk losses increased in 2025, the first full year following the launch of MyPay, which negatively impacted our transaction margin. As MyPay continues to scale and as we expand the liquidity products offered through our platform, including Instant Loans, we expect that transaction losses will increase and our transaction margin will remain flat or may decrease further in the near term compared to the first quarter of 2026.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 disputes in connection with our members’ payment card transactions, which may adversely affect our business, financial condition, and results of operations.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spacing w:after="0" w:line="13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activity associated with our products may cause the use and acceptance of our products to decrease and adversely affect our business, financial condition, and results of operations.</w:t>
      </w:r>
    </w:p>
    <w:p>
      <w:pPr>
        <w:spacing w:after="0" w:line="10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and agentic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including investigations, censures, disruption of business activities, or penalties, and potentially prevent us from satisfying our contractual obligations to our bank partners.</w:t>
      </w:r>
    </w:p>
    <w:p>
      <w:pPr>
        <w:spacing w:after="0" w:line="126" w:lineRule="exact"/>
        <w:rPr>
          <w:sz w:val="20"/>
          <w:szCs w:val="20"/>
          <w:color w:val="auto"/>
        </w:rPr>
      </w:pPr>
    </w:p>
    <w:p>
      <w:pPr>
        <w:ind w:right="220" w:firstLine="324"/>
        <w:spacing w:after="0" w:line="272" w:lineRule="auto"/>
        <w:rPr>
          <w:sz w:val="20"/>
          <w:szCs w:val="20"/>
          <w:color w:val="auto"/>
        </w:rPr>
      </w:pPr>
      <w:r>
        <w:rPr>
          <w:rFonts w:ascii="Times New Roman" w:cs="Times New Roman" w:eastAsia="Times New Roman" w:hAnsi="Times New Roman"/>
          <w:sz w:val="17"/>
          <w:szCs w:val="17"/>
          <w:color w:val="auto"/>
        </w:rPr>
        <w:t>Further, there are a number of third parties involved in processing transactions, including card networks,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Elevated levels of fraud, or a significant fraud incident, involving our products could also lead our bank partners to impose additional restrictions on our programs, require enhanced controls or remediation measures, or, in more severe cases, limit, suspend, or terminate their relationships with us, any of which could disrupt our operations and adversely affect our business.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spacing w:after="0" w:line="11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if our risk management framework does not effectively identify, assess, and mitigate risk.</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 transactions are now processed through ChimeCore, our proprietary payment processor and ledger. Any problems with ChimeCore may adversely affect our business, financial condition, and results of operations.</w:t>
      </w:r>
    </w:p>
    <w:p>
      <w:pPr>
        <w:spacing w:after="0" w:line="10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made and will continue to make substantial investments in ChimeCore, our proprietary payment processor and ledger, which launched in 2024. ChimeCore now processes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We have completed the migration of accounts and existing products to ChimeCore, but we cannot provide assurances regarding the future success of this full transition to ChimeCore.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spacing w:after="0" w:line="13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the experience and expertise of our Co-Founders, senior management team, and key technical employees, and the loss of any such key employee may adversely affect our business, financial condition, and results of operations.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the continued service of Christopher Britt, our Co-Founder, Chairman, and Chief Executive Officer, and Ryan King, our Co-Founder and a member of our board of directors, as well as our senior management team and other key employees. From time to time, we have experienced transitions in executive leadership roles, and future changes could disrupt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or motivate key personnel, hire qualified personnel, or maintain our corporate culture, our business, financial condition, and results of operations may be adversely affected.</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attracting new employees and retaining and motivating our existing employees. If the actual or perceived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spacing w:after="0" w:line="1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0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spacing w:after="0" w:line="1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future growth, and we may not be able to manage our growth effectively, which may adversely affect our business, financial condition, and results of operations.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number of risks related to our strategic transactions which may adversely affect our business, financial condition, and results of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In September 2026, we entered into the Merger Agreement to acquire CSC, the parent holding company of Stride. For a discussion of risks related to the Stride Acquisition, see the section titled “Risks Related to the Pending Stride Acquisition.”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spacing w:after="0" w:line="14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Acquisitions involve numerous risks, any of which may harm our business and negatively affect our financial condition and results of operations, including:</w:t>
      </w:r>
    </w:p>
    <w:p>
      <w:pPr>
        <w:spacing w:after="0" w:line="108" w:lineRule="exact"/>
        <w:rPr>
          <w:sz w:val="20"/>
          <w:szCs w:val="20"/>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may increase prices and adversely affect our ability to consummate deals on favorable or acceptable terms;</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delays, or conditions imposed upon the acquisition or transaction, including due to required regulatory approvals or consents, or fees that may be triggered upon a failure to consummate an acquisition or transaction for certain reasons;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and obtain required regulatory approvals, licenses, and permits;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or dilution related to equity issuances in connection with a transaction;</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strategic investments, and other strategic transactions, or if we fail to successfully integrate such acquisitions or investments, our business, financial condition, and results of operations may be adversely affected.</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spacing w:after="0" w:line="10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3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14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OCC, the Federal Reserve Board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laws or regulations by us, our bank partners, or other third parties may subject us to a wide array of consequences, including investigations, sanctions, enforcement actions, disgorgement of unjust enrichment,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spacing w:after="0" w:line="13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lawmakers, regulators and other public officials include interchange fee regulation, program monetization (including interest and fee structures and voluntary tipping by consumers), bank partnership supervision and regulation, earned wage access, disclosures, and the risks posed to consumers by digital-only financial services companies, including with respect to access to accounts, account closures, accuracy of account records, service interruptions, privacy and data protection concerns, fraud, and data breaches. Regulators and lawmakers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new laws or regulations related to interchange fees may be enacted. For example, in 2024 Illinois enacted the Interchange Fee Prohibition Act (“IFPA”), which, among other things, prohibits card issuers, card networks, and other entities from receiving interchange fees from or charging a merchant on the portion of a card transaction that is attributable to taxes or gratuities. Pursuant to an interim final rule and interim final order, as issued by the OCC on April 24, 2026, national banks such as our current bank partners are not subject to or required to comply with the IFPA. However, the OCC’s actions may not fully resolve the uncertainties associated with the IFPA, including how courts may ultimately interpret the OCC’s preemption determinations. Should the IFPA or other legislation regulating interchange fees in other jurisdictions go into effect, then revenue from interchange-based fees that we derive from transactions subject to such legislation may be harmed. Complying with a patchwork of state laws governing interchange fees may create compliance burdens for our bank partners and us,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partnerships, FDIC regulations and policies, and other regulatory obligations, which may adversely affect our business, financial condition, and results of operations.</w:t>
      </w:r>
    </w:p>
    <w:p>
      <w:pPr>
        <w:spacing w:after="0" w:line="10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 by each of our bank partners in an omnibus account (a deposit account established for the benefit of multiple beneficial owners) on their books for the benefit of our members,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spacing w:after="0" w:line="1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partners in connection with these programs, we are subject to evolving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3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CFPB has significant authority to regulate consumer financial services, and there is uncertainty as to how the agency’s actions or the actions of any other agency may impact our business.</w:t>
      </w:r>
    </w:p>
    <w:p>
      <w:pPr>
        <w:spacing w:after="0" w:line="10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require reports concerning our organization, business conduct, markets, and activities.</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the CFPB changes or modifies federal consumer financial protection regulations under its rulemaking authority, modifies past regulatory guidance or prior interpretations, or interprets existing regulations in a different or stricter manner than prior interpretations by us, the industry, or other regulators, our compliance costs and litigation exposure may increase materially. For example, the application of existing fair-lending and consumer financial protection laws, including the Equal Credit Opportunity Act and Regulation B, to credit risk models that use alternative data, automated decision-making, or AI and ML remains subject to evolving regulatory interpretations. Regulators may apply the law in ways that require us or our bank partners to modify models, governance, adverse-action notice practices, monitoring, or related controls, which could increase compliance costs, reduce product flexibility, limit product availability or eligibility, or otherwise adversely affect our business, financial condition, and results of operations. In addition, federal and state regulatory priorities with respect to AI and automated decision-making remain subject to change, which may make business planning more difficult and increase the risk of inconsistent or overlapping supervisory expectations.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w:t>
      </w:r>
    </w:p>
    <w:p>
      <w:pPr>
        <w:spacing w:after="0" w:line="13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spacing w:after="0" w:line="105"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spacing w:after="0" w:line="138"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7"/>
          <w:szCs w:val="17"/>
          <w:color w:val="auto"/>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w:t>
      </w:r>
    </w:p>
    <w:p>
      <w:pPr>
        <w:spacing w:after="0" w:line="2" w:lineRule="exact"/>
        <w:rPr>
          <w:sz w:val="20"/>
          <w:szCs w:val="20"/>
          <w:color w:val="auto"/>
        </w:rPr>
      </w:pPr>
    </w:p>
    <w:p>
      <w:pPr>
        <w:ind w:firstLine="8"/>
        <w:spacing w:after="0" w:line="253"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principles of federal preemption, the terms and conditions of the loans originated by banks such as our bank partners are based on the authority given to national banks and the maximum permitted rates for a “most favored lender” in the state from which the bank originates the loan. Additionally, through either federal preemption or express statutory exemptions, bank-originated loans typically are not subject to state consumer finance rate and fee restrictions, and also,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spacing w:after="0" w:line="13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spacing w:after="0" w:line="13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laws and regulations as we introduce new products or update our platform, which may adversely affect our business, financial condition, and results of operations.</w:t>
      </w:r>
    </w:p>
    <w:p>
      <w:pPr>
        <w:spacing w:after="0" w:line="10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highly regulated environment in which our bank partners operate may adversely affect our business, financial condition, and results of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spacing w:after="0" w:line="13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operating without having obtained necessary state or local licenses, our business, financial condition, and results of operations may be adversely affected.</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Some states have adopted laws regulating and requiring licensing or registration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continues to evolve and may vary by jurisdiction. In addition, state and local licensing requirements may change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other requirements relating to privacy, data protection, and data security may adversely affect our brand, business, financial condition, and results of operations.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or as the result of new business activities or acquisitions, such as the Stride Acquisition, which may require us to change our business practices and result in increased compliance costs.</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Certain of our information processing activities are subject to requirements of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deletion, transfer, and other processing of their residents’ personal information. For example,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 Beginning January 1, 2027, regulations under the CCPA also impose requirements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businesses that use automated decisionmaking technology to make significant decisions about consumers, including decisions regarding financial or lending services, such as pre-use notices and, subject to certain exceptions, consumer rights to opt out of and access information about such use. Although the CCPA exempts certain information subject to the GLBA, that exemption may not cover all personal information we process, and to the extent these requirements apply to our activities, compliance with these requirements, including following the completion of the Stride Acquisition, may increase our costs, require us to modify our products or models, or subject us to enforcement actions.</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spacing w:after="0" w:line="135"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storage,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applicable state attorneys general, or other regulatory authorities.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spacing w:after="0" w:line="12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Although Chime Financial, Inc. does not currently engage as a business in the transfer of funds and is not a “money services business” or otherwise subject to anti-money-laundering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spacing w:after="0" w:line="13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7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spacing w:after="0" w:line="13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spacing w:after="0" w:line="13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While our software and other proprietary works of authorship may be protected under copyright laws, we have not registered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spacing w:after="0" w:line="11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AI tools by employees may unintentionally upload or reveal our confidential information to third-party AI providers, which could disclose trade secrets and weaken our competitive position.</w:t>
      </w:r>
    </w:p>
    <w:p>
      <w:pPr>
        <w:spacing w:after="0" w:line="1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are extremely costly to defend, may require us to pay significant damages and may limit our ability to use certain technologies or other intellectual property, which may adversely affect our business, financial condition, and results of operations.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and agentic AI impact the industries in which we operate, we face a higher risk of being the subject of such claims.</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may subject us to litigation or other actions, which may adversely affect our business, financial condition, and results of operations.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obligations, or take other remedial actions, any of which may adversely affect our business, financial condition, and results of operations.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Tax Matters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 and any failure to meet our debt obligations may adversely affect our business, financial condition, and results of operations.</w:t>
      </w:r>
    </w:p>
    <w:p>
      <w:pPr>
        <w:spacing w:after="0" w:line="105"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spacing w:after="0" w:line="1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spacing w:after="0" w:line="13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restrictive covenants that may limit our operating flexibility, which may adversely affect our business, financial condition, and results of operations.</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121"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credit facility, we maintain a variety of funding arrangements, including the Warehouse Facility, with a diverse set of funding sources. The availability and diversity of our funding arrangements depends on various factors and are subject to numerous risks, many of which are outside of our control. Disruptions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credit markets or other factors, such as the current inflationary environment and rising interest rates, could adversely affect the availability, diversity, cost, and terms of our funding arrangements. If we are unable to maintain access to, or to expand, our network and diversity of funding arrangements, our business, results of operations, financial condition, and future prospects could be materially and adversely affected.</w:t>
      </w:r>
    </w:p>
    <w:p>
      <w:pPr>
        <w:spacing w:after="0" w:line="12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cannot guarantee that any facility will continue to be available to us on favorable terms, or at all, or that our lenders will continue to extend credit to us. Our funding sources may reassess their exposure to us or our products at any time, and may decline to extend uncommitted financing capacity, decline to renew or replace a facility upon its scheduled maturity, or impose higher costs or more restrictive terms as a condition to continued funding. If we are unable to maintain, renew, expand, or replace one or more of our funding arrangements on acceptable terms to us, or at all, our business, financial condition, and results of operations, including our ability to fund and grow the MyPay product, could be adversely affected.</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agreements governing the Warehouse Facility require the Trust to comply with certain covenants, including covenants tied to the performance of the underlying receivables. A breach of these covenants, or other events of default under the Warehouse Facility, could result in a reduction or termination of our access to the funding available thereunder, an increase in our cost of funding, or require us to repay outstanding amounts prior to their scheduled maturity. We have also agreed to indemnify the lenders under the Warehouse Facility against certain losses, which means that we could be required to make payments to the lenders under the Warehouse Facility under certain circumstances.</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3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may not be available to us on acceptable terms, if at all,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spacing w:after="0" w:line="12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Chime Card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spacing w:after="0" w:line="1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3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spacing w:after="0" w:line="13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metrics and other figures presented herein, and real or perceived inaccuracies in such metrics may adversely affect our brand and our business, financial condition, and results of operations.</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may be adversely affected.</w:t>
      </w:r>
    </w:p>
    <w:p>
      <w:pPr>
        <w:spacing w:after="0" w:line="175"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on our condensed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our common stock prior to our initial public offering.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spacing w:after="0" w:line="13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exposure to greater-than-anticipated tax liabilities, which may adversely affect our business,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may increase our effective tax rate or cash tax payments, which may adversely affect our business, financial condition, and results of operations. For example, in 2022, the Inflation Reduction Act was enacted in the United States, which introduced, among its provisions, a minimum corporate income tax on certain large corporations and an excise tax of 1% on certain share repurchases by publicly-traded corporations. Although we do not anticipate the corporate minimum income tax will currently apply to us, changes in our business and any future regulations or other guidance on the interpretation and application of the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spacing w:after="0" w:line="14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spacing w:after="0" w:line="1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recorded, and may in the future record, significant valuation allowances on our deferred tax assets, which may have a material impact on our results of operations.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If we continue to generate pretax income, sufficient positive evidence may become available in a future period for us to conclude that all or a significant portion of the valuation allowance is no longer required. The timing and amount of any release remain uncertain and will depend on several factors, including the level and sustainability of our profitability. Any future recording or release to our valuation allowance may have an adverse effect on our results of operations.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or other tax attributes to offset future taxable income or tax liabilities may be subject to certain limitations, which may adversely affect our business, financial condition, and results of operations.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$1,123.4 million and $994.7 million 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w:t>
      </w:r>
    </w:p>
    <w:p>
      <w:pPr>
        <w:spacing w:after="0" w:line="13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Macroeconomic Risks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deterioration of macroeconomic conditions may adversely affect our members, which may adversely affect our business, financial condition, and results of operations.</w:t>
      </w:r>
    </w:p>
    <w:p>
      <w:pPr>
        <w:spacing w:after="0" w:line="105"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spacing w:after="0" w:line="11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issues may harm our brand and adversely affect our business, financial condition, and results of operations.</w:t>
      </w:r>
    </w:p>
    <w:p>
      <w:pPr>
        <w:spacing w:after="0" w:line="10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by natural disasters, public health crises, political crises, or other unexpected events.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including cyberattacks by nation-state actors and affiliated groups against U.S. companies, including companies in the financial services sector, or other disruption to us, our bank partners, or other third parties may result in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2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September 30, 2026, Christopher Britt, our Co-Founder, Chairman, and Chief Executive Officer, held approximately 33.5% of the voting power of our outstanding capital stock; and Ryan King, our Co-Founder and a member of our board of directors, held approximately 29.8%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September 30, 2026, Messrs. Britt and King would hold approximately 39.2% and 33.3% of the voting power of our outstanding capital stock. These future issuances of our Class B common stock will further dilute the voting power of our Class A common stock.</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spacing w:after="0" w:line="140"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spacing w:after="0" w:line="129" w:lineRule="exact"/>
        <w:rPr>
          <w:sz w:val="20"/>
          <w:szCs w:val="20"/>
          <w:color w:val="auto"/>
        </w:rPr>
      </w:pPr>
    </w:p>
    <w:p>
      <w:pPr>
        <w:jc w:val="both"/>
        <w:ind w:right="280" w:firstLine="324"/>
        <w:spacing w:after="0" w:line="270" w:lineRule="auto"/>
        <w:rPr>
          <w:sz w:val="20"/>
          <w:szCs w:val="20"/>
          <w:color w:val="auto"/>
        </w:rPr>
      </w:pPr>
      <w:r>
        <w:rPr>
          <w:rFonts w:ascii="Times New Roman" w:cs="Times New Roman" w:eastAsia="Times New Roman" w:hAnsi="Times New Roman"/>
          <w:sz w:val="17"/>
          <w:szCs w:val="17"/>
          <w:color w:val="auto"/>
        </w:rPr>
        <w:t>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future issuances of additional shares of Class B common stock will not be subject to approval by our stockholders except for our Co-Founders and as required by the Nasdaq listing rules. 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may adversely affect the trading market for our Class A common stock.</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and you may lose all or part of your investment.</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spacing w:after="0" w:line="122" w:lineRule="exact"/>
        <w:rPr>
          <w:sz w:val="20"/>
          <w:szCs w:val="20"/>
          <w:color w:val="auto"/>
        </w:rPr>
      </w:pPr>
    </w:p>
    <w:p>
      <w:pPr>
        <w:ind w:left="660" w:right="6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fluctuations due to general economic uncertainty or negative market sentiment;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and trading volumes of technology and financial services stocks;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operating performance and stock market valuations of other technology or financial services companies generally, or those in our industry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significant data breaches involving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non-financial projections we may provide to the public, any changes in those projections or our failure to meet those projections;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data published about us or other companies in our industry, whether or not such data is accurate;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shares of our Class A common stock or the size of our public float;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or expectations with respect to repurchases of our Class A common stock by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Class A common stock or related derivative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action involving us,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or similar strategic transactions,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such as war, incidents of terrorism, pandemics, or responses to such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equity incentive plans, or otherwise will dilute all other stockholders.</w:t>
      </w:r>
    </w:p>
    <w:p>
      <w:pPr>
        <w:spacing w:after="0" w:line="10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 Furthermore, certain stockholders are entitled, under our amended and restated investors’ rights agreement, to demand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2" w:name="page103"/>
    <w:bookmarkEnd w:id="102"/>
    <w:p>
      <w:pPr>
        <w:spacing w:after="0" w:line="13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Repurchases of shares of our Class A Common Stock could also increase the volatility of the trading price of our Class A Common Stock and could diminish our cash reserves.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November 2025, our board of directors authorized a share repurchase program to repurchase up to $200.0 million of our outstanding shares of Class A common stock. In May 2026, our board of directors approved an additional $200.0 million share repurchase authorization. Under this program, repurchases may be made from time to time through open market purchases, in privately negotiated transactions, or by other means, including through the use of trading plans intended to qualify under Rule 10b5-1 under the Exchange Act, in accordance with applicable securities laws. Open market repurchases may be structured to occur in accordance with the requirements of Rule 10b-18 of the Exchange Act. The share repurchase program does not have a fixed expiration date, may be suspended or discontinued at any time, and does not obligate us to acquire any amount of Class A common stock. The timing, manner, and amount of any repurchases will depend on a variety of factors, including legal requirements, price, economic and market conditions and other considerations. In addition, the United States imposes a 1% excise tax on certain stock repurchases, which may increase the costs associated with repurchasing shares of our Class A common stock. We cannot guarantee that the share repurchase program will be fully consummated or that it will enhance long-term stockholder value. The share repurchase program could also affect the trading price of our Class A common stock and increase volatility, and any announcement of a reduction, suspension or termination of the program may result in a decrease in the trading price of our Class A common stock. In addition, repurchasing shares of our Class A common stock could diminish our cash and cash equivalents and marketable securities available to fund working capital, repayment of debt, capital expenditures, strategic acquisitions, investments, or business opportunities, and other general corporate purposes.</w:t>
      </w:r>
    </w:p>
    <w:p>
      <w:pPr>
        <w:spacing w:after="0" w:line="13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0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In addition, following the completion of the Stride Acquisition, our ability to pay dividends will be subject to the policies of the Federal Reserve Board applicable to bank holding companies, and Stride’s ability to pay dividends to us will be subject to restrictions under federal banking laws.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spacing w:after="0" w:line="11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may make a merger, tender offer, or proxy contest difficult, thereby depressing the market price of our Class A common stock.</w:t>
      </w:r>
    </w:p>
    <w:p>
      <w:pPr>
        <w:spacing w:after="0" w:line="105"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29" w:lineRule="exact"/>
        <w:rPr>
          <w:sz w:val="20"/>
          <w:szCs w:val="20"/>
          <w:color w:val="auto"/>
        </w:rPr>
      </w:pPr>
    </w:p>
    <w:p>
      <w:pPr>
        <w:ind w:left="660" w:right="2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our amended and restated certificate of incorporation that require stockholder approval will require the affirmative vote of the holders of at least a majority of the voting power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of our capital stock entitled to vote generally in the election of directors voting together as a single class;</w:t>
      </w:r>
    </w:p>
    <w:p>
      <w:pPr>
        <w:spacing w:after="0" w:line="171" w:lineRule="exact"/>
        <w:rPr>
          <w:sz w:val="20"/>
          <w:szCs w:val="20"/>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our stockholders will only be able to be called by a majority of our entire board of directors, the chairman of our board of directors, our Chief Executive Officer, or our president;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does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allows stockholders to remove directors only for cause;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by our board of directors, without further action by our stockholders.</w:t>
      </w:r>
    </w:p>
    <w:p>
      <w:pPr>
        <w:spacing w:after="0" w:line="10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sole and exclusive forum for</w:t>
      </w:r>
    </w:p>
    <w:p>
      <w:pPr>
        <w:spacing w:after="0" w:line="27" w:lineRule="exact"/>
        <w:rPr>
          <w:sz w:val="20"/>
          <w:szCs w:val="20"/>
          <w:color w:val="auto"/>
        </w:rPr>
      </w:pPr>
    </w:p>
    <w:p>
      <w:pPr>
        <w:ind w:firstLine="8"/>
        <w:spacing w:after="0" w:line="251"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spacing w:after="0" w:line="1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spacing w:after="0" w:line="135"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ind w:left="340" w:right="7380" w:hanging="332"/>
        <w:spacing w:after="0" w:line="474" w:lineRule="auto"/>
        <w:tabs>
          <w:tab w:leader="none" w:pos="27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received net proceeds from our IPO of approximately $770.6 million, after deducting underwriting discounts of $43.5 million and offering expenses of $14.8 million. No payments for such expenses were made directly or indirectly to (i) any of our officers or directors or their associates, (ii) any persons owning 10% or more of any class of our equity securities or (iii) any of our affiliates.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net proceeds from our IPO were used to satisfy our tax withholding and remittance obligations related to the settlement of certain equity awards in connection with the IPO. There has been no material change in the expected use of the net proceeds from our IPO as described in the final prospectus filed with the SEC on June 12, 2025, pursuant to Rule 424(b)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73"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Except as described below, during the three months ended September 30, 2026, none of our officers or directors, as defined in Rule 16a-1(f) of the Exchange Act, adopted, modified, or terminated any contract, instruction, or written plan for the purchase or sale of our securities that was intended to satisfy the affirmative defense conditions of Rule 10b5-1(c) (a “Rule 10b5-1 trading arrangement”) or any “non-Rule 10b5-1 trading arrangement,” as defined in Regulation S-K Item 408.</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2026, Amine Asmerom, our Chief Accounting Officer, adopted a “Rule 10b5-1 trading arrangement” (as defined in Item 408(a) of Regulation S-K) intended to satisfy the affirmative defense of Rule 10b5-1(c) under the Exchange Act pursuant to which he may sell up to 79,913 shares of our Class A common stock on or prior to June 15, 2027.</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16, 2026, Christopher Britt, our Chief Executive Officer and the chairman of our Board of Directors, through the Britt Living Trust, adopted a “Rule 10b5-1 trading arrangement” (as defined in Item 408(a) of Regulation S-K) intended to satisfy the affirmative defense of Rule 10b5-1(c) under the Exchange Act pursuant to which he may sell up to 1,750,000 shares of our Class A common stock on or prior to December 17, 2027. This trading arrangement will not commence until the expiration of Mr. Britt’s previous trading arrangement by its terms on December 5, 2026.</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2026, Mark Troughton, our President and Interim Chief Financial Officer, adopted a “Rule 10b5-1 trading arrangement” (as defined in Item 408(a) of Regulation S-K) intended to satisfy the affirmative defense of Rule 10b5-1(c) under the Exchange Act pursuant to which he may sell up to 750,000 shares of our Class A common stock on or prior to May 31, 2027.</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September 16, 2026, Ryan King, our Co-Founder and a member of our Board of Directors, through the King Family Trust, adopted a “Rule 10b5-1 trading arrangement” (as defined in Item 408(a) of Regulation S-K) intended to satisfy the affirmative defense of Rule 10b5-1(c) under the Exchange Act pursuant to which he may sell up to 2,250,000 shares of our Class A common stock on or prior to January 6, 2028. This trading arrangement will not commence until the expiration of Mr. King’s previous trading arrangement by its terms on January 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 or are incorporated herein by reference, in each case as indicated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8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840" w:type="dxa"/>
            <w:vAlign w:val="bottom"/>
            <w:vMerge w:val="restart"/>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88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0" w:type="dxa"/>
            <w:vAlign w:val="bottom"/>
            <w:shd w:val="clear" w:color="auto" w:fill="CCEEFF"/>
          </w:tcPr>
          <w:p>
            <w:pPr>
              <w:jc w:val="right"/>
              <w:ind w:right="465"/>
              <w:spacing w:after="0" w:line="174" w:lineRule="exact"/>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80" w:type="dxa"/>
            <w:vAlign w:val="bottom"/>
            <w:gridSpan w:val="4"/>
            <w:shd w:val="clear" w:color="auto" w:fill="CCEEFF"/>
          </w:tcPr>
          <w:p>
            <w:pPr>
              <w:spacing w:after="0" w:line="174"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Agreement and Plan of Merger, dated as of September 8, 2026, by and among</w:t>
              </w:r>
            </w:hyperlink>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3"/>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September 8,</w:t>
            </w:r>
          </w:p>
        </w:tc>
        <w:tc>
          <w:tcPr>
            <w:tcW w:w="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4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Chime Financial, Inc., Clocktower Merger Sub, Inc. and Central Service</w:t>
              </w:r>
            </w:hyperlink>
          </w:p>
        </w:tc>
        <w:tc>
          <w:tcPr>
            <w:tcW w:w="440" w:type="dxa"/>
            <w:vAlign w:val="bottom"/>
            <w:tcBorders>
              <w:top w:val="single" w:sz="8" w:color="CCEEFF"/>
            </w:tcBorders>
            <w:gridSpan w:val="2"/>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gridSpan w:val="3"/>
            <w:vMerge w:val="continue"/>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7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Corporation.*</w:t>
              </w:r>
            </w:hyperlink>
          </w:p>
        </w:tc>
        <w:tc>
          <w:tcPr>
            <w:tcW w:w="780" w:type="dxa"/>
            <w:vAlign w:val="bottom"/>
            <w:tcBorders>
              <w:top w:val="single" w:sz="8" w:color="CCEEFF"/>
            </w:tcBorders>
            <w:gridSpan w:val="3"/>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jc w:val="center"/>
              <w:ind w:left="184"/>
              <w:spacing w:after="0" w:line="142" w:lineRule="exact"/>
              <w:rPr>
                <w:sz w:val="20"/>
                <w:szCs w:val="20"/>
                <w:color w:val="auto"/>
              </w:rPr>
            </w:pPr>
            <w:r>
              <w:rPr>
                <w:rFonts w:ascii="Times New Roman" w:cs="Times New Roman" w:eastAsia="Times New Roman" w:hAnsi="Times New Roman"/>
                <w:sz w:val="16"/>
                <w:szCs w:val="16"/>
                <w:color w:val="auto"/>
              </w:rPr>
              <w:t>8-K</w:t>
            </w:r>
          </w:p>
        </w:tc>
        <w:tc>
          <w:tcPr>
            <w:tcW w:w="1500" w:type="dxa"/>
            <w:vAlign w:val="bottom"/>
            <w:tcBorders>
              <w:top w:val="single" w:sz="8" w:color="CCEEFF"/>
            </w:tcBorders>
            <w:gridSpan w:val="3"/>
            <w:shd w:val="clear" w:color="auto" w:fill="CCEEFF"/>
          </w:tcPr>
          <w:p>
            <w:pPr>
              <w:jc w:val="center"/>
              <w:ind w:left="304"/>
              <w:spacing w:after="0" w:line="142" w:lineRule="exact"/>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ind w:right="404"/>
              <w:spacing w:after="0" w:line="142" w:lineRule="exact"/>
              <w:rPr>
                <w:sz w:val="20"/>
                <w:szCs w:val="20"/>
                <w:color w:val="auto"/>
              </w:rPr>
            </w:pPr>
            <w:r>
              <w:rPr>
                <w:rFonts w:ascii="Times New Roman" w:cs="Times New Roman" w:eastAsia="Times New Roman" w:hAnsi="Times New Roman"/>
                <w:sz w:val="16"/>
                <w:szCs w:val="16"/>
                <w:color w:val="auto"/>
              </w:rPr>
              <w:t>2.1</w:t>
            </w:r>
          </w:p>
        </w:tc>
        <w:tc>
          <w:tcPr>
            <w:tcW w:w="1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175"/>
        </w:trPr>
        <w:tc>
          <w:tcPr>
            <w:tcW w:w="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5220" w:type="dxa"/>
            <w:vAlign w:val="bottom"/>
            <w:gridSpan w:val="13"/>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Amended and Restated Certificate of Incorporation of the registrant.</w:t>
              </w:r>
            </w:hyperlink>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1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Amended and Restated Bylaws of the registrant.</w:t>
              </w:r>
            </w:hyperlink>
          </w:p>
        </w:tc>
        <w:tc>
          <w:tcPr>
            <w:tcW w:w="1280" w:type="dxa"/>
            <w:vAlign w:val="bottom"/>
            <w:tcBorders>
              <w:top w:val="single" w:sz="8" w:color="0000FF"/>
            </w:tcBorders>
          </w:tcPr>
          <w:p>
            <w:pPr>
              <w:spacing w:after="0"/>
              <w:rPr>
                <w:sz w:val="19"/>
                <w:szCs w:val="19"/>
                <w:color w:val="auto"/>
              </w:rPr>
            </w:pPr>
          </w:p>
        </w:tc>
        <w:tc>
          <w:tcPr>
            <w:tcW w:w="800" w:type="dxa"/>
            <w:vAlign w:val="bottom"/>
            <w:gridSpan w:val="7"/>
          </w:tcPr>
          <w:p>
            <w:pPr>
              <w:spacing w:after="0"/>
              <w:rPr>
                <w:sz w:val="19"/>
                <w:szCs w:val="19"/>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220" w:type="dxa"/>
            <w:vAlign w:val="bottom"/>
            <w:gridSpan w:val="1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Transition Agreement, dated as of August 2, 2026, between Matthew Newcomb</w:t>
              </w:r>
            </w:hyperlink>
          </w:p>
        </w:tc>
      </w:tr>
      <w:tr>
        <w:trPr>
          <w:trHeight w:val="142"/>
        </w:trPr>
        <w:tc>
          <w:tcPr>
            <w:tcW w:w="940" w:type="dxa"/>
            <w:vAlign w:val="bottom"/>
          </w:tcPr>
          <w:p>
            <w:pPr>
              <w:spacing w:after="0"/>
              <w:rPr>
                <w:sz w:val="12"/>
                <w:szCs w:val="12"/>
                <w:color w:val="auto"/>
              </w:rPr>
            </w:pPr>
          </w:p>
        </w:tc>
        <w:tc>
          <w:tcPr>
            <w:tcW w:w="11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and the Company.</w:t>
              </w:r>
            </w:hyperlink>
          </w:p>
        </w:tc>
        <w:tc>
          <w:tcPr>
            <w:tcW w:w="40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52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Outside Director Compensation Policy.</w:t>
            </w:r>
          </w:p>
        </w:tc>
      </w:tr>
      <w:tr>
        <w:trPr>
          <w:trHeight w:val="20"/>
        </w:trPr>
        <w:tc>
          <w:tcPr>
            <w:tcW w:w="9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2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pursuant to Exchange Act Rules</w:t>
            </w:r>
          </w:p>
        </w:tc>
      </w:tr>
      <w:tr>
        <w:trPr>
          <w:trHeight w:val="142"/>
        </w:trPr>
        <w:tc>
          <w:tcPr>
            <w:tcW w:w="940" w:type="dxa"/>
            <w:vAlign w:val="bottom"/>
          </w:tcPr>
          <w:p>
            <w:pPr>
              <w:spacing w:after="0"/>
              <w:rPr>
                <w:sz w:val="12"/>
                <w:szCs w:val="12"/>
                <w:color w:val="auto"/>
              </w:rPr>
            </w:pPr>
          </w:p>
        </w:tc>
        <w:tc>
          <w:tcPr>
            <w:tcW w:w="518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13a-14(a) and 15d-14(a), as adopted pursuant to Section 302 of the Sarbanes-</w:t>
            </w:r>
          </w:p>
        </w:tc>
        <w:tc>
          <w:tcPr>
            <w:tcW w:w="40" w:type="dxa"/>
            <w:vAlign w:val="bottom"/>
            <w:gridSpan w:val="2"/>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02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2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the Principal Financial Officer pursuant to Exchange Act Rules</w:t>
            </w:r>
          </w:p>
        </w:tc>
      </w:tr>
      <w:tr>
        <w:trPr>
          <w:trHeight w:val="142"/>
        </w:trPr>
        <w:tc>
          <w:tcPr>
            <w:tcW w:w="940" w:type="dxa"/>
            <w:vAlign w:val="bottom"/>
          </w:tcPr>
          <w:p>
            <w:pPr>
              <w:spacing w:after="0"/>
              <w:rPr>
                <w:sz w:val="12"/>
                <w:szCs w:val="12"/>
                <w:color w:val="auto"/>
              </w:rPr>
            </w:pPr>
          </w:p>
        </w:tc>
        <w:tc>
          <w:tcPr>
            <w:tcW w:w="514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13a-14(a) and 15d-14(a), as adopted pursuant to Section 302 of the Sarbanes-</w:t>
            </w:r>
          </w:p>
        </w:tc>
        <w:tc>
          <w:tcPr>
            <w:tcW w:w="80" w:type="dxa"/>
            <w:vAlign w:val="bottom"/>
            <w:gridSpan w:val="3"/>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02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4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52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 Financial Officer</w:t>
            </w:r>
          </w:p>
        </w:tc>
      </w:tr>
      <w:tr>
        <w:trPr>
          <w:trHeight w:val="20"/>
        </w:trPr>
        <w:tc>
          <w:tcPr>
            <w:tcW w:w="94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5220" w:type="dxa"/>
            <w:vAlign w:val="bottom"/>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pursuant to 18 U.S.C. Section 1350, as adopted pursuant to Section 906 of the</w:t>
            </w:r>
          </w:p>
        </w:tc>
      </w:tr>
      <w:tr>
        <w:trPr>
          <w:trHeight w:val="142"/>
        </w:trPr>
        <w:tc>
          <w:tcPr>
            <w:tcW w:w="940" w:type="dxa"/>
            <w:vAlign w:val="bottom"/>
          </w:tcPr>
          <w:p>
            <w:pPr>
              <w:spacing w:after="0"/>
              <w:rPr>
                <w:sz w:val="12"/>
                <w:szCs w:val="12"/>
                <w:color w:val="auto"/>
              </w:rPr>
            </w:pPr>
          </w:p>
        </w:tc>
        <w:tc>
          <w:tcPr>
            <w:tcW w:w="50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60" w:type="dxa"/>
            <w:vAlign w:val="bottom"/>
            <w:gridSpan w:val="4"/>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342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7" w:lineRule="exact"/>
        <w:rPr>
          <w:sz w:val="20"/>
          <w:szCs w:val="20"/>
          <w:color w:val="auto"/>
        </w:rPr>
      </w:pPr>
    </w:p>
    <w:p>
      <w:pPr>
        <w:ind w:left="960" w:hanging="934"/>
        <w:spacing w:after="0" w:line="220"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September 30, 2026, formatted in Inline XBRL: (i) Condensed Consolidated Balance Sheets, (ii) Condensed Consolidated Statements of Operations, (iii) Condensed Consolidated Statements of Comprehensive Income (Loss), (iv) Condensed Consolidated Statements of Cash Flows, (v) Condensed Consolidated Statements of Stockholders’ Equity,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7132320" cy="754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ind w:left="960" w:right="140" w:hanging="934"/>
        <w:spacing w:after="0" w:line="245" w:lineRule="auto"/>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in Inline XBRL (included in Exhibit 101)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10-Q</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11, 2025</w:t>
            </w: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3.1</w:t>
            </w:r>
          </w:p>
        </w:tc>
      </w:tr>
      <w:tr>
        <w:trPr>
          <w:trHeight w:val="243"/>
        </w:trPr>
        <w:tc>
          <w:tcPr>
            <w:tcW w:w="6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10-Q</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11, 2025</w:t>
            </w: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3.2</w:t>
            </w:r>
          </w:p>
        </w:tc>
      </w:tr>
      <w:tr>
        <w:trPr>
          <w:trHeight w:val="378"/>
        </w:trPr>
        <w:tc>
          <w:tcPr>
            <w:tcW w:w="6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8-K</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5, 2026</w:t>
            </w: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10.1</w:t>
            </w:r>
          </w:p>
        </w:tc>
      </w:tr>
    </w:tbl>
    <w:p>
      <w:pPr>
        <w:spacing w:after="0" w:line="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X</w:t>
      </w:r>
    </w:p>
    <w:p>
      <w:pPr>
        <w:spacing w:after="0" w:line="229" w:lineRule="exact"/>
        <w:rPr>
          <w:sz w:val="20"/>
          <w:szCs w:val="20"/>
          <w:color w:val="auto"/>
        </w:rPr>
      </w:pPr>
    </w:p>
    <w:p>
      <w:pPr>
        <w:sectPr>
          <w:pgSz w:w="11900" w:h="16838" w:orient="portrait"/>
          <w:cols w:equalWidth="0" w:num="2">
            <w:col w:w="6320" w:space="500"/>
            <w:col w:w="4420"/>
          </w:cols>
          <w:pgMar w:left="320" w:top="1440"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right="80" w:firstLine="332"/>
        <w:spacing w:after="0" w:line="261" w:lineRule="auto"/>
        <w:tabs>
          <w:tab w:leader="none" w:pos="5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26" w:lineRule="exact"/>
        <w:rPr>
          <w:sz w:val="20"/>
          <w:szCs w:val="20"/>
          <w:color w:val="auto"/>
        </w:rPr>
      </w:pPr>
    </w:p>
    <w:p>
      <w:pPr>
        <w:ind w:right="320" w:firstLine="332"/>
        <w:spacing w:after="0" w:line="266" w:lineRule="auto"/>
        <w:tabs>
          <w:tab w:leader="none" w:pos="5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or exhibit will be furnished supplementally to the SEC upon request; provided, however, that the parties may request confidential treatment pursuant to Rule 24b-2 of the Exchange Act for any document so furnished.</w:t>
      </w:r>
    </w:p>
    <w:p>
      <w:pPr>
        <w:spacing w:after="0" w:line="12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7" w:name="page108"/>
    <w:bookmarkEnd w:id="10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in San Francisco, California, on November 5, 2026.</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08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CHIME FINANCIAL, INC.</w:t>
            </w:r>
          </w:p>
        </w:tc>
      </w:tr>
      <w:tr>
        <w:trPr>
          <w:trHeight w:val="48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32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Britt</w:t>
            </w:r>
          </w:p>
        </w:tc>
      </w:tr>
      <w:tr>
        <w:trPr>
          <w:trHeight w:val="218"/>
        </w:trPr>
        <w:tc>
          <w:tcPr>
            <w:tcW w:w="4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r>
      <w:tr>
        <w:trPr>
          <w:trHeight w:val="234"/>
        </w:trPr>
        <w:tc>
          <w:tcPr>
            <w:tcW w:w="4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49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32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Troughton</w:t>
            </w:r>
          </w:p>
        </w:tc>
      </w:tr>
      <w:tr>
        <w:trPr>
          <w:trHeight w:val="218"/>
        </w:trPr>
        <w:tc>
          <w:tcPr>
            <w:tcW w:w="4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r>
      <w:tr>
        <w:trPr>
          <w:trHeight w:val="234"/>
        </w:trPr>
        <w:tc>
          <w:tcPr>
            <w:tcW w:w="4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Interim Chief Financial Officer</w:t>
            </w:r>
          </w:p>
        </w:tc>
      </w:tr>
    </w:tbl>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CHIME FINANCIAL,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on August 27, 2026 (to be effective January 1, 2027)</w:t>
      </w:r>
    </w:p>
    <w:p>
      <w:pPr>
        <w:spacing w:after="0" w:line="200" w:lineRule="exact"/>
        <w:rPr>
          <w:sz w:val="20"/>
          <w:szCs w:val="20"/>
          <w:color w:val="auto"/>
        </w:rPr>
      </w:pPr>
    </w:p>
    <w:p>
      <w:pPr>
        <w:spacing w:after="0" w:line="249" w:lineRule="exact"/>
        <w:rPr>
          <w:sz w:val="20"/>
          <w:szCs w:val="20"/>
          <w:color w:val="auto"/>
        </w:rPr>
      </w:pPr>
    </w:p>
    <w:p>
      <w:pPr>
        <w:jc w:val="both"/>
        <w:ind w:hanging="1"/>
        <w:spacing w:after="0" w:line="261" w:lineRule="auto"/>
        <w:rPr>
          <w:sz w:val="20"/>
          <w:szCs w:val="20"/>
          <w:color w:val="auto"/>
        </w:rPr>
      </w:pPr>
      <w:r>
        <w:rPr>
          <w:rFonts w:ascii="Times New Roman" w:cs="Times New Roman" w:eastAsia="Times New Roman" w:hAnsi="Times New Roman"/>
          <w:sz w:val="21"/>
          <w:szCs w:val="21"/>
          <w:color w:val="auto"/>
        </w:rPr>
        <w:t>Chime Financial,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u w:val="single" w:color="auto"/>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supersedes any existing Company policy regarding cash compensation and grants of equity awards to its Outside Directors. Unless otherwise defined herein, capitalized terms used in this Policy will have the meaning given such term in the Company’s 2025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5" w:lineRule="exact"/>
        <w:rPr>
          <w:sz w:val="20"/>
          <w:szCs w:val="20"/>
          <w:color w:val="auto"/>
        </w:rPr>
      </w:pPr>
    </w:p>
    <w:p>
      <w:pPr>
        <w:jc w:val="both"/>
        <w:ind w:firstLine="656"/>
        <w:spacing w:after="0" w:line="256"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will be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may be amended by the Board from time to time.</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Board Member Annual Cash Retainer</w:t>
      </w:r>
      <w:r>
        <w:rPr>
          <w:rFonts w:ascii="Times New Roman" w:cs="Times New Roman" w:eastAsia="Times New Roman" w:hAnsi="Times New Roman"/>
          <w:sz w:val="22"/>
          <w:szCs w:val="22"/>
          <w:color w:val="auto"/>
        </w:rPr>
        <w:t>. Each Outside Director will be paid an annual cash retainer of $50,000. There are no per meeting attendance fees for attending Board meetings or meetings of any committee of the Board.</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Additional Annual Cash Retainers</w:t>
      </w:r>
      <w:r>
        <w:rPr>
          <w:rFonts w:ascii="Times New Roman" w:cs="Times New Roman" w:eastAsia="Times New Roman" w:hAnsi="Times New Roman"/>
          <w:sz w:val="22"/>
          <w:szCs w:val="22"/>
          <w:color w:val="auto"/>
        </w:rPr>
        <w:t>. As of the Effective Date, each Outside Director who serves as the Chair of the Board, or the chair or a member of a committee of the Board, will be eligible to earn additional annual fees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Non-Executive Chair of the Board:</w:t>
            </w:r>
          </w:p>
        </w:tc>
        <w:tc>
          <w:tcPr>
            <w:tcW w:w="520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$50,000</w:t>
            </w:r>
          </w:p>
        </w:tc>
      </w:tr>
      <w:tr>
        <w:trPr>
          <w:trHeight w:val="69"/>
        </w:trPr>
        <w:tc>
          <w:tcPr>
            <w:tcW w:w="6040" w:type="dxa"/>
            <w:vAlign w:val="bottom"/>
          </w:tcPr>
          <w:p>
            <w:pPr>
              <w:spacing w:after="0"/>
              <w:rPr>
                <w:sz w:val="6"/>
                <w:szCs w:val="6"/>
                <w:color w:val="auto"/>
              </w:rPr>
            </w:pPr>
          </w:p>
        </w:tc>
        <w:tc>
          <w:tcPr>
            <w:tcW w:w="5200" w:type="dxa"/>
            <w:vAlign w:val="bottom"/>
          </w:tcPr>
          <w:p>
            <w:pPr>
              <w:spacing w:after="0"/>
              <w:rPr>
                <w:sz w:val="6"/>
                <w:szCs w:val="6"/>
                <w:color w:val="auto"/>
              </w:rPr>
            </w:pPr>
          </w:p>
        </w:tc>
      </w:tr>
      <w:tr>
        <w:trPr>
          <w:trHeight w:val="336"/>
        </w:trPr>
        <w:tc>
          <w:tcPr>
            <w:tcW w:w="604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5200" w:type="dxa"/>
            <w:vAlign w:val="bottom"/>
            <w:shd w:val="clear" w:color="auto" w:fill="D9D9D9"/>
          </w:tcPr>
          <w:p>
            <w:pPr>
              <w:jc w:val="right"/>
              <w:ind w:right="3292"/>
              <w:spacing w:after="0"/>
              <w:rPr>
                <w:sz w:val="20"/>
                <w:szCs w:val="20"/>
                <w:color w:val="auto"/>
              </w:rPr>
            </w:pPr>
            <w:r>
              <w:rPr>
                <w:rFonts w:ascii="Times New Roman" w:cs="Times New Roman" w:eastAsia="Times New Roman" w:hAnsi="Times New Roman"/>
                <w:sz w:val="22"/>
                <w:szCs w:val="22"/>
                <w:color w:val="auto"/>
              </w:rPr>
              <w:t>$25,000</w:t>
            </w:r>
          </w:p>
        </w:tc>
      </w:tr>
      <w:tr>
        <w:trPr>
          <w:trHeight w:val="69"/>
        </w:trPr>
        <w:tc>
          <w:tcPr>
            <w:tcW w:w="6040" w:type="dxa"/>
            <w:vAlign w:val="bottom"/>
            <w:shd w:val="clear" w:color="auto" w:fill="D9D9D9"/>
          </w:tcPr>
          <w:p>
            <w:pPr>
              <w:spacing w:after="0"/>
              <w:rPr>
                <w:sz w:val="6"/>
                <w:szCs w:val="6"/>
                <w:color w:val="auto"/>
              </w:rPr>
            </w:pPr>
          </w:p>
        </w:tc>
        <w:tc>
          <w:tcPr>
            <w:tcW w:w="5200" w:type="dxa"/>
            <w:vAlign w:val="bottom"/>
            <w:shd w:val="clear" w:color="auto" w:fill="D9D9D9"/>
          </w:tcPr>
          <w:p>
            <w:pPr>
              <w:spacing w:after="0"/>
              <w:rPr>
                <w:sz w:val="6"/>
                <w:szCs w:val="6"/>
                <w:color w:val="auto"/>
              </w:rPr>
            </w:pPr>
          </w:p>
        </w:tc>
      </w:tr>
      <w:tr>
        <w:trPr>
          <w:trHeight w:val="336"/>
        </w:trPr>
        <w:tc>
          <w:tcPr>
            <w:tcW w:w="6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Audit and Risk Committee Chair:</w:t>
            </w:r>
          </w:p>
        </w:tc>
        <w:tc>
          <w:tcPr>
            <w:tcW w:w="520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$25,000</w:t>
            </w:r>
          </w:p>
        </w:tc>
      </w:tr>
      <w:tr>
        <w:trPr>
          <w:trHeight w:val="69"/>
        </w:trPr>
        <w:tc>
          <w:tcPr>
            <w:tcW w:w="6040" w:type="dxa"/>
            <w:vAlign w:val="bottom"/>
          </w:tcPr>
          <w:p>
            <w:pPr>
              <w:spacing w:after="0"/>
              <w:rPr>
                <w:sz w:val="6"/>
                <w:szCs w:val="6"/>
                <w:color w:val="auto"/>
              </w:rPr>
            </w:pPr>
          </w:p>
        </w:tc>
        <w:tc>
          <w:tcPr>
            <w:tcW w:w="5200" w:type="dxa"/>
            <w:vAlign w:val="bottom"/>
          </w:tcPr>
          <w:p>
            <w:pPr>
              <w:spacing w:after="0"/>
              <w:rPr>
                <w:sz w:val="6"/>
                <w:szCs w:val="6"/>
                <w:color w:val="auto"/>
              </w:rPr>
            </w:pPr>
          </w:p>
        </w:tc>
      </w:tr>
      <w:tr>
        <w:trPr>
          <w:trHeight w:val="336"/>
        </w:trPr>
        <w:tc>
          <w:tcPr>
            <w:tcW w:w="604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Audit and Risk Committee Member:</w:t>
            </w:r>
          </w:p>
        </w:tc>
        <w:tc>
          <w:tcPr>
            <w:tcW w:w="5200" w:type="dxa"/>
            <w:vAlign w:val="bottom"/>
            <w:shd w:val="clear" w:color="auto" w:fill="D9D9D9"/>
          </w:tcPr>
          <w:p>
            <w:pPr>
              <w:jc w:val="right"/>
              <w:ind w:right="3292"/>
              <w:spacing w:after="0"/>
              <w:rPr>
                <w:sz w:val="20"/>
                <w:szCs w:val="20"/>
                <w:color w:val="auto"/>
              </w:rPr>
            </w:pPr>
            <w:r>
              <w:rPr>
                <w:rFonts w:ascii="Times New Roman" w:cs="Times New Roman" w:eastAsia="Times New Roman" w:hAnsi="Times New Roman"/>
                <w:sz w:val="22"/>
                <w:szCs w:val="22"/>
                <w:color w:val="auto"/>
              </w:rPr>
              <w:t>$12,500</w:t>
            </w:r>
          </w:p>
        </w:tc>
      </w:tr>
      <w:tr>
        <w:trPr>
          <w:trHeight w:val="69"/>
        </w:trPr>
        <w:tc>
          <w:tcPr>
            <w:tcW w:w="6040" w:type="dxa"/>
            <w:vAlign w:val="bottom"/>
            <w:shd w:val="clear" w:color="auto" w:fill="D9D9D9"/>
          </w:tcPr>
          <w:p>
            <w:pPr>
              <w:spacing w:after="0"/>
              <w:rPr>
                <w:sz w:val="6"/>
                <w:szCs w:val="6"/>
                <w:color w:val="auto"/>
              </w:rPr>
            </w:pPr>
          </w:p>
        </w:tc>
        <w:tc>
          <w:tcPr>
            <w:tcW w:w="5200" w:type="dxa"/>
            <w:vAlign w:val="bottom"/>
            <w:shd w:val="clear" w:color="auto" w:fill="D9D9D9"/>
          </w:tcPr>
          <w:p>
            <w:pPr>
              <w:spacing w:after="0"/>
              <w:rPr>
                <w:sz w:val="6"/>
                <w:szCs w:val="6"/>
                <w:color w:val="auto"/>
              </w:rPr>
            </w:pPr>
          </w:p>
        </w:tc>
      </w:tr>
      <w:tr>
        <w:trPr>
          <w:trHeight w:val="336"/>
        </w:trPr>
        <w:tc>
          <w:tcPr>
            <w:tcW w:w="6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People, Culture and Compensation Committee Chair:</w:t>
            </w:r>
          </w:p>
        </w:tc>
        <w:tc>
          <w:tcPr>
            <w:tcW w:w="520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rPr>
              <w:t>$20,000</w:t>
            </w:r>
          </w:p>
        </w:tc>
      </w:tr>
      <w:tr>
        <w:trPr>
          <w:trHeight w:val="69"/>
        </w:trPr>
        <w:tc>
          <w:tcPr>
            <w:tcW w:w="6040" w:type="dxa"/>
            <w:vAlign w:val="bottom"/>
          </w:tcPr>
          <w:p>
            <w:pPr>
              <w:spacing w:after="0"/>
              <w:rPr>
                <w:sz w:val="6"/>
                <w:szCs w:val="6"/>
                <w:color w:val="auto"/>
              </w:rPr>
            </w:pPr>
          </w:p>
        </w:tc>
        <w:tc>
          <w:tcPr>
            <w:tcW w:w="5200" w:type="dxa"/>
            <w:vAlign w:val="bottom"/>
          </w:tcPr>
          <w:p>
            <w:pPr>
              <w:spacing w:after="0"/>
              <w:rPr>
                <w:sz w:val="6"/>
                <w:szCs w:val="6"/>
                <w:color w:val="auto"/>
              </w:rPr>
            </w:pPr>
          </w:p>
        </w:tc>
      </w:tr>
      <w:tr>
        <w:trPr>
          <w:trHeight w:val="336"/>
        </w:trPr>
        <w:tc>
          <w:tcPr>
            <w:tcW w:w="604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People, Culture and Compensation Committee Member:</w:t>
            </w:r>
          </w:p>
        </w:tc>
        <w:tc>
          <w:tcPr>
            <w:tcW w:w="5200" w:type="dxa"/>
            <w:vAlign w:val="bottom"/>
            <w:shd w:val="clear" w:color="auto" w:fill="D9D9D9"/>
          </w:tcPr>
          <w:p>
            <w:pPr>
              <w:jc w:val="right"/>
              <w:ind w:right="3292"/>
              <w:spacing w:after="0"/>
              <w:rPr>
                <w:sz w:val="20"/>
                <w:szCs w:val="20"/>
                <w:color w:val="auto"/>
              </w:rPr>
            </w:pPr>
            <w:r>
              <w:rPr>
                <w:rFonts w:ascii="Times New Roman" w:cs="Times New Roman" w:eastAsia="Times New Roman" w:hAnsi="Times New Roman"/>
                <w:sz w:val="22"/>
                <w:szCs w:val="22"/>
                <w:color w:val="auto"/>
              </w:rPr>
              <w:t>$10,000</w:t>
            </w:r>
          </w:p>
        </w:tc>
      </w:tr>
      <w:tr>
        <w:trPr>
          <w:trHeight w:val="69"/>
        </w:trPr>
        <w:tc>
          <w:tcPr>
            <w:tcW w:w="6040" w:type="dxa"/>
            <w:vAlign w:val="bottom"/>
            <w:shd w:val="clear" w:color="auto" w:fill="D9D9D9"/>
          </w:tcPr>
          <w:p>
            <w:pPr>
              <w:spacing w:after="0"/>
              <w:rPr>
                <w:sz w:val="6"/>
                <w:szCs w:val="6"/>
                <w:color w:val="auto"/>
              </w:rPr>
            </w:pPr>
          </w:p>
        </w:tc>
        <w:tc>
          <w:tcPr>
            <w:tcW w:w="5200" w:type="dxa"/>
            <w:vAlign w:val="bottom"/>
            <w:shd w:val="clear" w:color="auto" w:fill="D9D9D9"/>
          </w:tcPr>
          <w:p>
            <w:pPr>
              <w:spacing w:after="0"/>
              <w:rPr>
                <w:sz w:val="6"/>
                <w:szCs w:val="6"/>
                <w:color w:val="auto"/>
              </w:rPr>
            </w:pPr>
          </w:p>
        </w:tc>
      </w:tr>
    </w:tbl>
    <w:p>
      <w:pPr>
        <w:sectPr>
          <w:pgSz w:w="11900" w:h="16838" w:orient="portrait"/>
          <w:cols w:equalWidth="0" w:num="1">
            <w:col w:w="11240"/>
          </w:cols>
          <w:pgMar w:left="320" w:top="122" w:right="339" w:bottom="1440" w:gutter="0" w:footer="0" w:header="0"/>
        </w:sectPr>
      </w:pPr>
    </w:p>
    <w:bookmarkStart w:id="109" w:name="page110"/>
    <w:bookmarkEnd w:id="109"/>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50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$12,000</w:t>
            </w:r>
          </w:p>
        </w:tc>
      </w:tr>
      <w:tr>
        <w:trPr>
          <w:trHeight w:val="69"/>
        </w:trPr>
        <w:tc>
          <w:tcPr>
            <w:tcW w:w="6240" w:type="dxa"/>
            <w:vAlign w:val="bottom"/>
          </w:tcPr>
          <w:p>
            <w:pPr>
              <w:spacing w:after="0"/>
              <w:rPr>
                <w:sz w:val="6"/>
                <w:szCs w:val="6"/>
                <w:color w:val="auto"/>
              </w:rPr>
            </w:pPr>
          </w:p>
        </w:tc>
        <w:tc>
          <w:tcPr>
            <w:tcW w:w="5000" w:type="dxa"/>
            <w:vAlign w:val="bottom"/>
          </w:tcPr>
          <w:p>
            <w:pPr>
              <w:spacing w:after="0"/>
              <w:rPr>
                <w:sz w:val="6"/>
                <w:szCs w:val="6"/>
                <w:color w:val="auto"/>
              </w:rPr>
            </w:pPr>
          </w:p>
        </w:tc>
      </w:tr>
      <w:tr>
        <w:trPr>
          <w:trHeight w:val="336"/>
        </w:trPr>
        <w:tc>
          <w:tcPr>
            <w:tcW w:w="624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5000" w:type="dxa"/>
            <w:vAlign w:val="bottom"/>
            <w:shd w:val="clear" w:color="auto" w:fill="D9D9D9"/>
          </w:tcPr>
          <w:p>
            <w:pPr>
              <w:ind w:left="900"/>
              <w:spacing w:after="0"/>
              <w:rPr>
                <w:sz w:val="20"/>
                <w:szCs w:val="20"/>
                <w:color w:val="auto"/>
              </w:rPr>
            </w:pPr>
            <w:r>
              <w:rPr>
                <w:rFonts w:ascii="Times New Roman" w:cs="Times New Roman" w:eastAsia="Times New Roman" w:hAnsi="Times New Roman"/>
                <w:sz w:val="22"/>
                <w:szCs w:val="22"/>
                <w:color w:val="auto"/>
              </w:rPr>
              <w:t>$6,000</w:t>
            </w:r>
          </w:p>
        </w:tc>
      </w:tr>
      <w:tr>
        <w:trPr>
          <w:trHeight w:val="69"/>
        </w:trPr>
        <w:tc>
          <w:tcPr>
            <w:tcW w:w="6240" w:type="dxa"/>
            <w:vAlign w:val="bottom"/>
            <w:shd w:val="clear" w:color="auto" w:fill="D9D9D9"/>
          </w:tcPr>
          <w:p>
            <w:pPr>
              <w:spacing w:after="0"/>
              <w:rPr>
                <w:sz w:val="6"/>
                <w:szCs w:val="6"/>
                <w:color w:val="auto"/>
              </w:rPr>
            </w:pPr>
          </w:p>
        </w:tc>
        <w:tc>
          <w:tcPr>
            <w:tcW w:w="5000" w:type="dxa"/>
            <w:vAlign w:val="bottom"/>
            <w:shd w:val="clear" w:color="auto" w:fill="D9D9D9"/>
          </w:tcPr>
          <w:p>
            <w:pPr>
              <w:spacing w:after="0"/>
              <w:rPr>
                <w:sz w:val="6"/>
                <w:szCs w:val="6"/>
                <w:color w:val="auto"/>
              </w:rPr>
            </w:pPr>
          </w:p>
        </w:tc>
      </w:tr>
    </w:tbl>
    <w:p>
      <w:pPr>
        <w:spacing w:after="0" w:line="297" w:lineRule="exact"/>
        <w:rPr>
          <w:sz w:val="20"/>
          <w:szCs w:val="20"/>
          <w:color w:val="auto"/>
        </w:rPr>
      </w:pPr>
    </w:p>
    <w:p>
      <w:pPr>
        <w:jc w:val="both"/>
        <w:ind w:hanging="1"/>
        <w:spacing w:after="0" w:line="252"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Payment Timing and Proration</w:t>
      </w:r>
      <w:r>
        <w:rPr>
          <w:rFonts w:ascii="Times New Roman" w:cs="Times New Roman" w:eastAsia="Times New Roman" w:hAnsi="Times New Roman"/>
          <w:sz w:val="22"/>
          <w:szCs w:val="22"/>
          <w:color w:val="auto"/>
        </w:rPr>
        <w:t>. Each annual cash retainer (an “</w:t>
      </w:r>
      <w:r>
        <w:rPr>
          <w:rFonts w:ascii="Times New Roman" w:cs="Times New Roman" w:eastAsia="Times New Roman" w:hAnsi="Times New Roman"/>
          <w:sz w:val="22"/>
          <w:szCs w:val="22"/>
          <w:u w:val="single" w:color="auto"/>
          <w:color w:val="auto"/>
        </w:rPr>
        <w:t>Annual Cash Retainer</w:t>
      </w:r>
      <w:r>
        <w:rPr>
          <w:rFonts w:ascii="Times New Roman" w:cs="Times New Roman" w:eastAsia="Times New Roman" w:hAnsi="Times New Roman"/>
          <w:sz w:val="22"/>
          <w:szCs w:val="22"/>
          <w:color w:val="auto"/>
        </w:rPr>
        <w:t>”)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cs="Times New Roman" w:eastAsia="Times New Roman" w:hAnsi="Times New Roman"/>
          <w:sz w:val="22"/>
          <w:szCs w:val="22"/>
          <w:u w:val="single" w:color="auto"/>
          <w:color w:val="auto"/>
        </w:rPr>
        <w:t>Initial Period</w:t>
      </w:r>
      <w:r>
        <w:rPr>
          <w:rFonts w:ascii="Times New Roman" w:cs="Times New Roman" w:eastAsia="Times New Roman" w:hAnsi="Times New Roman"/>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 (a “</w:t>
      </w:r>
      <w:r>
        <w:rPr>
          <w:rFonts w:ascii="Times New Roman" w:cs="Times New Roman" w:eastAsia="Times New Roman" w:hAnsi="Times New Roman"/>
          <w:sz w:val="22"/>
          <w:szCs w:val="22"/>
          <w:u w:val="single" w:color="auto"/>
          <w:color w:val="auto"/>
        </w:rPr>
        <w:t>Prorated Annual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Retainer</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Election to Receive Restricted Stock Units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2592"/>
        <w:spacing w:after="0" w:line="242"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u w:val="single" w:color="auto"/>
          <w:color w:val="auto"/>
        </w:rPr>
        <w:t>Elections</w:t>
      </w:r>
      <w:r>
        <w:rPr>
          <w:rFonts w:ascii="Times New Roman" w:cs="Times New Roman" w:eastAsia="Times New Roman" w:hAnsi="Times New Roman"/>
          <w:sz w:val="22"/>
          <w:szCs w:val="22"/>
          <w:color w:val="auto"/>
        </w:rPr>
        <w:t>. Subject to complying with the Retainer Award Election Mechanics set forth in Section 2.4.6 below, an Outside Director may elect to convert all of his or her Annual Cash Retainer(s) with respect to services to be performed in the four (4) Fiscal Quarters commencing following the effectiveness of such election, and otherwise scheduled to be paid following the completion of each such Fiscal Quarter, into an award of Restricted Stock Units covering a number of Shares determined pursuant to Section 2.4.2 and subject to vesting pursuant to Section 2.4.3 (a “</w:t>
      </w:r>
      <w:r>
        <w:rPr>
          <w:rFonts w:ascii="Times New Roman" w:cs="Times New Roman" w:eastAsia="Times New Roman" w:hAnsi="Times New Roman"/>
          <w:sz w:val="22"/>
          <w:szCs w:val="22"/>
          <w:u w:val="single" w:color="auto"/>
          <w:color w:val="auto"/>
        </w:rPr>
        <w:t>Retainer Award</w:t>
      </w:r>
      <w:r>
        <w:rPr>
          <w:rFonts w:ascii="Times New Roman" w:cs="Times New Roman" w:eastAsia="Times New Roman" w:hAnsi="Times New Roman"/>
          <w:sz w:val="22"/>
          <w:szCs w:val="22"/>
          <w:color w:val="auto"/>
        </w:rPr>
        <w:t>” and such election, a “</w:t>
      </w:r>
      <w:r>
        <w:rPr>
          <w:rFonts w:ascii="Times New Roman" w:cs="Times New Roman" w:eastAsia="Times New Roman" w:hAnsi="Times New Roman"/>
          <w:sz w:val="22"/>
          <w:szCs w:val="22"/>
          <w:u w:val="single" w:color="auto"/>
          <w:color w:val="auto"/>
        </w:rPr>
        <w:t>Retainer Award Election</w:t>
      </w:r>
      <w:r>
        <w:rPr>
          <w:rFonts w:ascii="Times New Roman" w:cs="Times New Roman" w:eastAsia="Times New Roman" w:hAnsi="Times New Roman"/>
          <w:sz w:val="22"/>
          <w:szCs w:val="22"/>
          <w:color w:val="auto"/>
        </w:rPr>
        <w:t>”). The Retainer Award will be issued automatically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first month of the first Fiscal Quarter following the Fiscal Quarter in which such Retainer Award Election becomes effective, and on each anniversary thereafter (the “</w:t>
      </w:r>
      <w:r>
        <w:rPr>
          <w:rFonts w:ascii="Times New Roman" w:cs="Times New Roman" w:eastAsia="Times New Roman" w:hAnsi="Times New Roman"/>
          <w:sz w:val="22"/>
          <w:szCs w:val="22"/>
          <w:u w:val="single" w:color="auto"/>
          <w:color w:val="auto"/>
        </w:rPr>
        <w:t>Retainer Award Grant Date</w:t>
      </w:r>
      <w:r>
        <w:rPr>
          <w:rFonts w:ascii="Times New Roman" w:cs="Times New Roman" w:eastAsia="Times New Roman" w:hAnsi="Times New Roman"/>
          <w:sz w:val="22"/>
          <w:szCs w:val="22"/>
          <w:color w:val="auto"/>
        </w:rPr>
        <w:t>”) so long as the Outside Director remains an Outside Director through an applicable Retainer Award Grant Date and the Retainer Award Election has not been properly withdrawn prior to the applicable Retainer Award Grant Date in accordance with Section 2.4.6 below. Each Retainer Award Election must be submitted to the Company in the form and manner specified by the Board or its Committee. For clarity, in no event will an Outside Director who makes a Retainer Award Election during a Fiscal Quarter receive a Retainer Award in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or in respect of such Fiscal Quarter and, instead, such Retainer Award Election will be considered effective for the four (4) Fiscal Quarters commencing following such Retainer Award Election. Once a Retainer Award Election is validly submitted, it will remain in effect unless revoked by the applicable Outside Director in accordance with Section 2.4.6 below.</w:t>
      </w:r>
    </w:p>
    <w:p>
      <w:pPr>
        <w:spacing w:after="0" w:line="186"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22"/>
          <w:szCs w:val="22"/>
          <w:color w:val="auto"/>
        </w:rPr>
        <w:t xml:space="preserve">2.4.2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number of Shares subject to a Retainer Award will be determined by dividing (x) the amount of the Estimated Future Retainer (as defined below), by (y) the Fair Market Value of a Share on the Retainer Award Grant Date, with the result rounded to the nearest whole Share. The “</w:t>
      </w:r>
      <w:r>
        <w:rPr>
          <w:rFonts w:ascii="Times New Roman" w:cs="Times New Roman" w:eastAsia="Times New Roman" w:hAnsi="Times New Roman"/>
          <w:sz w:val="22"/>
          <w:szCs w:val="22"/>
          <w:u w:val="single" w:color="auto"/>
          <w:color w:val="auto"/>
        </w:rPr>
        <w:t>Estimated Future Retainer</w:t>
      </w:r>
      <w:r>
        <w:rPr>
          <w:rFonts w:ascii="Times New Roman" w:cs="Times New Roman" w:eastAsia="Times New Roman" w:hAnsi="Times New Roman"/>
          <w:sz w:val="22"/>
          <w:szCs w:val="22"/>
          <w:color w:val="auto"/>
        </w:rPr>
        <w:t>” means the portion of the Annual Cash Retainer that would be payable to an Outside Director with respect to the Fiscal Quarter in which an applicable Retainer Award Grant Date occurs, plus the portion of the Annual Cash Retainer that would be payable to an Outside Director for the following three (3) Fiscal Quarters thereafter, as determined based on such Outside Director’s Board and committee roles as of the Retainer Award Grant Date.</w:t>
      </w:r>
    </w:p>
    <w:p>
      <w:pPr>
        <w:spacing w:after="0" w:line="180" w:lineRule="exact"/>
        <w:rPr>
          <w:sz w:val="20"/>
          <w:szCs w:val="20"/>
          <w:color w:val="auto"/>
        </w:rPr>
      </w:pPr>
    </w:p>
    <w:p>
      <w:pPr>
        <w:jc w:val="both"/>
        <w:ind w:firstLine="2592"/>
        <w:spacing w:after="0" w:line="237"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u w:val="single" w:color="auto"/>
          <w:color w:val="auto"/>
        </w:rPr>
        <w:t>Vesting and Settlement of Retainer Award</w:t>
      </w:r>
      <w:r>
        <w:rPr>
          <w:rFonts w:ascii="Times New Roman" w:cs="Times New Roman" w:eastAsia="Times New Roman" w:hAnsi="Times New Roman"/>
          <w:sz w:val="22"/>
          <w:szCs w:val="22"/>
          <w:color w:val="auto"/>
        </w:rPr>
        <w:t>. Subject to the Retainer Adjustments described in Section 2.4.4 below,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Restricted Stock Units subject to each Retainer Award will vest on the last day of the Fiscal Quarter in which it was granted and on the last day of each of the following three (3) Fiscal Quarters thereafter (each, a “</w:t>
      </w:r>
      <w:r>
        <w:rPr>
          <w:rFonts w:ascii="Times New Roman" w:cs="Times New Roman" w:eastAsia="Times New Roman" w:hAnsi="Times New Roman"/>
          <w:sz w:val="22"/>
          <w:szCs w:val="22"/>
          <w:u w:val="single" w:color="auto"/>
          <w:color w:val="auto"/>
        </w:rPr>
        <w:t>Retainer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 Quarterly Vesting Date</w:t>
      </w:r>
      <w:r>
        <w:rPr>
          <w:rFonts w:ascii="Times New Roman" w:cs="Times New Roman" w:eastAsia="Times New Roman" w:hAnsi="Times New Roman"/>
          <w:sz w:val="22"/>
          <w:szCs w:val="22"/>
          <w:color w:val="auto"/>
        </w:rPr>
        <w:t>”), subject to the Outside Director continuing to be an Outside Director through such date. Retainer Awards will be settled in accordance with Section 3.4.</w:t>
      </w:r>
    </w:p>
    <w:p>
      <w:pPr>
        <w:spacing w:after="0" w:line="195" w:lineRule="exact"/>
        <w:rPr>
          <w:sz w:val="20"/>
          <w:szCs w:val="20"/>
          <w:color w:val="auto"/>
        </w:rPr>
      </w:pPr>
    </w:p>
    <w:p>
      <w:pPr>
        <w:jc w:val="both"/>
        <w:ind w:firstLine="2592"/>
        <w:spacing w:after="0" w:line="248" w:lineRule="auto"/>
        <w:rPr>
          <w:sz w:val="20"/>
          <w:szCs w:val="20"/>
          <w:color w:val="auto"/>
        </w:rPr>
      </w:pPr>
      <w:r>
        <w:rPr>
          <w:rFonts w:ascii="Times New Roman" w:cs="Times New Roman" w:eastAsia="Times New Roman" w:hAnsi="Times New Roman"/>
          <w:sz w:val="22"/>
          <w:szCs w:val="22"/>
          <w:color w:val="auto"/>
        </w:rPr>
        <w:t xml:space="preserve">2.4.4 </w:t>
      </w:r>
      <w:r>
        <w:rPr>
          <w:rFonts w:ascii="Times New Roman" w:cs="Times New Roman" w:eastAsia="Times New Roman" w:hAnsi="Times New Roman"/>
          <w:sz w:val="22"/>
          <w:szCs w:val="22"/>
          <w:u w:val="single" w:color="auto"/>
          <w:color w:val="auto"/>
        </w:rPr>
        <w:t>Retainer Adjustments</w:t>
      </w:r>
      <w:r>
        <w:rPr>
          <w:rFonts w:ascii="Times New Roman" w:cs="Times New Roman" w:eastAsia="Times New Roman" w:hAnsi="Times New Roman"/>
          <w:sz w:val="22"/>
          <w:szCs w:val="22"/>
          <w:color w:val="auto"/>
        </w:rPr>
        <w:t>. This section describes the “</w:t>
      </w:r>
      <w:r>
        <w:rPr>
          <w:rFonts w:ascii="Times New Roman" w:cs="Times New Roman" w:eastAsia="Times New Roman" w:hAnsi="Times New Roman"/>
          <w:sz w:val="22"/>
          <w:szCs w:val="22"/>
          <w:u w:val="single" w:color="auto"/>
          <w:color w:val="auto"/>
        </w:rPr>
        <w:t>Retainer Adjustments</w:t>
      </w:r>
      <w:r>
        <w:rPr>
          <w:rFonts w:ascii="Times New Roman" w:cs="Times New Roman" w:eastAsia="Times New Roman" w:hAnsi="Times New Roman"/>
          <w:sz w:val="22"/>
          <w:szCs w:val="22"/>
          <w:color w:val="auto"/>
        </w:rPr>
        <w:t>.” If an Outside Director who elects to receive a Retainer Award terminates service as an Outside Director, on a committee or as chair of a committee prior to a Retainer Award Quarterly Vesting Date, such Outside Director’s Retainer Award, and the vesting schedule with respect to the Fiscal Quarter in which such termination of service as an Outside Director, on a committee, or as chair of a committee occurs, shall be reduced on a pro-rata basis to reflect such termination of service as an Outside Director, on a committee, or as chair of a committee. If an Outside Director terminates service as an Outside Director in full, the portion of any such Retention Award eligible to vest with respect to partial service as an Outside Director actually provided in the Fiscal Quarter of termination of service as an Outside Director shall immediately vest prior to such termination, and any portion of the Retainer Award allocable to and with vesting conditioned on service as an Outside Director for periods occurring following such termination of service as an Outside Director shall be terminated in full. If an Outside Director terminates service on a committee or as chair of a committee but remains an Outside Director, any Retainer Awards shall be reduced on a pro-rata basis with respect to future Fiscal Quarters.</w:t>
      </w:r>
    </w:p>
    <w:p>
      <w:pPr>
        <w:spacing w:after="0" w:line="184" w:lineRule="exact"/>
        <w:rPr>
          <w:sz w:val="20"/>
          <w:szCs w:val="20"/>
          <w:color w:val="auto"/>
        </w:rPr>
      </w:pPr>
    </w:p>
    <w:p>
      <w:pPr>
        <w:jc w:val="both"/>
        <w:ind w:firstLine="2592"/>
        <w:spacing w:after="0" w:line="251" w:lineRule="auto"/>
        <w:rPr>
          <w:sz w:val="20"/>
          <w:szCs w:val="20"/>
          <w:color w:val="auto"/>
        </w:rPr>
      </w:pPr>
      <w:r>
        <w:rPr>
          <w:rFonts w:ascii="Times New Roman" w:cs="Times New Roman" w:eastAsia="Times New Roman" w:hAnsi="Times New Roman"/>
          <w:sz w:val="22"/>
          <w:szCs w:val="22"/>
          <w:color w:val="auto"/>
        </w:rPr>
        <w:t xml:space="preserve">2.4.5 </w:t>
      </w:r>
      <w:r>
        <w:rPr>
          <w:rFonts w:ascii="Times New Roman" w:cs="Times New Roman" w:eastAsia="Times New Roman" w:hAnsi="Times New Roman"/>
          <w:sz w:val="22"/>
          <w:szCs w:val="22"/>
          <w:u w:val="single" w:color="auto"/>
          <w:color w:val="auto"/>
        </w:rPr>
        <w:t>Incremental Retainer Awards</w:t>
      </w:r>
      <w:r>
        <w:rPr>
          <w:rFonts w:ascii="Times New Roman" w:cs="Times New Roman" w:eastAsia="Times New Roman" w:hAnsi="Times New Roman"/>
          <w:sz w:val="22"/>
          <w:szCs w:val="22"/>
          <w:color w:val="auto"/>
        </w:rPr>
        <w:t>. In the event that an Outside Director who has made a Retainer Award Election assumes a role or position entitling the Outside Director to an additional Annual Cash Retainer (for example, by becoming the chair of a committee), then an additional Retainer Award (an “</w:t>
      </w:r>
      <w:r>
        <w:rPr>
          <w:rFonts w:ascii="Times New Roman" w:cs="Times New Roman" w:eastAsia="Times New Roman" w:hAnsi="Times New Roman"/>
          <w:sz w:val="22"/>
          <w:szCs w:val="22"/>
          <w:u w:val="single" w:color="auto"/>
          <w:color w:val="auto"/>
        </w:rPr>
        <w:t>Incremental Retainer Award</w:t>
      </w:r>
      <w:r>
        <w:rPr>
          <w:rFonts w:ascii="Times New Roman" w:cs="Times New Roman" w:eastAsia="Times New Roman" w:hAnsi="Times New Roman"/>
          <w:sz w:val="22"/>
          <w:szCs w:val="22"/>
          <w:color w:val="auto"/>
        </w:rPr>
        <w:t>”) will be issued automatically upon assumption of such role or position (such date, the “</w:t>
      </w:r>
      <w:r>
        <w:rPr>
          <w:rFonts w:ascii="Times New Roman" w:cs="Times New Roman" w:eastAsia="Times New Roman" w:hAnsi="Times New Roman"/>
          <w:sz w:val="22"/>
          <w:szCs w:val="22"/>
          <w:u w:val="single" w:color="auto"/>
          <w:color w:val="auto"/>
        </w:rPr>
        <w:t>Incremental Retainer Award Grant Date</w:t>
      </w:r>
      <w:r>
        <w:rPr>
          <w:rFonts w:ascii="Times New Roman" w:cs="Times New Roman" w:eastAsia="Times New Roman" w:hAnsi="Times New Roman"/>
          <w:sz w:val="22"/>
          <w:szCs w:val="22"/>
          <w:color w:val="auto"/>
        </w:rPr>
        <w:t>”). The number of Shares subject to an Incremental Retainer Award shall be determined in accordance with the provisions of Section 2.4.2, except that, for this purpose, the “</w:t>
      </w:r>
      <w:r>
        <w:rPr>
          <w:rFonts w:ascii="Times New Roman" w:cs="Times New Roman" w:eastAsia="Times New Roman" w:hAnsi="Times New Roman"/>
          <w:sz w:val="22"/>
          <w:szCs w:val="22"/>
          <w:u w:val="single" w:color="auto"/>
          <w:color w:val="auto"/>
        </w:rPr>
        <w:t>Estimated Future Retainer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shall be the Annual Cash Retainer that would be payable to the Outside Director for the newly assumed role or position with respect to the Fiscal Quarter in which the Incremental Retainer Award Grant Date occurs, and each additional Fiscal Quarter remaining with respect to the Retainer Award outstanding on the Incremental Retainer Award Grant Date. The Incremental Retainer Award shall vest and settle in accordance with Section 2.4.3.</w:t>
      </w:r>
    </w:p>
    <w:p>
      <w:pPr>
        <w:spacing w:after="0" w:line="176"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color w:val="auto"/>
        </w:rPr>
        <w:t>2.4.6</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Retainer Award Election Mechanics</w:t>
      </w:r>
      <w:r>
        <w:rPr>
          <w:rFonts w:ascii="Times New Roman" w:cs="Times New Roman" w:eastAsia="Times New Roman" w:hAnsi="Times New Roman"/>
          <w:sz w:val="21"/>
          <w:szCs w:val="21"/>
          <w:color w:val="auto"/>
        </w:rPr>
        <w:t>” are set forth below.</w:t>
      </w:r>
    </w:p>
    <w:p>
      <w:pPr>
        <w:spacing w:after="0" w:line="220" w:lineRule="exact"/>
        <w:rPr>
          <w:sz w:val="20"/>
          <w:szCs w:val="20"/>
          <w:color w:val="auto"/>
        </w:rPr>
      </w:pPr>
    </w:p>
    <w:p>
      <w:pPr>
        <w:jc w:val="both"/>
        <w:ind w:firstLine="3248"/>
        <w:spacing w:after="0" w:line="248" w:lineRule="auto"/>
        <w:tabs>
          <w:tab w:leader="none" w:pos="37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Election</w:t>
      </w:r>
      <w:r>
        <w:rPr>
          <w:rFonts w:ascii="Times New Roman" w:cs="Times New Roman" w:eastAsia="Times New Roman" w:hAnsi="Times New Roman"/>
          <w:sz w:val="22"/>
          <w:szCs w:val="22"/>
          <w:color w:val="auto"/>
        </w:rPr>
        <w:t>. Each Outside Director may make a Retainer Award Election. The Retainer Award Election must be submitted to the Company in accordance with the election form in substantially the form approved by the Committee for the Retainer Award Election, provided that any election must be submitted during an open trading window and at a time when the Outside Director otherwise is not restricted from trading Shares, and will be effective beginning with the Fiscal Quarter next following the Fiscal Quarter in which such Retainer Award Election is made, and, except as provided in Section 2.4.6 B. below, the Retainer Award Election shall become irrevocable effective as of the date it is tendered to the Company, provided that if an Outside Director is not otherwise permitted to trade Shares under the Company’s insider trading policy at the time such Outside Director attempts to tender a Retainer Award Election, then such Outside Director will not be eligible to make such Retainer Award Election in such Fiscal Quarter.</w:t>
      </w:r>
    </w:p>
    <w:p>
      <w:pPr>
        <w:spacing w:after="0" w:line="198" w:lineRule="exact"/>
        <w:rPr>
          <w:rFonts w:ascii="Times New Roman" w:cs="Times New Roman" w:eastAsia="Times New Roman" w:hAnsi="Times New Roman"/>
          <w:sz w:val="22"/>
          <w:szCs w:val="22"/>
          <w:color w:val="auto"/>
        </w:rPr>
      </w:pPr>
    </w:p>
    <w:p>
      <w:pPr>
        <w:jc w:val="both"/>
        <w:ind w:firstLine="3329"/>
        <w:spacing w:after="0" w:line="249" w:lineRule="auto"/>
        <w:tabs>
          <w:tab w:leader="none" w:pos="3762"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 If an Outside Director makes a valid Retainer Award Election, then such Outside Director may revoke his or her Retainer Award Election in accordance with the election form in substantially the form approved by the Committee for the Retainer Award Election, provided that any election must be submitted during any subsequent open trading window with respect to the first Fiscal Quarter occurring after the last Retainer Award Quarterly Vesting Date applicable to any then outstanding Retainer Award or Incremental Retainer Award. If an Outside Director is not otherwise permitted to trade Shares under the Company’s insider trading policy at the time such Outside Director attempts to revoke his or her Retainer Award Election, then such Outside Director will not be eligible to revoke a Retainer Award Election in such Fiscal Quarter.</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Annual Awards (as defined below) under this Policy or to determine the number of Shares to be covered by such Awards (except as provided in Sections 3.4.2 and 10 below).</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Initial Award and Pro-Rated Annual Award</w:t>
      </w:r>
      <w:r>
        <w:rPr>
          <w:rFonts w:ascii="Times New Roman" w:cs="Times New Roman" w:eastAsia="Times New Roman" w:hAnsi="Times New Roman"/>
          <w:sz w:val="22"/>
          <w:szCs w:val="22"/>
          <w:color w:val="auto"/>
        </w:rPr>
        <w:t>. Subject to Section 5 of this Policy, each individual who first becomes an Outside Director following the Effective Date will be granted (x) an award of Restricted Stock Units covering a number of Shares having a grant date fair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value (determined in accordance with U.S. generally accepted accounting principles) (the “</w:t>
      </w:r>
      <w:r>
        <w:rPr>
          <w:rFonts w:ascii="Times New Roman" w:cs="Times New Roman" w:eastAsia="Times New Roman" w:hAnsi="Times New Roman"/>
          <w:sz w:val="22"/>
          <w:szCs w:val="22"/>
          <w:u w:val="single" w:color="auto"/>
          <w:color w:val="auto"/>
        </w:rPr>
        <w:t>Grant Value</w:t>
      </w:r>
      <w:r>
        <w:rPr>
          <w:rFonts w:ascii="Times New Roman" w:cs="Times New Roman" w:eastAsia="Times New Roman" w:hAnsi="Times New Roman"/>
          <w:sz w:val="22"/>
          <w:szCs w:val="22"/>
          <w:color w:val="auto"/>
        </w:rPr>
        <w:t>”) equal to $200,000, rounded to the nearest whole Share (an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xml:space="preserve">”) and (y) an award of Restricted Stock Units covering a number of Shares having a Grant Value equal to (i) $240,000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fraction obtained by dividing (A) the number of full months during the period beginning on the date the individual first becomes an Outside Director and ending on the one-year anniversary of the date of the then-most recent meeting of the Company’s stockholders following the Effective Date (each, an “</w:t>
      </w:r>
      <w:r>
        <w:rPr>
          <w:rFonts w:ascii="Times New Roman" w:cs="Times New Roman" w:eastAsia="Times New Roman" w:hAnsi="Times New Roman"/>
          <w:sz w:val="22"/>
          <w:szCs w:val="22"/>
          <w:u w:val="single" w:color="auto"/>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Meeting</w:t>
      </w:r>
      <w:r>
        <w:rPr>
          <w:rFonts w:ascii="Times New Roman" w:cs="Times New Roman" w:eastAsia="Times New Roman" w:hAnsi="Times New Roman"/>
          <w:sz w:val="22"/>
          <w:szCs w:val="22"/>
          <w:color w:val="auto"/>
        </w:rPr>
        <w:t>”) by (B) 12, rounded to the nearest whole Share (the “</w:t>
      </w:r>
      <w:r>
        <w:rPr>
          <w:rFonts w:ascii="Times New Roman" w:cs="Times New Roman" w:eastAsia="Times New Roman" w:hAnsi="Times New Roman"/>
          <w:sz w:val="22"/>
          <w:szCs w:val="22"/>
          <w:u w:val="single" w:color="auto"/>
          <w:color w:val="auto"/>
        </w:rPr>
        <w:t>Pro-Rated Annual Award</w:t>
      </w:r>
      <w:r>
        <w:rPr>
          <w:rFonts w:ascii="Times New Roman" w:cs="Times New Roman" w:eastAsia="Times New Roman" w:hAnsi="Times New Roman"/>
          <w:sz w:val="22"/>
          <w:szCs w:val="22"/>
          <w:color w:val="auto"/>
        </w:rPr>
        <w:t xml:space="preserve"> ”). The Initial Award and Pro-Rated Annual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 or a Pro-Rated Annual Award.</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Subject to Section 4 of this Policy,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of the Restricted Stock Units subject to an Initial Award will vest on each of the first three anniversaries of its grant date, subject to the Outside Director continuing to be a Service Provider through the applicable vesting date.</w:t>
      </w:r>
    </w:p>
    <w:p>
      <w:pPr>
        <w:spacing w:after="0" w:line="218"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21"/>
          <w:szCs w:val="21"/>
          <w:color w:val="auto"/>
        </w:rPr>
        <w:t>Subject to Section 4 of this Policy, the Pro-Rated Annual Award will be scheduled to vest in full upon the first anniversary of the date of grant or, if earlier, the day immediately before the date of the next Annual Meeting that occurs after the Pro-Rated Annual Award’s grant date, subject to the Outside Director remaining a Service Provider through the applicable vesting date.</w:t>
      </w:r>
    </w:p>
    <w:p>
      <w:pPr>
        <w:spacing w:after="0" w:line="15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Subject to Section 5 of this Policy, on the date of each Annual Meeting, each Outside Director will be automatically granted an award of Restricted Stock Units (an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and, together with the Initial Award and Pro-Rated Annual Award, a “</w:t>
      </w:r>
      <w:r>
        <w:rPr>
          <w:rFonts w:ascii="Times New Roman" w:cs="Times New Roman" w:eastAsia="Times New Roman" w:hAnsi="Times New Roman"/>
          <w:sz w:val="22"/>
          <w:szCs w:val="22"/>
          <w:u w:val="single" w:color="auto"/>
          <w:color w:val="auto"/>
        </w:rPr>
        <w:t>Director Award</w:t>
      </w:r>
      <w:r>
        <w:rPr>
          <w:rFonts w:ascii="Times New Roman" w:cs="Times New Roman" w:eastAsia="Times New Roman" w:hAnsi="Times New Roman"/>
          <w:sz w:val="22"/>
          <w:szCs w:val="22"/>
          <w:color w:val="auto"/>
        </w:rPr>
        <w:t>”) covering a number of Shares having a Grant Value of $240,000, rounded to the nearest whole Share. Subject to Section 4 of this Policy,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w:t>
      </w:r>
    </w:p>
    <w:p>
      <w:pPr>
        <w:spacing w:after="0" w:line="18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Additional Terms of Director Awards, Retainer Awards and Incremental Retainer Awards</w:t>
      </w:r>
      <w:r>
        <w:rPr>
          <w:rFonts w:ascii="Times New Roman" w:cs="Times New Roman" w:eastAsia="Times New Roman" w:hAnsi="Times New Roman"/>
          <w:sz w:val="22"/>
          <w:szCs w:val="22"/>
          <w:color w:val="auto"/>
        </w:rPr>
        <w:t>. The terms and conditions of each Director Award and Retainer Award will be as follows.</w:t>
      </w:r>
    </w:p>
    <w:p>
      <w:pPr>
        <w:spacing w:after="0" w:line="144" w:lineRule="exact"/>
        <w:rPr>
          <w:sz w:val="20"/>
          <w:szCs w:val="20"/>
          <w:color w:val="auto"/>
        </w:rPr>
      </w:pPr>
    </w:p>
    <w:p>
      <w:pPr>
        <w:jc w:val="both"/>
        <w:ind w:firstLine="2592"/>
        <w:spacing w:after="0" w:line="257" w:lineRule="auto"/>
        <w:rPr>
          <w:sz w:val="20"/>
          <w:szCs w:val="20"/>
          <w:color w:val="auto"/>
        </w:rPr>
      </w:pPr>
      <w:r>
        <w:rPr>
          <w:rFonts w:ascii="Times New Roman" w:cs="Times New Roman" w:eastAsia="Times New Roman" w:hAnsi="Times New Roman"/>
          <w:sz w:val="22"/>
          <w:szCs w:val="22"/>
          <w:color w:val="auto"/>
        </w:rPr>
        <w:t>3.4.1 Each Director Award, Retainer Award and Incremental Retainer Award will be granted under and subject to the terms and conditions of the Plan and the applicable form of Award Agreement previously approved by the Board or its Committee, as applicable, for use thereunder.</w:t>
      </w:r>
    </w:p>
    <w:p>
      <w:pPr>
        <w:spacing w:after="0" w:line="173" w:lineRule="exact"/>
        <w:rPr>
          <w:sz w:val="20"/>
          <w:szCs w:val="20"/>
          <w:color w:val="auto"/>
        </w:rPr>
      </w:pPr>
    </w:p>
    <w:p>
      <w:pPr>
        <w:jc w:val="both"/>
        <w:ind w:firstLine="2592"/>
        <w:spacing w:after="0" w:line="263" w:lineRule="auto"/>
        <w:rPr>
          <w:sz w:val="20"/>
          <w:szCs w:val="20"/>
          <w:color w:val="auto"/>
        </w:rPr>
      </w:pPr>
      <w:r>
        <w:rPr>
          <w:rFonts w:ascii="Times New Roman" w:cs="Times New Roman" w:eastAsia="Times New Roman" w:hAnsi="Times New Roman"/>
          <w:sz w:val="22"/>
          <w:szCs w:val="22"/>
          <w:color w:val="auto"/>
        </w:rPr>
        <w:t>3.4.2 The Board or its Committee, as applicable and in its discretion, may change and otherwise revise the terms of Director Awards, Retainer Awards and Incremental Retainer Awards granted pursuant to this Policy, including without limitation the number of Shares subject thereto and type of Award.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jc w:val="both"/>
        <w:ind w:firstLine="2592"/>
        <w:spacing w:after="0" w:line="253" w:lineRule="auto"/>
        <w:rPr>
          <w:sz w:val="20"/>
          <w:szCs w:val="20"/>
          <w:color w:val="auto"/>
        </w:rPr>
      </w:pPr>
      <w:r>
        <w:rPr>
          <w:rFonts w:ascii="Times New Roman" w:cs="Times New Roman" w:eastAsia="Times New Roman" w:hAnsi="Times New Roman"/>
          <w:sz w:val="22"/>
          <w:szCs w:val="22"/>
          <w:color w:val="auto"/>
        </w:rPr>
        <w:t>3.4.3 Subject to the terms of the Plan, unless and until otherwise determined by the Administrator, each Restricted Stock Unit subject to a Director Award, Retainer Award and Incremental Retainer Award shall be settled on or as soon as practicable following the first Quarterly Vesting Date occurring following the date on which such Restricted Stock Unit vests (but in no event later than two and one-half months after the end of the year in which the Restricted Stock Unit vests).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Quarterly Vesting Date</w:t>
      </w:r>
      <w:r>
        <w:rPr>
          <w:rFonts w:ascii="Times New Roman" w:cs="Times New Roman" w:eastAsia="Times New Roman" w:hAnsi="Times New Roman"/>
          <w:sz w:val="22"/>
          <w:szCs w:val="22"/>
          <w:color w:val="auto"/>
        </w:rPr>
        <w:t>” is February 15, May 15, August 15, and November 15 of a given year.</w:t>
      </w:r>
    </w:p>
    <w:p>
      <w:pPr>
        <w:spacing w:after="0" w:line="220" w:lineRule="exact"/>
        <w:rPr>
          <w:sz w:val="20"/>
          <w:szCs w:val="20"/>
          <w:color w:val="auto"/>
        </w:rPr>
      </w:pPr>
    </w:p>
    <w:p>
      <w:pPr>
        <w:jc w:val="both"/>
        <w:ind w:firstLine="656"/>
        <w:spacing w:after="0" w:line="263"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 outstanding Company equity awards as of immediately prior to the Change in Control, including any Director Award, provided that the Outside Director continues to be an Outside Director through the date of such Change in Control.</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Compensation Limit</w:t>
      </w:r>
      <w:r>
        <w:rPr>
          <w:rFonts w:ascii="Times New Roman" w:cs="Times New Roman" w:eastAsia="Times New Roman" w:hAnsi="Times New Roman"/>
          <w:sz w:val="22"/>
          <w:szCs w:val="22"/>
          <w:color w:val="auto"/>
        </w:rPr>
        <w:t>. No Outside Director may be paid, issued, or granted, in any Fiscal Year, equity awards with an aggregate value (the value of which will be based on their grant date fair value determined in accordance with U.S. generally accepted accounting principles) and any other compensation (including without limitation any cash retainers or fees) that, in the aggregate, exceed $750,000 (with the limit increased to $1,000,000 for the initial year of service). Any equity awards or other compensation paid or provided to an individual for his or her services as an Employee, or for his or her services as a Consultant (other than as an Outside Director), will not count for purposes of the limitation under this Section 5.</w:t>
      </w:r>
    </w:p>
    <w:p>
      <w:pPr>
        <w:spacing w:after="0" w:line="181"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 meetings of the Board and any of its committees, as applicable, will be reimbursed by the Company.</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76" w:lineRule="exact"/>
        <w:rPr>
          <w:sz w:val="20"/>
          <w:szCs w:val="20"/>
          <w:color w:val="auto"/>
        </w:rPr>
      </w:pPr>
    </w:p>
    <w:p>
      <w:pPr>
        <w:jc w:val="both"/>
        <w:ind w:firstLine="656"/>
        <w:spacing w:after="0" w:line="252"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92"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85" w:lineRule="exact"/>
        <w:rPr>
          <w:rFonts w:ascii="Times New Roman" w:cs="Times New Roman" w:eastAsia="Times New Roman" w:hAnsi="Times New Roman"/>
          <w:sz w:val="22"/>
          <w:szCs w:val="22"/>
          <w:color w:val="auto"/>
        </w:rPr>
      </w:pPr>
    </w:p>
    <w:p>
      <w:pPr>
        <w:ind w:left="4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Britt,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Chime Financial, Inc.;</w:t>
      </w:r>
    </w:p>
    <w:p>
      <w:pPr>
        <w:spacing w:after="0" w:line="225" w:lineRule="exact"/>
        <w:rPr>
          <w:rFonts w:ascii="Times New Roman" w:cs="Times New Roman" w:eastAsia="Times New Roman" w:hAnsi="Times New Roman"/>
          <w:sz w:val="18"/>
          <w:szCs w:val="18"/>
          <w:color w:val="auto"/>
        </w:rPr>
      </w:pPr>
    </w:p>
    <w:p>
      <w:pPr>
        <w:ind w:left="500" w:right="300" w:hanging="492"/>
        <w:spacing w:after="0" w:line="266" w:lineRule="auto"/>
        <w:tabs>
          <w:tab w:leader="none" w:pos="1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1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1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hanging="486"/>
        <w:spacing w:after="0" w:line="266" w:lineRule="auto"/>
        <w:tabs>
          <w:tab w:leader="none" w:pos="7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74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246"/>
        <w:spacing w:after="0"/>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27" w:lineRule="exact"/>
        <w:rPr>
          <w:rFonts w:ascii="Times New Roman" w:cs="Times New Roman" w:eastAsia="Times New Roman" w:hAnsi="Times New Roman"/>
          <w:sz w:val="18"/>
          <w:szCs w:val="18"/>
          <w:color w:val="auto"/>
        </w:rPr>
      </w:pPr>
    </w:p>
    <w:p>
      <w:pPr>
        <w:ind w:left="980"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1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7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74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3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Britt</w:t>
            </w:r>
          </w:p>
        </w:tc>
      </w:tr>
      <w:tr>
        <w:trPr>
          <w:trHeight w:val="218"/>
        </w:trPr>
        <w:tc>
          <w:tcPr>
            <w:tcW w:w="3580" w:type="dxa"/>
            <w:vAlign w:val="bottom"/>
          </w:tcPr>
          <w:p>
            <w:pPr>
              <w:spacing w:after="0"/>
              <w:rPr>
                <w:sz w:val="18"/>
                <w:szCs w:val="18"/>
                <w:color w:val="auto"/>
              </w:rPr>
            </w:pPr>
          </w:p>
        </w:tc>
        <w:tc>
          <w:tcPr>
            <w:tcW w:w="3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r>
      <w:tr>
        <w:trPr>
          <w:trHeight w:val="230"/>
        </w:trPr>
        <w:tc>
          <w:tcPr>
            <w:tcW w:w="3580" w:type="dxa"/>
            <w:vAlign w:val="bottom"/>
          </w:tcPr>
          <w:p>
            <w:pPr>
              <w:spacing w:after="0"/>
              <w:rPr>
                <w:sz w:val="19"/>
                <w:szCs w:val="19"/>
                <w:color w:val="auto"/>
              </w:rPr>
            </w:pPr>
          </w:p>
        </w:tc>
        <w:tc>
          <w:tcPr>
            <w:tcW w:w="3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1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Troughton, certify that:</w:t>
      </w:r>
    </w:p>
    <w:p>
      <w:pPr>
        <w:spacing w:after="0" w:line="225"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Chime Financial, Inc.;</w:t>
      </w:r>
    </w:p>
    <w:p>
      <w:pPr>
        <w:spacing w:after="0" w:line="225" w:lineRule="exact"/>
        <w:rPr>
          <w:rFonts w:ascii="Times New Roman" w:cs="Times New Roman" w:eastAsia="Times New Roman" w:hAnsi="Times New Roman"/>
          <w:sz w:val="18"/>
          <w:szCs w:val="18"/>
          <w:color w:val="auto"/>
        </w:rPr>
      </w:pPr>
    </w:p>
    <w:p>
      <w:pPr>
        <w:ind w:left="500" w:right="300" w:hanging="492"/>
        <w:spacing w:after="0" w:line="266" w:lineRule="auto"/>
        <w:tabs>
          <w:tab w:leader="none" w:pos="1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1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1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hanging="486"/>
        <w:spacing w:after="0" w:line="266" w:lineRule="auto"/>
        <w:tabs>
          <w:tab w:leader="none" w:pos="7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74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40" w:hanging="246"/>
        <w:spacing w:after="0"/>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27" w:lineRule="exact"/>
        <w:rPr>
          <w:rFonts w:ascii="Times New Roman" w:cs="Times New Roman" w:eastAsia="Times New Roman" w:hAnsi="Times New Roman"/>
          <w:sz w:val="18"/>
          <w:szCs w:val="18"/>
          <w:color w:val="auto"/>
        </w:rPr>
      </w:pPr>
    </w:p>
    <w:p>
      <w:pPr>
        <w:ind w:left="980"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1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7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7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6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Troughton</w:t>
            </w:r>
          </w:p>
        </w:tc>
      </w:tr>
      <w:tr>
        <w:trPr>
          <w:trHeight w:val="218"/>
        </w:trPr>
        <w:tc>
          <w:tcPr>
            <w:tcW w:w="3060" w:type="dxa"/>
            <w:vAlign w:val="bottom"/>
          </w:tcPr>
          <w:p>
            <w:pPr>
              <w:spacing w:after="0"/>
              <w:rPr>
                <w:sz w:val="18"/>
                <w:szCs w:val="18"/>
                <w:color w:val="auto"/>
              </w:rPr>
            </w:pPr>
          </w:p>
        </w:tc>
        <w:tc>
          <w:tcPr>
            <w:tcW w:w="26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r>
      <w:tr>
        <w:trPr>
          <w:trHeight w:val="230"/>
        </w:trPr>
        <w:tc>
          <w:tcPr>
            <w:tcW w:w="3060" w:type="dxa"/>
            <w:vAlign w:val="bottom"/>
          </w:tcPr>
          <w:p>
            <w:pPr>
              <w:spacing w:after="0"/>
              <w:rPr>
                <w:sz w:val="19"/>
                <w:szCs w:val="19"/>
                <w:color w:val="auto"/>
              </w:rPr>
            </w:pPr>
          </w:p>
        </w:tc>
        <w:tc>
          <w:tcPr>
            <w:tcW w:w="26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Interim Chief Financial Officer</w:t>
            </w:r>
          </w:p>
        </w:tc>
      </w:tr>
      <w:tr>
        <w:trPr>
          <w:trHeight w:val="234"/>
        </w:trPr>
        <w:tc>
          <w:tcPr>
            <w:tcW w:w="3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413" w:right="339" w:bottom="1440" w:gutter="0" w:footer="0" w:header="0"/>
        </w:sectPr>
      </w:pPr>
    </w:p>
    <w:bookmarkStart w:id="117" w:name="page118"/>
    <w:bookmarkEnd w:id="117"/>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Christopher Britt, certify, pursuant to 18 U.S.C. Section 1350, as adopted pursuant to Section 906 of the Sarbanes-Oxley Act of 2002, that the Quarterly Report on Form 10-Q of Chime Financial, Inc. for the fiscal quarter ended September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Britt</w:t>
            </w:r>
          </w:p>
        </w:tc>
      </w:tr>
      <w:tr>
        <w:trPr>
          <w:trHeight w:val="218"/>
        </w:trPr>
        <w:tc>
          <w:tcPr>
            <w:tcW w:w="3220" w:type="dxa"/>
            <w:vAlign w:val="bottom"/>
          </w:tcPr>
          <w:p>
            <w:pPr>
              <w:spacing w:after="0"/>
              <w:rPr>
                <w:sz w:val="18"/>
                <w:szCs w:val="18"/>
                <w:color w:val="auto"/>
              </w:rPr>
            </w:pPr>
          </w:p>
        </w:tc>
        <w:tc>
          <w:tcPr>
            <w:tcW w:w="2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Britt</w:t>
            </w:r>
          </w:p>
        </w:tc>
      </w:tr>
      <w:tr>
        <w:trPr>
          <w:trHeight w:val="230"/>
        </w:trPr>
        <w:tc>
          <w:tcPr>
            <w:tcW w:w="3220" w:type="dxa"/>
            <w:vAlign w:val="bottom"/>
          </w:tcPr>
          <w:p>
            <w:pPr>
              <w:spacing w:after="0"/>
              <w:rPr>
                <w:sz w:val="19"/>
                <w:szCs w:val="19"/>
                <w:color w:val="auto"/>
              </w:rPr>
            </w:pPr>
          </w:p>
        </w:tc>
        <w:tc>
          <w:tcPr>
            <w:tcW w:w="2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Mark Troughton, certify, pursuant to 18 U.S.C. Section 1350, as adopted pursuant to Section 906 of the Sarbanes-Oxley Act of 2002, that the Quarterly Report on Form 10-Q of Chime Financial, Inc. for the fiscal quarter ended September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Troughton</w:t>
            </w:r>
          </w:p>
        </w:tc>
      </w:tr>
      <w:tr>
        <w:trPr>
          <w:trHeight w:val="218"/>
        </w:trPr>
        <w:tc>
          <w:tcPr>
            <w:tcW w:w="3220" w:type="dxa"/>
            <w:vAlign w:val="bottom"/>
          </w:tcPr>
          <w:p>
            <w:pPr>
              <w:spacing w:after="0"/>
              <w:rPr>
                <w:sz w:val="18"/>
                <w:szCs w:val="18"/>
                <w:color w:val="auto"/>
              </w:rPr>
            </w:pPr>
          </w:p>
        </w:tc>
        <w:tc>
          <w:tcPr>
            <w:tcW w:w="2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Troughton</w:t>
            </w:r>
          </w:p>
        </w:tc>
      </w:tr>
      <w:tr>
        <w:trPr>
          <w:trHeight w:val="230"/>
        </w:trPr>
        <w:tc>
          <w:tcPr>
            <w:tcW w:w="3220" w:type="dxa"/>
            <w:vAlign w:val="bottom"/>
          </w:tcPr>
          <w:p>
            <w:pPr>
              <w:spacing w:after="0"/>
              <w:rPr>
                <w:sz w:val="19"/>
                <w:szCs w:val="19"/>
                <w:color w:val="auto"/>
              </w:rPr>
            </w:pPr>
          </w:p>
        </w:tc>
        <w:tc>
          <w:tcPr>
            <w:tcW w:w="2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Interim Chief Financial Officer</w:t>
            </w:r>
          </w:p>
        </w:tc>
      </w:tr>
      <w:tr>
        <w:trPr>
          <w:trHeight w:val="234"/>
        </w:trPr>
        <w:tc>
          <w:tcPr>
            <w:tcW w:w="3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2"/>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Roman"/>
      <w:start w:val="4"/>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101"/>
    </w:lvl>
  </w:abstractNum>
  <w:abstractNum w:abstractNumId="26">
    <w:nsid w:val="6CEAF087"/>
    <w:multiLevelType w:val="hybridMultilevel"/>
    <w:lvl w:ilvl="0">
      <w:lvlJc w:val="left"/>
      <w:lvlText w:val="%1"/>
      <w:numFmt w:val="decimal"/>
      <w:start w:val="104"/>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32">
    <w:nsid w:val="5577F8E1"/>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33">
    <w:nsid w:val="440BADFC"/>
    <w:multiLevelType w:val="hybridMultilevel"/>
    <w:lvl w:ilvl="0">
      <w:lvlJc w:val="left"/>
      <w:lvlText w:val="%1."/>
      <w:numFmt w:val="decimal"/>
      <w:start w:val="4"/>
    </w:lvl>
  </w:abstractNum>
  <w:abstractNum w:abstractNumId="34">
    <w:nsid w:val="5072367"/>
    <w:multiLevelType w:val="hybridMultilevel"/>
    <w:lvl w:ilvl="0">
      <w:lvlJc w:val="left"/>
      <w:lvlText w:val="%1."/>
      <w:numFmt w:val="decimal"/>
      <w:start w:val="9"/>
    </w:lvl>
    <w:lvl w:ilvl="1">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26" Type="http://schemas.openxmlformats.org/officeDocument/2006/relationships/hyperlink" Target="https://www.sec.gov/Archives/edgar/data/1795586/000119312526385383/d948605dex21.htm" TargetMode="External"/><Relationship Id="rId127" Type="http://schemas.openxmlformats.org/officeDocument/2006/relationships/hyperlink" Target="https://www.sec.gov/Archives/edgar/data/1795586/000179558625000009/amendedandrestatedcertif.htm" TargetMode="External"/><Relationship Id="rId128" Type="http://schemas.openxmlformats.org/officeDocument/2006/relationships/hyperlink" Target="https://www.sec.gov/Archives/edgar/data/1795586/000179558625000009/amendedandrestatedbylaws.htm" TargetMode="External"/><Relationship Id="rId129" Type="http://schemas.openxmlformats.org/officeDocument/2006/relationships/hyperlink" Target="https://www.sec.gov/Archives/edgar/data/1795586/000179558626000046/ex101-transi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2026-11-05T15:40:12Z</dcterms:created>
  <dcterms:modified xsi:type="dcterms:W3CDTF">2026-11-05T15:40:12Z</dcterms:modified>
</cp:coreProperties>
</file>