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71727.xml.htm"/>
      <w:bookmarkStart w:id="1" w:name="kswkform4_178597172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Troughton Mark 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CHIME FINANCIAL,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 CALIFORNIA STREET, 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Chime Financial,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CHYM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90"/>
        <w:gridCol w:w="901"/>
        <w:gridCol w:w="772"/>
        <w:gridCol w:w="598"/>
        <w:gridCol w:w="341"/>
        <w:gridCol w:w="1181"/>
        <w:gridCol w:w="436"/>
        <w:gridCol w:w="598"/>
        <w:gridCol w:w="1299"/>
        <w:gridCol w:w="974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1,340,034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4,200,071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securities are restricted stock units ("RSUs"). Each RSU represents a contingent right to receive one share of the Issuer's Class A Common Stock. One-sixteenth (1/16th) of the RSUs shall vest on November 15, 2026 and quarterly thereafter, subject to the Reporting Person continuing as a service provider through each such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Certain of these securities are RSUs. Each RSU represents a contingent right to receive one share of the Issuer's Class A Common Stock, subject to the applicable vesting schedule and conditions of each RSU.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Theresa Bloom,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4393" TargetMode="External"/><Relationship Id="rId5" Type="http://schemas.openxmlformats.org/officeDocument/2006/relationships/hyperlink" Target="http://www.sec.gov/cgi-bin/browse-edgar?action=getcompany&amp;CIK=000179558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661</Words>
  <Characters>3578</Characters>
  <CharactersWithSpaces>4169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