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-561340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3930015</wp:posOffset>
            </wp:positionH>
            <wp:positionV relativeFrom="paragraph">
              <wp:posOffset>-607060</wp:posOffset>
            </wp:positionV>
            <wp:extent cx="57150" cy="620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645160</wp:posOffset>
            </wp:positionV>
            <wp:extent cx="6997700" cy="88176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8817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King Ryan A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CHIME FINANCIAL,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101 CALIFORNIA STREET,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Chime Financial,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CHYM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720"/>
        <w:spacing w:after="0" w:line="286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Co-Founder</w:t>
      </w:r>
    </w:p>
    <w:p>
      <w:pPr>
        <w:spacing w:after="0" w:line="5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4" w:right="359" w:bottom="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80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94111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FRANCISCO</w:t>
            </w: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6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4"/>
            <w:vMerge w:val="restart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303,930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w w:val="9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8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(5)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29,622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7"/>
              </w:rPr>
              <w:t>140,001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7"/>
                <w:vertAlign w:val="superscript"/>
              </w:rPr>
              <w:t>(7)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1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4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8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303,930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05/11/2026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left="223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303,930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2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14,408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14,408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12,183,739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12,183,739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900,000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(9)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900,000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7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(10)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-4017645</wp:posOffset>
            </wp:positionV>
            <wp:extent cx="28575" cy="42799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4279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279400</wp:posOffset>
            </wp:positionH>
            <wp:positionV relativeFrom="page">
              <wp:posOffset>88900</wp:posOffset>
            </wp:positionV>
            <wp:extent cx="7048500" cy="36772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367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225,000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225,000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6"/>
                <w:szCs w:val="6"/>
                <w:color w:val="008000"/>
                <w:vertAlign w:val="superscript"/>
              </w:rPr>
              <w:t>(11)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87,700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87,700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2520" w:type="dxa"/>
            <w:vAlign w:val="bottom"/>
            <w:vMerge w:val="restart"/>
          </w:tcPr>
          <w:p>
            <w:pPr>
              <w:jc w:val="right"/>
              <w:ind w:right="2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right"/>
              <w:ind w:right="2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43,850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ind w:lef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43,850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As a result of this conversion, the Reporting Person no longer serves as attorney-in-fact for the holder and no longer has beneficial ownership over such shares.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EK, for which the Reporting Person served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LK, for which the Reporting Person served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SK, for which the Reporting Person served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Peninsula Living Trust, for which the Reporting Person served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the King Family Trust, for which the Reporting Person serves as trustee.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" w:right="480" w:hanging="3"/>
        <w:spacing w:after="0" w:line="282" w:lineRule="auto"/>
        <w:tabs>
          <w:tab w:leader="none" w:pos="14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Certain of these securities are restricted stock units ("RSUs"). Each RSU represents a contingent right to receive one share of the Issuer's Class A Common Stock, subject to the applicable vesting schedule and conditions of each RSU.</w:t>
      </w: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Class B Common Stock is convertible into one share of Class A Common Stock at the option of the holder and has no expiration date.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40" w:hanging="123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Irrevocable Trust A,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Irrevocable Trust M,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Grantor Trust MV,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AK,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AV,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CV,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MK,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King Gift Trust NV, for which the Reporting Person serves as attorney-in-fact.</w:t>
      </w:r>
    </w:p>
    <w:p>
      <w:pPr>
        <w:spacing w:after="0" w:line="49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200" w:hanging="183"/>
        <w:spacing w:after="0"/>
        <w:tabs>
          <w:tab w:leader="none" w:pos="2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are held by Maureen Vergara, a member of the Reporting Person's family.</w:t>
      </w:r>
    </w:p>
    <w:p>
      <w:pPr>
        <w:sectPr>
          <w:pgSz w:w="11900" w:h="16838" w:orient="portrait"/>
          <w:cols w:equalWidth="0" w:num="1">
            <w:col w:w="11040"/>
          </w:cols>
          <w:pgMar w:left="480" w:top="189" w:right="379" w:bottom="1440" w:gutter="0" w:footer="0" w:header="0"/>
        </w:sectPr>
      </w:pP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Theresa Bloom,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4175760</wp:posOffset>
            </wp:positionH>
            <wp:positionV relativeFrom="paragraph">
              <wp:posOffset>-5080</wp:posOffset>
            </wp:positionV>
            <wp:extent cx="130556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4175760</wp:posOffset>
            </wp:positionH>
            <wp:positionV relativeFrom="paragraph">
              <wp:posOffset>-12065</wp:posOffset>
            </wp:positionV>
            <wp:extent cx="337820" cy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-5080</wp:posOffset>
            </wp:positionV>
            <wp:extent cx="469900" cy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9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260"/>
          </w:cols>
          <w:pgMar w:left="480" w:top="189" w:right="37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20" w:right="3820" w:hanging="3"/>
        <w:spacing w:after="0" w:line="325" w:lineRule="auto"/>
        <w:tabs>
          <w:tab w:leader="none" w:pos="152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9" w:right="3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61219" TargetMode="External"/><Relationship Id="rId14" Type="http://schemas.openxmlformats.org/officeDocument/2006/relationships/hyperlink" Target="http://www.sec.gov/cgi-bin/browse-edgar?action=getcompany&amp;CIK=00017955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2026-05-13T17:22:05Z</dcterms:created>
  <dcterms:modified xsi:type="dcterms:W3CDTF">2026-05-13T17:22:05Z</dcterms:modified>
</cp:coreProperties>
</file>