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Feuille James</w:t>
              </w:r>
            </w:hyperlink>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6"/>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Chime Financial,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CHYM</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70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580" w:type="dxa"/>
            <w:vAlign w:val="bottom"/>
            <w:gridSpan w:val="5"/>
            <w:vMerge w:val="continue"/>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restart"/>
          </w:tcPr>
          <w:p>
            <w:pPr>
              <w:ind w:left="240"/>
              <w:spacing w:after="0"/>
              <w:rPr>
                <w:sz w:val="20"/>
                <w:szCs w:val="20"/>
                <w:color w:val="auto"/>
              </w:rPr>
            </w:pPr>
            <w:r>
              <w:rPr>
                <w:rFonts w:ascii="Arial" w:cs="Arial" w:eastAsia="Arial" w:hAnsi="Arial"/>
                <w:sz w:val="13"/>
                <w:szCs w:val="13"/>
                <w:color w:val="auto"/>
              </w:rPr>
              <w:t>Director</w:t>
            </w:r>
          </w:p>
        </w:tc>
        <w:tc>
          <w:tcPr>
            <w:tcW w:w="280" w:type="dxa"/>
            <w:vAlign w:val="bottom"/>
          </w:tcPr>
          <w:p>
            <w:pPr>
              <w:spacing w:after="0"/>
              <w:rPr>
                <w:sz w:val="5"/>
                <w:szCs w:val="5"/>
                <w:color w:val="auto"/>
              </w:rPr>
            </w:pPr>
          </w:p>
        </w:tc>
        <w:tc>
          <w:tcPr>
            <w:tcW w:w="1560" w:type="dxa"/>
            <w:vAlign w:val="bottom"/>
            <w:gridSpan w:val="5"/>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56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vMerge w:val="restart"/>
          </w:tcPr>
          <w:p>
            <w:pPr>
              <w:spacing w:after="0"/>
              <w:rPr>
                <w:sz w:val="9"/>
                <w:szCs w:val="9"/>
                <w:color w:val="auto"/>
              </w:rPr>
            </w:pPr>
          </w:p>
        </w:tc>
        <w:tc>
          <w:tcPr>
            <w:tcW w:w="1220" w:type="dxa"/>
            <w:vAlign w:val="bottom"/>
            <w:gridSpan w:val="2"/>
            <w:vMerge w:val="restart"/>
          </w:tcPr>
          <w:p>
            <w:pPr>
              <w:ind w:left="2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9"/>
                <w:szCs w:val="9"/>
                <w:color w:val="auto"/>
              </w:rPr>
            </w:pPr>
          </w:p>
        </w:tc>
        <w:tc>
          <w:tcPr>
            <w:tcW w:w="1560" w:type="dxa"/>
            <w:vAlign w:val="bottom"/>
            <w:gridSpan w:val="5"/>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20" w:type="dxa"/>
            <w:vAlign w:val="bottom"/>
            <w:tcBorders>
              <w:top w:val="single" w:sz="8" w:color="EEEEEE"/>
            </w:tcBorders>
          </w:tcPr>
          <w:p>
            <w:pPr>
              <w:spacing w:after="0"/>
              <w:rPr>
                <w:sz w:val="4"/>
                <w:szCs w:val="4"/>
                <w:color w:val="auto"/>
              </w:rPr>
            </w:pPr>
          </w:p>
        </w:tc>
        <w:tc>
          <w:tcPr>
            <w:tcW w:w="280" w:type="dxa"/>
            <w:vAlign w:val="bottom"/>
            <w:tcBorders>
              <w:top w:val="single" w:sz="8" w:color="EEEEEE"/>
            </w:tcBorders>
          </w:tcPr>
          <w:p>
            <w:pPr>
              <w:spacing w:after="0"/>
              <w:rPr>
                <w:sz w:val="4"/>
                <w:szCs w:val="4"/>
                <w:color w:val="auto"/>
              </w:rPr>
            </w:pPr>
          </w:p>
        </w:tc>
        <w:tc>
          <w:tcPr>
            <w:tcW w:w="82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ind w:left="240"/>
              <w:spacing w:after="0"/>
              <w:rPr>
                <w:sz w:val="20"/>
                <w:szCs w:val="20"/>
                <w:color w:val="auto"/>
              </w:rPr>
            </w:pPr>
            <w:r>
              <w:rPr>
                <w:rFonts w:ascii="Arial" w:cs="Arial" w:eastAsia="Arial" w:hAnsi="Arial"/>
                <w:sz w:val="13"/>
                <w:szCs w:val="13"/>
                <w:color w:val="auto"/>
              </w:rPr>
              <w:t>below)</w:t>
            </w:r>
          </w:p>
        </w:tc>
        <w:tc>
          <w:tcPr>
            <w:tcW w:w="280" w:type="dxa"/>
            <w:vAlign w:val="bottom"/>
          </w:tcPr>
          <w:p>
            <w:pPr>
              <w:spacing w:after="0"/>
              <w:rPr>
                <w:sz w:val="16"/>
                <w:szCs w:val="16"/>
                <w:color w:val="auto"/>
              </w:rPr>
            </w:pPr>
          </w:p>
        </w:tc>
        <w:tc>
          <w:tcPr>
            <w:tcW w:w="780" w:type="dxa"/>
            <w:vAlign w:val="bottom"/>
            <w:gridSpan w:val="2"/>
          </w:tcPr>
          <w:p>
            <w:pPr>
              <w:ind w:left="30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CHIME FINANCIAL, INC.</w:t>
            </w:r>
          </w:p>
        </w:tc>
        <w:tc>
          <w:tcPr>
            <w:tcW w:w="1340" w:type="dxa"/>
            <w:vAlign w:val="bottom"/>
          </w:tcPr>
          <w:p>
            <w:pPr>
              <w:spacing w:after="0"/>
              <w:rPr>
                <w:sz w:val="19"/>
                <w:szCs w:val="19"/>
                <w:color w:val="auto"/>
              </w:rPr>
            </w:pPr>
          </w:p>
        </w:tc>
        <w:tc>
          <w:tcPr>
            <w:tcW w:w="156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08/27/2025</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101 CALIFORNIA STREET, SUITE 500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3"/>
                <w:szCs w:val="13"/>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060" w:type="dxa"/>
            <w:vAlign w:val="bottom"/>
            <w:gridSpan w:val="8"/>
            <w:vMerge w:val="restart"/>
          </w:tcPr>
          <w:p>
            <w:pPr>
              <w:ind w:left="2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94111</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6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060" w:type="dxa"/>
            <w:vAlign w:val="bottom"/>
            <w:gridSpan w:val="8"/>
            <w:vMerge w:val="restart"/>
          </w:tcPr>
          <w:p>
            <w:pPr>
              <w:ind w:left="2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28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6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4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840" w:type="dxa"/>
            <w:vAlign w:val="bottom"/>
            <w:tcBorders>
              <w:bottom w:val="single" w:sz="8" w:color="2C2C2C"/>
            </w:tcBorders>
            <w:gridSpan w:val="4"/>
          </w:tcPr>
          <w:p>
            <w:pPr>
              <w:spacing w:after="0"/>
              <w:rPr>
                <w:sz w:val="10"/>
                <w:szCs w:val="10"/>
                <w:color w:val="auto"/>
              </w:rPr>
            </w:pPr>
          </w:p>
        </w:tc>
        <w:tc>
          <w:tcPr>
            <w:tcW w:w="190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122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640" w:type="dxa"/>
            <w:vAlign w:val="bottom"/>
            <w:tcBorders>
              <w:top w:val="single" w:sz="8" w:color="2C2C2C"/>
            </w:tcBorders>
            <w:gridSpan w:val="18"/>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18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8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5"/>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5"/>
          </w:tcPr>
          <w:p>
            <w:pPr>
              <w:ind w:left="820"/>
              <w:spacing w:after="0"/>
              <w:rPr>
                <w:sz w:val="20"/>
                <w:szCs w:val="20"/>
                <w:color w:val="auto"/>
              </w:rPr>
            </w:pPr>
            <w:r>
              <w:rPr>
                <w:rFonts w:ascii="Times New Roman" w:cs="Times New Roman" w:eastAsia="Times New Roman" w:hAnsi="Times New Roman"/>
                <w:sz w:val="17"/>
                <w:szCs w:val="17"/>
                <w:color w:val="0000FF"/>
              </w:rPr>
              <w:t>08/27/2025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7,628</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ind w:right="300"/>
              <w:spacing w:after="0"/>
              <w:rPr>
                <w:sz w:val="20"/>
                <w:szCs w:val="20"/>
                <w:color w:val="auto"/>
              </w:rPr>
            </w:pPr>
            <w:r>
              <w:rPr>
                <w:rFonts w:ascii="Times New Roman" w:cs="Times New Roman" w:eastAsia="Times New Roman" w:hAnsi="Times New Roman"/>
                <w:sz w:val="17"/>
                <w:szCs w:val="17"/>
                <w:color w:val="0000FF"/>
              </w:rPr>
              <w:t>7,628</w:t>
            </w:r>
            <w:r>
              <w:rPr>
                <w:rFonts w:ascii="Times New Roman" w:cs="Times New Roman" w:eastAsia="Times New Roman" w:hAnsi="Times New Roman"/>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7"/>
                <w:szCs w:val="17"/>
                <w:color w:val="0000FF"/>
              </w:rPr>
              <w:t>23,766,250</w:t>
            </w:r>
            <w:r>
              <w:rPr>
                <w:rFonts w:ascii="Times New Roman" w:cs="Times New Roman" w:eastAsia="Times New Roman" w:hAnsi="Times New Roman"/>
                <w:sz w:val="22"/>
                <w:szCs w:val="22"/>
                <w:color w:val="008000"/>
                <w:vertAlign w:val="superscript"/>
              </w:rPr>
              <w:t>(3)</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6"/>
            <w:vMerge w:val="continue"/>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20" w:type="dxa"/>
            <w:vAlign w:val="bottom"/>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restricted stock units ("RSUs"). Each RSU represents a contingent right to receive one share of the Issuer's Class A Common Stock. One-fourth of the RSUs shall vest on November 27, 2025 and quarterly thereafter, subject to the Reporting Person continuing as a service provider through each such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RSUs. Each RSU represents a contingent right to receive one share of the Issuer's Class A Common Stock, subject to the applicable vesting schedule and conditions of each RSU.</w:t>
      </w:r>
    </w:p>
    <w:p>
      <w:pPr>
        <w:spacing w:after="0" w:line="50" w:lineRule="exact"/>
        <w:rPr>
          <w:rFonts w:ascii="Times New Roman" w:cs="Times New Roman" w:eastAsia="Times New Roman" w:hAnsi="Times New Roman"/>
          <w:sz w:val="13"/>
          <w:szCs w:val="13"/>
          <w:color w:val="008000"/>
        </w:rPr>
      </w:pPr>
    </w:p>
    <w:p>
      <w:pPr>
        <w:jc w:val="both"/>
        <w:ind w:left="40" w:right="4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as follows: (i) 7,221,104 shares held by Crosslink Crossover Fund VI, L.P. ("CO VI"); (ii) 10,782,500 shares held by Crosslink Ventures VII, L.P. ("CV VII"); (iii) 4,620,339 shares held by Crosslink Ventures VII-B, L.P. ("CV VII-B"); and (iv) 1,142,307 shares held by Crosslink Bayview VII, LLC ("CB VII"). The number of shares beneficially owned has been adjusted downward by four shares following an internal review of the Reporting Person's holdings.</w:t>
      </w:r>
    </w:p>
    <w:p>
      <w:pPr>
        <w:spacing w:after="0" w:line="20" w:lineRule="exact"/>
        <w:rPr>
          <w:rFonts w:ascii="Times New Roman" w:cs="Times New Roman" w:eastAsia="Times New Roman" w:hAnsi="Times New Roman"/>
          <w:sz w:val="13"/>
          <w:szCs w:val="13"/>
          <w:color w:val="008000"/>
        </w:rPr>
      </w:pPr>
    </w:p>
    <w:p>
      <w:pPr>
        <w:ind w:left="40" w:right="220" w:firstLine="7"/>
        <w:spacing w:after="0" w:line="258"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(i) a managing member of Crosslink Ventures VII Holdings, LLC, which is the general partner of CV VII and CV VII-B and the manager of CB VII; and (ii) a fund manager for Crossover Fund VI Management, L.L.C., the general partner of CO VI. The Reporting Person disclaims beneficial ownership of the shares reported herein except to the extent of his pecuniary interest therein.</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Theresa Bloom, by power</w:t>
            </w:r>
          </w:p>
        </w:tc>
        <w:tc>
          <w:tcPr>
            <w:tcW w:w="100" w:type="dxa"/>
            <w:vAlign w:val="bottom"/>
          </w:tcPr>
          <w:p>
            <w:pPr>
              <w:spacing w:after="0"/>
              <w:rPr>
                <w:sz w:val="17"/>
                <w:szCs w:val="17"/>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08/29/2025</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of attorney</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18214" TargetMode="External"/><Relationship Id="rId14" Type="http://schemas.openxmlformats.org/officeDocument/2006/relationships/hyperlink" Target="http://www.sec.gov/cgi-bin/browse-edgar?action=getcompany&amp;CIK=00017955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2025-08-29T16:58:01Z</dcterms:created>
  <dcterms:modified xsi:type="dcterms:W3CDTF">2025-08-29T16:58:01Z</dcterms:modified>
</cp:coreProperties>
</file>