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971580.xml.htm"/>
      <w:bookmarkStart w:id="1" w:name="kswkform4_178597158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Asmerom Amine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CHIME FINANCIAL,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101 CALIFORNIA STREET, SUITE 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94111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Chime Financial,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CHYM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18"/>
        <w:gridCol w:w="906"/>
        <w:gridCol w:w="775"/>
        <w:gridCol w:w="602"/>
        <w:gridCol w:w="351"/>
        <w:gridCol w:w="937"/>
        <w:gridCol w:w="459"/>
        <w:gridCol w:w="622"/>
        <w:gridCol w:w="1204"/>
        <w:gridCol w:w="1005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1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</w:t>
            </w:r>
          </w:p>
        </w:tc>
        <w:tc>
          <w:tcPr>
            <w:tcW w:w="12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226,946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sale reported on this Form 4 was effected pursuant to a Rule 10b5-1 trading plan, adopted December 4,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Certain of these securities are restricted stock units ("RSUs"). Each RSU represents a contingent right to receive one share of the Issuer's Class A Common Stock, subject to the applicable vesting schedule and conditions of each RSU.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Theresa Bloom,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61361" TargetMode="External"/><Relationship Id="rId5" Type="http://schemas.openxmlformats.org/officeDocument/2006/relationships/hyperlink" Target="http://www.sec.gov/cgi-bin/browse-edgar?action=getcompany&amp;CIK=000179558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633</Words>
  <Characters>3420</Characters>
  <CharactersWithSpaces>3983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