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5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Marshall Cynthia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Chime Financial,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CHYM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CHIME FINANCIAL,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CALIFORNIA STREET, SUITE 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72,795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One-fourth of the RSUs shall vest on November 27, 2025 and quarterly thereafter, subject to the Reporting Person continuing as a service provider through each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RSUs. Each RSU represents a contingent right to receive one share of the Issuer's Class A Common Stock, subject to the applicable vesting schedule and conditions of each RSU.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Reporting Person's spouse.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Reporting Person's daughter.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Theresa Bloom,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0725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2025-08-29T16:51:32Z</dcterms:created>
  <dcterms:modified xsi:type="dcterms:W3CDTF">2025-08-29T16:51:32Z</dcterms:modified>
</cp:coreProperties>
</file>