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DECKER SUSAN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Chime Financial,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CHYM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CHIME FINANCIAL,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CALIFORNIA STREET, SUITE 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One-fourth of the RSUs shall vest on November 27, 2025 and quarterly thereafter, subject to the Reporting Person continuing as a service provider through each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RSUs. Each RSU represents a contingent right to receive one share of the Issuer's Class A Common Stock, subject to the applicable vesting schedule and conditions of each RSU.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held by SJCE Family LP, for which the Reporting Person serves as general partner.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Theresa Bloom, by power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4655" TargetMode="External"/><Relationship Id="rId14" Type="http://schemas.openxmlformats.org/officeDocument/2006/relationships/hyperlink" Target="http://www.sec.gov/cgi-bin/browse-edgar?action=getcompany&amp;CIK=00017955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2025-08-29T16:53:55Z</dcterms:created>
  <dcterms:modified xsi:type="dcterms:W3CDTF">2025-08-29T16:53:55Z</dcterms:modified>
</cp:coreProperties>
</file>