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CAROLAN SHAWN 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Chime Financial,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CHYM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CHIME FINANCIAL,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08/27/2025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101 CALIFORNIA STREET, SUITE 500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gridSpan w:val="2"/>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Times New Roman" w:cs="Times New Roman" w:eastAsia="Times New Roman" w:hAnsi="Times New Roman"/>
                <w:sz w:val="17"/>
                <w:szCs w:val="17"/>
                <w:color w:val="0000FF"/>
              </w:rPr>
              <w:t>08/27/2025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7,628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300"/>
              <w:spacing w:after="0"/>
              <w:rPr>
                <w:sz w:val="20"/>
                <w:szCs w:val="20"/>
                <w:color w:val="auto"/>
              </w:rPr>
            </w:pPr>
            <w:r>
              <w:rPr>
                <w:rFonts w:ascii="Times New Roman" w:cs="Times New Roman" w:eastAsia="Times New Roman" w:hAnsi="Times New Roman"/>
                <w:sz w:val="17"/>
                <w:szCs w:val="17"/>
                <w:color w:val="0000FF"/>
              </w:rPr>
              <w:t>7,628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color w:val="0000FF"/>
              </w:rPr>
              <w:t>17,442,713</w:t>
            </w:r>
            <w:r>
              <w:rPr>
                <w:rFonts w:ascii="Times New Roman" w:cs="Times New Roman" w:eastAsia="Times New Roman" w:hAnsi="Times New Roman"/>
                <w:sz w:val="22"/>
                <w:szCs w:val="22"/>
                <w:color w:val="008000"/>
                <w:vertAlign w:val="superscript"/>
              </w:rPr>
              <w:t>(3)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One-fourth of the RSUs shall vest on November 27, 2025 and quarterly thereafter, subject to the Reporting Person continuing as a service provider through each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subject to the applicable vesting schedule and conditions of each RSU.</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as follows: (i) 9,650,310 shares held by Menlo Inflection I, L.P. ("Menlo Inflection I"); (ii) 6,865,680 shares held by Menlo Ventures XIV, L.P. ("Menlo Ventures XIV"); (iii) 156,900 shares held by MMSOP, L.P. ("MMSOP" and, collectively with Menlo Inflection I, the "Menlo Inflection I Funds"); (iv) 102,310 shares held by MMEF XIV, L.P. ("MMEF XIV"); (v) 88,200 shares held by Menlo Entrepreneurs Fund XIV, L.P. ("Menlo Entrepreneurs Fund XIV" and together with Menlo Ventures XIV and MMEF XIV, the "Menlo XIV Funds"); (vi) 569,755 shares held by Menlo Inflection II, L.P. ("Menlo Inflection II"); (vii) 5,793 shares held by MM Inflection, L.P. ("MM Inflection"); and (viii) 3,765 shares held by Menlo Entrepreneurs Inflection Fund, L.P. ("Menlo Entrepreneurs Inflection Fund" and, together with Menlo Inflection II and MM Inflection, the "Menlo Inflection II Funds").</w:t>
      </w:r>
    </w:p>
    <w:p>
      <w:pPr>
        <w:spacing w:after="0" w:line="26"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each of: (i) MSOP GP, L.L.C., the general partner of the Menlo Inflection I Funds; (ii) MV Management XIV, L.L.C., the general partner of the Menlo XIV Funds; and (iii) MSOP GP II, L.L.C., the general partner of the Menlo Inflection II Funds. The Reporting Person disclaims beneficial ownership of the shares reported herein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Theresa Bloom, by power</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6066"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2025-08-29T17:11:03Z</dcterms:created>
  <dcterms:modified xsi:type="dcterms:W3CDTF">2025-08-29T17:11:03Z</dcterms:modified>
</cp:coreProperties>
</file>