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42424"/>
          <w:sz w:val="20"/>
        </w:rPr>
      </w:pPr>
      <w:r>
        <w:rPr>
          <w:rFonts w:ascii="Times New Roman;serif" w:hAnsi="Times New Roman;serif"/>
          <w:b/>
          <w:color w:val="242424"/>
          <w:sz w:val="20"/>
        </w:rPr>
        <w:t>July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Chime Financial,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263" w:type="dxa"/>
        <w:jc w:val="left"/>
        <w:tblInd w:w="0" w:type="dxa"/>
        <w:tblLayout w:type="fixed"/>
        <w:tblCellMar>
          <w:top w:w="28" w:type="dxa"/>
          <w:left w:w="28" w:type="dxa"/>
          <w:bottom w:w="28" w:type="dxa"/>
          <w:right w:w="28" w:type="dxa"/>
        </w:tblCellMar>
      </w:tblPr>
      <w:tblGrid>
        <w:gridCol w:w="935"/>
        <w:gridCol w:w="821"/>
        <w:gridCol w:w="823"/>
        <w:gridCol w:w="764"/>
        <w:gridCol w:w="764"/>
        <w:gridCol w:w="766"/>
        <w:gridCol w:w="992"/>
        <w:gridCol w:w="992"/>
        <w:gridCol w:w="1406"/>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Times New Roman;serif" w:hAnsi="Times New Roman;serif"/>
                <w:b/>
                <w:color w:val="000000"/>
                <w:sz w:val="20"/>
              </w:rPr>
              <w:t>001-42693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46-0925388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San Francisco, CA 94111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(844) 244-6363</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960" w:type="dxa"/>
        <w:jc w:val="left"/>
        <w:tblInd w:w="0" w:type="dxa"/>
        <w:tblLayout w:type="fixed"/>
        <w:tblCellMar>
          <w:top w:w="28" w:type="dxa"/>
          <w:left w:w="28" w:type="dxa"/>
          <w:bottom w:w="28" w:type="dxa"/>
          <w:right w:w="28" w:type="dxa"/>
        </w:tblCellMar>
      </w:tblPr>
      <w:tblGrid>
        <w:gridCol w:w="1316"/>
        <w:gridCol w:w="1157"/>
        <w:gridCol w:w="1157"/>
        <w:gridCol w:w="502"/>
        <w:gridCol w:w="502"/>
        <w:gridCol w:w="502"/>
        <w:gridCol w:w="1120"/>
        <w:gridCol w:w="1120"/>
        <w:gridCol w:w="1584"/>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9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CHYM</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Financial Results for the Second Quarter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Chime Financial, Inc. (“Chime”, "the Company" "we", "us") issued a press release regarding its financial results for the quarter ended June 30, 2026. A copy of the press release is furnished as Exhibit 99.1 to this report. As previously announced, Chime will host an earnings call on August 5, 2026 at 3:00 p.m. PT/6:00 p.m. ET.</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2.05 - Costs Associated with Exit or Disposal Activities.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July 31, 2026, the Company committed to a reorganization (the “Plan”) to better align the Company’s personnel with its strategic priorities, improve operational efficiency, and position the Company for continued growth.</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Plan involves the reduction of approximately 10% of the Company’s total workforce. The Company estimates that it will incur approximately $16 million to $20 million in net cash restructuring charges in the third quarter of 2026, partially offset by a reversal of approximately $9 million to $12 million in non-cash stock-based compensation expense as discussed below, resulting in an expected impact to net income of $6 million to $9 million. The Company expects that most cash payments and expenses related to the reduction in personnel will be incurred by the end of the third quarter of 2026, and that the implementation of the Plan will be substantially complete by the end of the third quarter of 2026.</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With respect to stock-based compensation, also as part of the Plan, the Company allowed a portion of the affected employees’ stock awards to vest that otherwise would have required continued service. However, as a result of the reversal of stock-based compensation expense that had been previously recognized (under the accelerated attribution method, generally) for the forfeited portions of the impacted employees’ stock awards, the Company expects the Plan will result in a net reduction to stock-based compensation expense of approximately $9 million to $12 million, most of which will be recognized in the third quarter of 2026.</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Company may incur other charges or cash expenditures not currently contemplated due to unanticipated events that may occur as a result of or in connection with the implementation of the Plan. The Company intends to exclude the net impact of the Plan from its non-GAAP financial measures, including Adjusted EBITDA and Adjusted EBITDA margin.</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5.02 - Departure of Directors or Certain Officers; Election of Directors; Appointment of Certain Officers; Compensatory Agreements of Certain Officers.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announced that Matthew Newcomb will step down from his position as the Company’s Chief Financial Officer, effective August 7, 2026. Mr. Newcomb’s resignation is not due to any disagreement regarding the Company or any matter related to the Company’s operations, policies or practices. Mark Troughton, the Company’s President, has been appointed as the Company’s President &amp; Interim Chief Financial Officer, effective August 7, 2026. The Company has initiated an executive search for a permanent Chief Financial Officer.</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Mr. Newcomb’s resignation, the Company and Mr. Newcomb entered into a transition agreement on August 2, 2026 (the “Transition Agreement”) pursuant to which he will continue to serve the Company as an advisor through December 31, 2027 or such earlier date as determined by the Company or Mr. Newcomb (the “Separation Date”) to assist with the orderly transition of his duties and responsibilities (the “Transition Period”). During the Transition Period, Mr. Newcomb will (i) be paid his current base salary of $45,833.33 per month; (ii) be paid 100% of his on-target bonus for fiscal year 2026; and (iii) continue to be eligible for benefits and vest into Company equity awards in accordance with their terms, provided that Mr. Newcomb will not be eligible for any bonus with respect to fiscal year 2027. In consideration of Mr. Newcomb’s timely delivery of an effective release of claims in favor of the Company (the “Confirmatory Release”), 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vested nonstatutory stock options (“NSOs”) shall be amended such that the NSOs will be exercisable for a total of six (6) months after the Separation Date, provided that no NSO shall be exercisable beyond its original expiration date.</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Transition Agreement also provides that in the event Mr. Newcomb is terminated without “Cause” (as such term is defined in the Company’s Officer Severance Plan) prior to the Separation Date, the Company shall provide Mr. Newcomb with the following benefits: (i) payment of cash severance equal to the total salary he would have received for the remainder of the Transition Period; (ii) subject to Mr. Newcomb timely electing for continuation coverage under the Consolidated Omnibus Budget Reconciliation Act of 1985, as amended (“COBRA”), payment of his COBRA premiums through December 2027; and (iii) acceleration of vesting of any stock options and restricted stock units that would have otherwise vested under the applicable equity agreements as if Mr. Newcomb remained employed through the end of the Transition Period.</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Transition Agreement with Mr. Newcomb is qualified in their entirety by reference to the full text of the Transition Agreement, which is filed as Exhibit 10.1 hereto.</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Mr. Troughton, age 58, has served as the Company’s President since December 2025. He previously served as the Company’s Chief Operating Officer from November 2019 to December 2025 and as Chief Business Officer from September 2019 to November 2019. Prior to joining the Company, Mr. Troughton served as President at Ring.com from 2016 through its acquisition by Amazon in 2018, as President at Whisper from 2015 to 2016, and as President, Americas of Wonga.com from 2012 to 2013. Before that, Mr. Troughton held various senior positions at Green Dot Corporation from 2003 to 2012, including as President, Cards &amp; Network from 2007 to 2012. Mr. Troughton is a Chartered Accountant and holds a BCom, a BCom (Hons), and an MCom, each in finance, accounting, or related subjects, from the University of Cape Town (South Africa).</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as interim Chief Financial Officer, Mr. Troughton was granted restricted stock units covering 1,340,034 shares of the Company’s Class A common stock, which will vest quarterly over a four-year period. No other changes were made to the compensation of Mr. Troughton in connection with this appointment.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Troughton and any other persons, pursuant to which he was appointed as interim Chief Financial Officer, no family relationships among any of the Company’s directors or executive officers and Mr. Troughton, and Mr. Troughton has no direct or indirect interest in any transaction required to be disclosed pursuant to Item 404(a) of Regulation S-K.</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(“Current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"aim", "try", “predict,” “potential” or “continue” or the negative of these words or other similar terms or expressions that concern our expectations, strategy, plans, or intentions. Forward-looking statements in this Current Report include, but are not limited to, statements regarding expectations related to the costs, timing, financial, strategic, and operational impacts of the Plan.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expectations and beliefs regarding these matters may not materialize, and actual results in future periods are subject to risks and uncertainties that could cause actual results to differ materially from those projected. These risks and uncertainties include the possibility that: there are impediments to the Company’s ability to execute the Plan or related initiatives as currently contemplated; the actual charges in implementing the Plan or related initiatives are higher than anticipated; there are changes to the assumptions on which the estimated charges associated with the Plan or related initiatives are based; the Company is unable to achieve projected cost savings in connection with the Plan or related initiatives; there are unintended consequences from the Plan or related initiatives that impact the business; there are changes in the macroeconomic environment that impact the business; or we are unable to make accurate predictions about the Company’s future performance due to its limited operating history. The forward-looking statements contained in this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Report are also subject to other risks and uncertainties that could cause actual results to differ from the results predicted, including those more fully described in the Company’s filings with the SEC, including its Annual Report on Form 10-K for the year ended December 31, 2025 and Quarterly Reports on Form 10-Q. All forward-looking statements in this Current Report are based on information available to Chime and assumptions and beliefs as of the date hereof, and the Company disclaims any obligation to update any forward-looking statements, except as required by law.</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Exhibits</w:t>
      </w:r>
    </w:p>
    <w:p>
      <w:pPr>
        <w:pStyle w:val="TextBody"/>
        <w:bidi w:val="0"/>
        <w:spacing w:before="0" w:after="2"/>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101-transitionagreement.htm">
              <w:r>
                <w:rPr>
                  <w:rStyle w:val="InternetLink"/>
                  <w:rFonts w:ascii="Times New Roman;serif" w:hAnsi="Times New Roman;serif"/>
                  <w:b w:val="false"/>
                  <w:color w:val="0000FF"/>
                  <w:sz w:val="20"/>
                  <w:u w:val="single"/>
                </w:rPr>
                <w:t>Transition Agreement between Mr. Newcomb and the Company</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991q226.htm">
              <w:r>
                <w:rPr>
                  <w:rStyle w:val="InternetLink"/>
                  <w:rFonts w:ascii="Times New Roman;serif" w:hAnsi="Times New Roman;serif"/>
                  <w:b w:val="false"/>
                  <w:color w:val="000080"/>
                  <w:sz w:val="20"/>
                  <w:u w:val="single"/>
                </w:rPr>
                <w:t xml:space="preserve">Press release dated </w:t>
              </w:r>
            </w:hyperlink>
            <w:hyperlink w:anchor="ex991q226.htm">
              <w:r>
                <w:rPr>
                  <w:rStyle w:val="InternetLink"/>
                  <w:rFonts w:ascii="Times New Roman;serif" w:hAnsi="Times New Roman;serif"/>
                  <w:b w:val="false"/>
                  <w:color w:val="000080"/>
                  <w:sz w:val="20"/>
                  <w:u w:val="single"/>
                </w:rPr>
                <w:t>August</w:t>
              </w:r>
            </w:hyperlink>
            <w:hyperlink w:anchor="ex991q226.htm">
              <w:r>
                <w:rPr>
                  <w:rStyle w:val="InternetLink"/>
                  <w:rFonts w:ascii="Times New Roman;serif" w:hAnsi="Times New Roman;serif"/>
                  <w:b w:val="false"/>
                  <w:color w:val="000080"/>
                  <w:sz w:val="20"/>
                  <w:u w:val="single"/>
                </w:rPr>
                <w:t xml:space="preserve"> </w:t>
              </w:r>
            </w:hyperlink>
            <w:hyperlink w:anchor="ex991q226.htm">
              <w:r>
                <w:rPr>
                  <w:rStyle w:val="InternetLink"/>
                  <w:rFonts w:ascii="Times New Roman;serif" w:hAnsi="Times New Roman;serif"/>
                  <w:b w:val="false"/>
                  <w:color w:val="000080"/>
                  <w:sz w:val="20"/>
                  <w:u w:val="single"/>
                </w:rPr>
                <w:t>5</w:t>
              </w:r>
            </w:hyperlink>
            <w:hyperlink w:anchor="ex991q226.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23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348"/>
        <w:gridCol w:w="348"/>
        <w:gridCol w:w="348"/>
        <w:gridCol w:w="1021"/>
        <w:gridCol w:w="1021"/>
        <w:gridCol w:w="145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Chime Financial,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Adam Frankel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Adam Frankel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8.6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TRANSITION AGREEMENT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Transition Agreement (“Transition Agreement”) is made by and between Matthew Newcomb (“Executive”) and Chime Financial, Inc. (the “Company”) (jointly referred to as the “Parties” or individually referred to as a “Party”).</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is employed by the Company at-will;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a Confirmatory Offer Letter on April 3, 2025 (the “Offer Letter”);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a Proprietary Information and Inventions Agreement with 1debit, inc. (the Company’s former entity name) on September 6, 2016 (the “Proprietary Information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Executive is subject to a mutual mediation/arbitration agreement (the “Arbitration Agreement”); </w:t>
      </w:r>
    </w:p>
    <w:p>
      <w:pPr>
        <w:pStyle w:val="TextBody"/>
        <w:bidi w:val="0"/>
        <w:spacing w:lineRule="auto" w:line="240"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WHEREAS, the Parties wish to provide for the orderly transition of Executive’s duties and responsibilities, and accordingly the Company has agreed to continue Executive’s at-will employment until December 31, 2027 (the “Planned Separation Date”), at which time the Parties expect that Executive’s employment with the Company will terminate;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Executive hereby agree as follows:</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lineRule="auto" w:line="288" w:before="220" w:after="8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Garden Leave</w:t>
      </w:r>
      <w:r>
        <w:rPr>
          <w:rFonts w:ascii="Times New Roman;serif" w:hAnsi="Times New Roman;serif"/>
          <w:b w:val="false"/>
          <w:color w:val="000000"/>
          <w:sz w:val="22"/>
        </w:rPr>
        <w:t xml:space="preserve">. Beginning as of the Transition Agreement Effective Date and continuing until the Planned Separation Date or such earlier date as Executive’s employment may be terminated (the “Garden Leave Period”), the Company agrees to continue to employ Executive on the terms set forth in this Transition Agreement, and Executive agrees to transition Executive’s day-to-day duties at the instruction and direction of the Company and in a reasonable manner with reasonable availability on limited request, including with respect to assisting the onboarding of a new Chief Financial Officer and providing advice and perspective to the Company’s Chief Executive Officer and other executive team members on matters within Executive’s institutional knowledgebase. During the Garden Leave Period, Executive will continue to be subject to and expected to adhere to all Company policies and shall remain subject to his duty of loyalty to the Company and his fiduciary duties. As of the Transition Agreement Effective Date, Executive will no longer be an executive officer of the Company. </w:t>
      </w:r>
    </w:p>
    <w:p>
      <w:pPr>
        <w:pStyle w:val="TextBody"/>
        <w:bidi w:val="0"/>
        <w:spacing w:lineRule="auto" w:line="288" w:before="220" w:after="283"/>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During the Garden Leave Period, Executive will continue to be paid Executive’s regular base salary in accordance with the Company’s regular payroll practices and less applicable withholdings and shall continue to vest in any equity awards in accordance with each applicable equity plan and the Executive’s equity award agreements. In addition, Executive’s bonus for 2026 will be paid at 100% target level performance and will be paid at the same time that bonuses are paid to Company executives generally. Executive will not be eligible for any bonus for 2027.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Executive, and Executive’s covered dependents, shall also remain eligible to participate in then-available Company benefit programs at the same level as Executive, and Executive’s covered dependents, would have been eligible to participate in such programs immediately prior to the start of the Garden Leave Period, subject to the terms and conditions, including eligibility requirements, of such programs, and further subject to any modifications herein. </w:t>
      </w:r>
    </w:p>
    <w:p>
      <w:pPr>
        <w:pStyle w:val="TextBody"/>
        <w:bidi w:val="0"/>
        <w:spacing w:lineRule="auto" w:line="288" w:before="220" w:after="283"/>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Nothing in this Transition Agreement alters Executive’s at-will employment during the Garden Leave Period. As a result, Executive is free to terminate Executive’s employment at any time, for any reason or for no reason and the Company is free to terminate Executive’s employment at any time, for any reason or for no reason even before the Planned Separation Date (the actual date Executive’s employment terminates, the “Actual Separation Date”), provided that a termination of the Executive’s employment by the Company will avail Executive the additional benefits described in Section 3.b.</w:t>
      </w:r>
    </w:p>
    <w:p>
      <w:pPr>
        <w:pStyle w:val="TextBody"/>
        <w:bidi w:val="0"/>
        <w:spacing w:lineRule="auto" w:line="288" w:before="220" w:after="8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Transition Agreement Consideration</w:t>
      </w:r>
      <w:r>
        <w:rPr>
          <w:rFonts w:ascii="Times New Roman;serif" w:hAnsi="Times New Roman;serif"/>
          <w:b w:val="false"/>
          <w:color w:val="000000"/>
          <w:sz w:val="22"/>
        </w:rPr>
        <w:t>. In consideration of Executive’s execution of this Transition Agreement and Executive’s fulfillment of all of its terms and conditions, and provided that Executive does not revoke the Transition Agreement, the Company agrees as follows:</w:t>
      </w:r>
    </w:p>
    <w:p>
      <w:pPr>
        <w:pStyle w:val="TextBody"/>
        <w:bidi w:val="0"/>
        <w:spacing w:lineRule="auto" w:line="288" w:before="220" w:after="220"/>
        <w:ind w:left="0" w:right="0" w:hanging="446"/>
        <w:jc w:val="both"/>
        <w:rPr>
          <w:rFonts w:ascii="Times New Roman;serif" w:hAnsi="Times New Roman;serif"/>
          <w:b w:val="false"/>
          <w:color w:val="000000"/>
          <w:sz w:val="22"/>
        </w:rPr>
      </w:pPr>
      <w:r>
        <w:rPr>
          <w:rFonts w:ascii="Times New Roman;serif" w:hAnsi="Times New Roman;serif"/>
          <w:b w:val="false"/>
          <w:color w:val="000000"/>
          <w:sz w:val="22"/>
        </w:rPr>
        <w:t>a.For a period of five (5) years following the Transition Agreement Effective Date, the Company, at its own expense, shall provide Executive with insurance coverage no less favorable than that provided to Executive under the Company’s existing directors’ and officers’ liability insurance policy or policies immediately prior to the Transition Agreement Effective Date.</w:t>
      </w:r>
    </w:p>
    <w:p>
      <w:pPr>
        <w:pStyle w:val="TextBody"/>
        <w:bidi w:val="0"/>
        <w:spacing w:lineRule="auto" w:line="288" w:before="220" w:after="8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Confirmatory Release Consideration</w:t>
      </w:r>
      <w:r>
        <w:rPr>
          <w:rFonts w:ascii="Times New Roman;serif" w:hAnsi="Times New Roman;serif"/>
          <w:b w:val="false"/>
          <w:color w:val="000000"/>
          <w:sz w:val="22"/>
        </w:rPr>
        <w:t xml:space="preserve">. Executive acknowledges that Executive will only receive the Confirmatory Release Consideration provided in this Section 3, if Executive: (1) returns all Company property on or before the Actual Separation Date; </w:t>
      </w:r>
      <w:r>
        <w:rPr>
          <w:rFonts w:ascii="Times New Roman;serif" w:hAnsi="Times New Roman;serif"/>
          <w:b w:val="false"/>
          <w:color w:val="000000"/>
          <w:sz w:val="22"/>
          <w:u w:val="single"/>
        </w:rPr>
        <w:t>and</w:t>
      </w:r>
      <w:r>
        <w:rPr>
          <w:color w:val="000000"/>
        </w:rPr>
        <w:t xml:space="preserve"> </w:t>
      </w:r>
      <w:r>
        <w:rPr>
          <w:rFonts w:ascii="Times New Roman;serif" w:hAnsi="Times New Roman;serif"/>
          <w:b w:val="false"/>
          <w:color w:val="000000"/>
          <w:sz w:val="22"/>
        </w:rPr>
        <w:t>(2) has timely signed the Confirmatory Release and returned it to the Company. Contingent upon Executive’s compliance with (1) and (2) in the foregoing sentence, the Company agrees to provide the following consideration to Executive subject to the terms and conditions herein (the “Confirmatory Release Consideration”):</w:t>
      </w:r>
    </w:p>
    <w:p>
      <w:pPr>
        <w:pStyle w:val="TextBody"/>
        <w:bidi w:val="0"/>
        <w:spacing w:lineRule="auto" w:line="288" w:before="220" w:after="80"/>
        <w:ind w:left="0" w:right="0" w:hanging="450"/>
        <w:jc w:val="both"/>
        <w:rPr>
          <w:rFonts w:ascii="Times New Roman;serif" w:hAnsi="Times New Roman;serif"/>
          <w:b w:val="false"/>
          <w:color w:val="000000"/>
          <w:sz w:val="22"/>
        </w:rPr>
      </w:pPr>
      <w:r>
        <w:rPr>
          <w:rFonts w:ascii="Times New Roman;serif" w:hAnsi="Times New Roman;serif"/>
          <w:b w:val="false"/>
          <w:color w:val="000000"/>
          <w:sz w:val="22"/>
        </w:rPr>
        <w:t>a.Each of Executive’s outstanding and unexercised stock options that are designated as nonstatutory stock options in the Company’s equity award management portal (“NSOs”) will be amended such that the vested portion of the NSO shall remain exercisable for a total of six (6) months after the Planned Separation Date (i.e., three additional months as compared to existing terms); provided, however, that the NSO will not be exercisable beyond its original term/expiration date (as indicated in the applicable stock option agreement) and the NSO will be subject to earlier termination pursuant to the terms of the Plan. This Transition Agreement acts as an amendment to each NSO.</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hanging="450"/>
        <w:jc w:val="both"/>
        <w:rPr>
          <w:rFonts w:ascii="Times New Roman;serif" w:hAnsi="Times New Roman;serif"/>
          <w:b w:val="false"/>
          <w:color w:val="000000"/>
          <w:sz w:val="22"/>
        </w:rPr>
      </w:pPr>
      <w:r>
        <w:rPr>
          <w:rFonts w:ascii="Times New Roman;serif" w:hAnsi="Times New Roman;serif"/>
          <w:b w:val="false"/>
          <w:color w:val="000000"/>
          <w:sz w:val="22"/>
        </w:rPr>
        <w:t>b.If Executive is terminated prior to the Planned Separation Date without Cause, the Company shall (x) pay Executive severance equal to the total salary that Executive would have received for the remainder of the Garden Leave Period (i.e., between the Actual Separation Date and the Planned Separation Date), (y) subject to Executive timely electing for continuation coverage under the Consolidated Omnibus Budget Reconciliation Act of 1985, as amended (“COBRA”), pay for COBRA premiums for Executive and Executive’s covered dependents through December 2027, and (z) provide for the vesting of any stock options and RSUs that would have otherwise vested under the Equity Agreements during the remainder of the Garden Leave Period (i.e., between the Actual Separation Date and the Planned Separation Date). Such cash amount shall be paid in equal installments in accordance with the Company’s regular payroll practices, less applicable withholdings, beginning as of the first regularly scheduled payroll date following the Confirmatory Release Effective Date. The additional equity vesting will be effective upon the Confirmatory Release Effective Date provided that (i) settlement of any RSUs vested under this Section 3.b shall occur on the same timing that RSUs would have otherwise settled absent a termination; and (ii) exercisability of any stock options vested under this Section 3.b shall occur on the same timing that stock options would have otherwise vested absent a termination. For purposes of this Transition Agreement, “Cause” has the same defined meaning as set forth in the Company’s Officer Severance Plan.</w:t>
      </w:r>
    </w:p>
    <w:p>
      <w:pPr>
        <w:pStyle w:val="TextBody"/>
        <w:bidi w:val="0"/>
        <w:spacing w:lineRule="auto" w:line="288" w:before="220" w:after="8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Confirmatory Release</w:t>
      </w:r>
      <w:r>
        <w:rPr>
          <w:rFonts w:ascii="Times New Roman;serif" w:hAnsi="Times New Roman;serif"/>
          <w:b w:val="false"/>
          <w:color w:val="000000"/>
          <w:sz w:val="22"/>
        </w:rPr>
        <w:t xml:space="preserve">. In exchange for the Confirmatory Release Consideration, Executive agrees to execute the Confirmatory Release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within the time period set forth therein, which agreement will serve to cover the time period from the Transition Agreement Effective Date through the Confirmatory Release Effective Date (as defined in the Confirmatory Release) and cover claims not released herein; provided, however, the Parties agree to modify the Confirmatory Release to comply with any new laws that become applicable through the Garden Leave Period. Executive agrees that Executive cannot sign the Confirmatory Release prior to the Actual Separation Date. Further, Executive understands and agrees that Executive will only be entitled to the consideration set forth in Section 3 if Executive executes the Confirmatory Release within the time allotted in this Section 4.</w:t>
      </w:r>
    </w:p>
    <w:p>
      <w:pPr>
        <w:pStyle w:val="TextBody"/>
        <w:bidi w:val="0"/>
        <w:spacing w:lineRule="auto" w:line="288" w:before="220" w:after="8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Acknowledgments.</w:t>
      </w:r>
      <w:r>
        <w:rPr>
          <w:color w:val="000000"/>
        </w:rPr>
        <w:t xml:space="preserve"> </w:t>
      </w:r>
      <w:r>
        <w:rPr>
          <w:rFonts w:ascii="Times New Roman;serif" w:hAnsi="Times New Roman;serif"/>
          <w:b w:val="false"/>
          <w:color w:val="000000"/>
          <w:sz w:val="22"/>
        </w:rPr>
        <w:t>Except as explicitly set forth in this Transition Agreement and the Confirmatory Release, Executive acknowledges and agrees that Executive is not entitled to receive any severance compensation or benefits from the Company. Executive hereby acknowledges that without this Transition Agreement, Executive is not otherwise entitled to the consideration listed in Section 2.</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F4761"/>
          <w:sz w:val="22"/>
        </w:rPr>
        <w:t>6.</w:t>
      </w:r>
      <w:r>
        <w:rPr>
          <w:rFonts w:ascii="Times New Roman;serif" w:hAnsi="Times New Roman;serif"/>
          <w:b w:val="false"/>
          <w:color w:val="000000"/>
          <w:sz w:val="22"/>
          <w:u w:val="single"/>
        </w:rPr>
        <w:t>Stock Options and RSUs.</w:t>
      </w:r>
      <w:r>
        <w:rPr>
          <w:color w:val="000000"/>
        </w:rPr>
        <w:t xml:space="preserve"> </w:t>
      </w:r>
      <w:r>
        <w:rPr>
          <w:rFonts w:ascii="Times New Roman;serif" w:hAnsi="Times New Roman;serif"/>
          <w:b w:val="false"/>
          <w:color w:val="000000"/>
          <w:sz w:val="22"/>
        </w:rPr>
        <w:t>Executive acknowledges and agrees that any rights or entitlement that Executive may have with respect to stock options and/or restricted stock units (“RSUs”) are set forth in the applicable Stock Option Grant Notice (“Grant Notice”), Stock Option Agreement (“Stock Agreement”), and/or Restricted Stock Unit Award Agreement (“RSU Agreement”) between Executive and the Company (together, as applicable, the “Equity Agreements”). Except as provided by Section 3.a above, after Executive’s separation from the Company, Executive’s right to exercise vested stock options and/or any entitlement to vested RSUs shall continue to be governed by the terms and conditions of the Grant Notice, Stock Agreement, and/or RSU Agreement, as applicable. For avoidance of doubt, vesting shall cease as of the Actual Separation Date, and any unvested equity subject to the Equity Agreements shall forfeit as of the Actual Separation Date. This Transition Agreement makes no representations as to Executive’s rights or entitlement under the applicable Grant Notice, Stock Agreement, and/or RSU Agreement. Executive is advised to seek independent tax, legal, and/or financial advice regarding Executive’s own particular situation and rights under any Grant Notice, Stock Agreement, and/or RSU Agreement that Executive has with the Company, and by Executive’s signature below, Executive acknowledges and agrees that Executive shall obtain such advice.</w:t>
      </w:r>
    </w:p>
    <w:p>
      <w:pPr>
        <w:pStyle w:val="TextBody"/>
        <w:bidi w:val="0"/>
        <w:spacing w:lineRule="auto" w:line="288" w:before="220" w:after="8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Rule 10b5-1 Trading Plan Cooperation</w:t>
      </w:r>
      <w:r>
        <w:rPr>
          <w:rFonts w:ascii="Times New Roman;serif" w:hAnsi="Times New Roman;serif"/>
          <w:b w:val="false"/>
          <w:color w:val="000000"/>
          <w:sz w:val="22"/>
        </w:rPr>
        <w:t>. The Company acknowledges that Executive currently maintains a trading plan intended to comply with Rule 10b5-1 under the Securities Exchange Act of 1934 and that, during the Garden Leave Period, Executive may continue to possess material non-public information about the Company by reason of his continuing services and transition responsibilities, even after he no longer serves as Chief Financial Officer. Accordingly, the Company will reasonably and promptly cooperate with Executive, at Executive's request, to permit Executive to adopt a new Rule 10b5-1 trading plan or amend, modify, terminate, or replace his existing plan, in each case in a manner intended to comply with Rule 10b5-1, as amended, the Company's insider trading policy and Rule 10b5-1 trading plan guidelines. Such cooperation will include timely review of proposed plan documentation, providing any required pre-clearance or internal approval, executing any customary Company-side acknowledgments or broker documentation reasonably required in connection with the plan, and coordinating in good faith with Executive and his broker to address any applicable blackout period, cooling-off period, change in trading parameters, or other plan administration issue arising during the Garden Leave Period. Nothing in this Section requires the Company to waive, modify, or override any applicable securities law, SEC rule, Company insider trading policy, blackout restriction, Rule 10b5-1 trading plan guidelines or other legal or compliance requirement, or to approve any plan, amendment, modification, or trade that the Company reasonably determines would not comply with those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Transition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Transition Agreement; (b) Executive has had more than twenty-one (21) days within which to consider this Transition Agreement; (c) Executive has seven (7) days following Executive’s execution of this Transition Agreement to revoke this Transition Agreement; (d) this Transition Agreement shall not be effective until after the revocation period has expired; and (e) nothing in this Transition Agreement prevents or precludes Executive from challenging or seeking a determination in good faith of the validity of this waiver under the ADEA, nor does it impose any condition precedent, penalties, or costs for doing so, unless specifically authorized by federal law. Executive acknowledges and understands that revocation must be accomplished by a written notification to the Company’s undersigned that is received prior to the Effective Date. The Parties agree that changes, whether material or immaterial, do not restart the running of the 21-day period.</w:t>
      </w:r>
    </w:p>
    <w:p>
      <w:pPr>
        <w:pStyle w:val="TextBody"/>
        <w:bidi w:val="0"/>
        <w:spacing w:lineRule="auto" w:line="288" w:before="220" w:after="8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In exchange for the consideration provided under this Transition Agreement, Executive (on Executive’s own behalf and on behalf of Executive’s respective heirs, family members, executors, agents, and assigns) agrees to release any and all claims Executive may have against the Company, its parents and subsidiaries, and their current and former officers, directors, employees, agents, investors, attorneys, shareholders, administrators, affiliates, benefit plans, plan administrators, professional employer organization or co-employer,</w:t>
      </w:r>
      <w:r>
        <w:rPr>
          <w:color w:val="000000"/>
        </w:rPr>
        <w:t xml:space="preserve"> </w:t>
      </w:r>
      <w:r>
        <w:rPr>
          <w:rFonts w:ascii="Times New Roman;serif" w:hAnsi="Times New Roman;serif"/>
          <w:b w:val="false"/>
          <w:color w:val="000000"/>
          <w:sz w:val="22"/>
        </w:rPr>
        <w:t>insurers, trustees, divisions, parents, subsidiaries, predecessor and successor corporations, and assigns (collectively the “Releasees”) as of the date Executive signs this Transition Agreement, including, but not limited to, the following: (a) claims arising under the federal or any state constitution, law, regulation, or ordinance; (b) claims for breach of contract, breach of public policy, physical or mental harm or distress; (c) any claim for attorneys’ fees and costs; (d) any and all claims relating to, or arising from, Executive’s right to purchase, or actual purchase of shares of stock of the Company; and (e) any and all employment claims, and (f) any and all other claims arising from Executive’s employment relationship with the Company or the termination of that relationship. Executive agrees that, with respect to the claims released herein, Executive will not file any legal action asserting any such claims. Executive agrees that the release set forth in this section shall be and remain in effect in all respects as a complete general release as to the matters released. This release does not extend to: (i) any obligations incurred under this Transition Agreement; or (ii) claims that cannot be released as a matter of law, including right to workers compensation or unemployment compensation benefits.</w:t>
      </w:r>
    </w:p>
    <w:p>
      <w:pPr>
        <w:pStyle w:val="TextBody"/>
        <w:bidi w:val="0"/>
        <w:spacing w:lineRule="auto" w:line="288" w:before="220" w:after="8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hereby and forever releases Executive from, and agrees not to sue concerning, or in any manner to institute, prosecute, or pursue, any known claim, complaint, charge, duty, obligation, demand, or cause of action directly relating to any known matters that the Company possesses against Executive relating to Executive’s employment with the Company arising from any omissions, acts, facts, or damages that have occurred up until and including the date the Company signs this Transition Agreement.</w:t>
      </w:r>
    </w:p>
    <w:p>
      <w:pPr>
        <w:pStyle w:val="TextBody"/>
        <w:bidi w:val="0"/>
        <w:spacing w:lineRule="auto" w:line="288" w:before="220" w:after="8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California Civil Code Section 1542</w:t>
      </w:r>
      <w:r>
        <w:rPr>
          <w:rFonts w:ascii="Times New Roman;serif" w:hAnsi="Times New Roman;serif"/>
          <w:b w:val="false"/>
          <w:color w:val="000000"/>
          <w:sz w:val="22"/>
        </w:rPr>
        <w:t>. Executive acknowledges that Executive has been advised to consult with legal counsel and is familiar with the provisions of California Civil Code Section 1542, a statute that otherwise prohibits the release of unknown claims, which provides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220" w:after="80"/>
        <w:jc w:val="both"/>
        <w:rPr>
          <w:rFonts w:ascii="Times New Roman;serif" w:hAnsi="Times New Roman;serif"/>
          <w:b w:val="false"/>
          <w:color w:val="000000"/>
          <w:sz w:val="22"/>
        </w:rPr>
      </w:pPr>
      <w:r>
        <w:rPr>
          <w:rFonts w:ascii="Times New Roman;serif" w:hAnsi="Times New Roman;serif"/>
          <w:b w:val="false"/>
          <w:color w:val="000000"/>
          <w:sz w:val="22"/>
        </w:rPr>
        <w:t>Executive, being aware of said code section, agrees to expressly waive any rights Executive may have thereunder, as well as under any other statute or common law principles of similar effect.</w:t>
      </w:r>
    </w:p>
    <w:p>
      <w:pPr>
        <w:pStyle w:val="TextBody"/>
        <w:bidi w:val="0"/>
        <w:spacing w:lineRule="auto" w:line="288" w:before="220" w:after="8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Executive understands and acknowledges that this Transition Agreement constitutes a compromise and settlement of any and all actual or potential disputed claims by Executive covered by the release set forth in Section 9 above. No action taken by the Company hereto, either previously or in connection with this Transition Agreement, shall be deemed or construed to be (a) an admission of the truth or falsity of any actual or potential claims or (b) an acknowledgment or admission by the Company of any fault or liability whatsoever to Executive or to any third party.</w:t>
      </w:r>
    </w:p>
    <w:p>
      <w:pPr>
        <w:pStyle w:val="TextBody"/>
        <w:bidi w:val="0"/>
        <w:spacing w:lineRule="auto" w:line="288" w:before="220" w:after="8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Costs</w:t>
      </w:r>
      <w:r>
        <w:rPr>
          <w:rFonts w:ascii="Times New Roman;serif" w:hAnsi="Times New Roman;serif"/>
          <w:b w:val="false"/>
          <w:color w:val="000000"/>
          <w:sz w:val="22"/>
        </w:rPr>
        <w:t>. The Parties shall each bear their own costs, attorneys’ fees, and other fees incurred in connection with the preparation of this Transition Agreement.</w:t>
      </w:r>
    </w:p>
    <w:p>
      <w:pPr>
        <w:pStyle w:val="TextBody"/>
        <w:bidi w:val="0"/>
        <w:spacing w:lineRule="auto" w:line="288" w:before="220" w:after="8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Authority</w:t>
      </w:r>
      <w:r>
        <w:rPr>
          <w:rFonts w:ascii="Times New Roman;serif" w:hAnsi="Times New Roman;serif"/>
          <w:b w:val="false"/>
          <w:color w:val="000000"/>
          <w:sz w:val="22"/>
        </w:rPr>
        <w:t>. The Company represents and warrants that the undersigned has the authority to act on behalf of the Company and to bind the Company and all who may claim through it to the terms and conditions of this Transition Agreement. Executive represents and warrants that Executive has the capacity to act on Executive’s own behalf and on behalf of all who might claim through Executive to bind them to the terms and conditions of this Transition Agreement. Each Party warrants and represents that there are no liens or claims of lien or assignments in law or equity or otherwise of or against any of the claims or causes of action released herein.</w:t>
      </w:r>
    </w:p>
    <w:p>
      <w:pPr>
        <w:pStyle w:val="TextBody"/>
        <w:bidi w:val="0"/>
        <w:spacing w:lineRule="auto" w:line="288" w:before="220" w:after="8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Executive agrees that during the Transition Period, Executive shall comply with his obligations under the Proprietary Information Agreement and Arbitration Agreement. Executive agrees that the above reaffirmation and agreement with the Proprietary Information Agreement and Arbitration Agreement shall constitute a new and separately enforceable agreement to abide by the terms of the Proprietary Information Agreement and Arbitration Agreement, entered and effective as of the Transition Agreement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Arbitration</w:t>
      </w:r>
      <w:r>
        <w:rPr>
          <w:rFonts w:ascii="Times New Roman;serif" w:hAnsi="Times New Roman;serif"/>
          <w:b w:val="false"/>
          <w:color w:val="000000"/>
          <w:sz w:val="22"/>
        </w:rPr>
        <w:t>. Executive acknowledges and agrees that the Company is engaged in interstate commerce. In view of that fact, pursuant to the Federal Arbitration Act, in the event of any dispute or claim between the Parties relating to or arising out of Executive’s employment relationship with the Company (including preemployment work for the Company or application for employment) or this Transition Agreement, the Parties agree that, to the fullest extent permitted by law, all such disputes/claims shall be fully and finally resolved by confidential, binding arbitration conducted in San Francisco, California, by a single, neutral arbitrator agreed upon by the Parties. For the avoidance of doubt, prior to instituting any arbitration procedures described below, Section 5 of the Arbitration Agreement applies. Arbitration shall be in an individual capacity, and not as a plaintiff or class member in any purported class action proceeding, except to the extent that this class action waiver is prohibited by applicable law. Any arbitration shall be conducted in accordance with the applicable JAMS Rules then in effect (www.jamsadr.com) and the Federal Rules of Evidence. This paragraph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“Excluded Claims”). In the event either party intends to bring multiple claims, including Excluded Claims, the Excluded Claims may be filed with a court, while any other claims will remain subject to mandatory arbitration. Arbitrable claims will be decided before Excluded Claims. Arbitrator’s fees and related expenses shall be borne by the Company, less the filing fee Executive would have had to pay to bring a court action for the arbitrable claims. Executive must pay their portion before the Company is invoiced. Each Party shall pay its own attorneys’ fees and costs not unique to arbitration when in arbitration, except that the arbitrator may award fees and costs to the prevailing Party to the extent permitted by law. This Transition Agreement shall not preclude either Party from seeking any provisional remedy (including a temporary restraining order or preliminary injunction as necessary to protect the Company’s trade secrets and confidential information) until such time as an arbitrator can assume jurisdiction over any such claim(s) involving injunctive relief from a court in San Francisco, California, if, absent such provisional relief, the arbitration award may be rendered ineffectual. Both parties waive their respective rights to have any such disputes/claims tried by a judge or a jury. Further, the authority to determine the enforceability of this section remains solely with the trial court of competent jurisdiction in the state where the arbitration proceeding is pending. If a court determines that this paragraph, or any portion thereof, is invalid, the Parties waive any right to arbitration of class, collective, consolidated, or other representative claims, and instead agree and stipulate that such claims will be heard only before a court. To the extent permitted by applicable law, Executive agrees to waive the right to bring a representative action on behalf of the state of California. The arbitrator shall permit adequate discovery and shall be empowered to award all remedies otherwise available in a court of competent jurisdiction, and any judgment rendered by the arbitrator may be entered by any court of competent jurisdiction. The arbitrator shall issue a written award setting forth the essential findings and conclusions on which the award is based. To initiate arbitration, Executive must send an email to people@chime.com, requesting arbitration with a brief explanation of the dispute or reason for arbitration. The request must be signed by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Protected Activity</w:t>
      </w:r>
      <w:r>
        <w:rPr>
          <w:rFonts w:ascii="Times New Roman;serif" w:hAnsi="Times New Roman;serif"/>
          <w:b w:val="false"/>
          <w:color w:val="000000"/>
          <w:sz w:val="22"/>
        </w:rPr>
        <w:t>. Executive understands that nothing in this Transition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 xml:space="preserve">including the Securities and Exchange Commission, the Equal Employment Opportunity Commission, the California Civil Rights Department,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w:t>
      </w:r>
      <w:r>
        <w:rPr>
          <w:rFonts w:ascii="Times New Roman;serif" w:hAnsi="Times New Roman;serif"/>
          <w:b w:val="false"/>
          <w:color w:val="000000"/>
          <w:sz w:val="22"/>
          <w:shd w:fill="FFFFFF" w:val="clear"/>
        </w:rPr>
        <w:t xml:space="preserve">In addition, </w:t>
      </w:r>
      <w:r>
        <w:rPr>
          <w:rFonts w:ascii="Times New Roman;serif" w:hAnsi="Times New Roman;serif"/>
          <w:b w:val="false"/>
          <w:color w:val="000000"/>
          <w:sz w:val="22"/>
        </w:rPr>
        <w:t xml:space="preserve">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erif" w:hAnsi="Times New Roman;serif"/>
          <w:b w:val="false"/>
          <w:i/>
          <w:color w:val="000000"/>
          <w:sz w:val="22"/>
        </w:rPr>
        <w:t>solely</w:t>
      </w:r>
      <w:r>
        <w:rPr>
          <w:color w:val="000000"/>
        </w:rPr>
        <w:t xml:space="preserve"> </w:t>
      </w:r>
      <w:r>
        <w:rPr>
          <w:rFonts w:ascii="Times New Roman;serif" w:hAnsi="Times New Roman;serif"/>
          <w:b w:val="false"/>
          <w:color w:val="000000"/>
          <w:sz w:val="22"/>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Transition Agreement constitutes a waiver of any rights Executive may have under the Sarbanes-Oxley Act.</w:t>
      </w:r>
    </w:p>
    <w:p>
      <w:pPr>
        <w:pStyle w:val="TextBody"/>
        <w:bidi w:val="0"/>
        <w:spacing w:lineRule="auto" w:line="288" w:before="220" w:after="8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No Representations</w:t>
      </w:r>
      <w:r>
        <w:rPr>
          <w:rFonts w:ascii="Times New Roman;serif" w:hAnsi="Times New Roman;serif"/>
          <w:b w:val="false"/>
          <w:color w:val="000000"/>
          <w:sz w:val="22"/>
        </w:rPr>
        <w:t>. Executive represents that Executive has had an opportunity to consult with an attorney, and has carefully read and understands the scope and effect of the provisions of this Transition Agreement. Executive has not relied upon any representations or statements made by the Company that are not specifically set forth in this Transition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Agreement to Cooperate</w:t>
      </w:r>
      <w:r>
        <w:rPr>
          <w:rFonts w:ascii="Times New Roman;serif" w:hAnsi="Times New Roman;serif"/>
          <w:b w:val="false"/>
          <w:color w:val="000000"/>
          <w:sz w:val="22"/>
        </w:rPr>
        <w:t>.  The Parties agree that certain matters in which Executive has been involved during Executive’s employment may need Executive’s cooperation with the Company in the future.  Accordingly, Executive agrees that Executive will cooperate with the Company with regard to defending, investigating, responding to, or prosecuting any present, future, or potential claims, lawsuits, investigations, or actions involving matters that arose during Executive’s employment and which may require Executive’s testimony, deposition, or involvement.  The Company shall reimburse Executive for reasonable expenses incurred in connection with this cooperation.</w:t>
      </w:r>
    </w:p>
    <w:p>
      <w:pPr>
        <w:pStyle w:val="TextBody"/>
        <w:bidi w:val="0"/>
        <w:spacing w:lineRule="auto" w:line="288" w:before="220" w:after="8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Attorneys’ Fees</w:t>
      </w:r>
      <w:r>
        <w:rPr>
          <w:rFonts w:ascii="Times New Roman;serif" w:hAnsi="Times New Roman;serif"/>
          <w:b w:val="false"/>
          <w:color w:val="000000"/>
          <w:sz w:val="22"/>
        </w:rPr>
        <w:t>. Except as provided by law, in the event that either Party brings an action to enforce or effect its rights under this Transition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Transition Agreement (together with the Confirmatory Release) represents the entire agreement and understanding between the Company and Executive concerning the subject matter of this Transition Agreement and Executive’s employment with and termination from the Company and the events leading thereto and associated therewith, and supersedes and replaces any and all prior agreements and understandings concerning the subject matter of this Transition Agreement and Executive’s relationship with the Company (including the Company’s Officer Severance Plan and the Company’s Change in Control Severance Plan), with the exception of the Offer Letter, the Proprietary Information Agreement, the Arbitration Agreement, and the Equity Agreements (as modified).</w:t>
      </w:r>
    </w:p>
    <w:p>
      <w:pPr>
        <w:pStyle w:val="TextBody"/>
        <w:bidi w:val="0"/>
        <w:spacing w:lineRule="auto" w:line="288" w:before="220" w:after="8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Governing Law and No Oral Modification</w:t>
      </w:r>
      <w:r>
        <w:rPr>
          <w:rFonts w:ascii="Times New Roman;serif" w:hAnsi="Times New Roman;serif"/>
          <w:b w:val="false"/>
          <w:color w:val="000000"/>
          <w:sz w:val="22"/>
        </w:rPr>
        <w:t>. This Transition Agreement shall be governed by the laws of the State of California, without regard for choice-of-law provisions, except that any dispute regarding the enforceability of the of the “Arbitration” section of this Transition Agreement shall be governed by the Federal Arbitration Act. Executive consents to personal and exclusive jurisdiction and venue in the State of California. This Transition Agreement may only be amended in a written document signed by Executive and the Company’s Chief Executive Officer.</w:t>
      </w:r>
    </w:p>
    <w:p>
      <w:pPr>
        <w:pStyle w:val="TextBody"/>
        <w:bidi w:val="0"/>
        <w:spacing w:lineRule="auto" w:line="288" w:before="220" w:after="8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This Transition Agreement is intended to be exempt from, or comply with, Section 409A of the Internal Revenue Code and the Treasury Regulations and official IRS guidance thereunder (“Section 409A”) so that none of the payments or benefits will be subject to the additional tax imposed under Section 409A, and any ambiguities herein will be interpreted in accordance with this intent. Each payment, installment, and benefit payable under this Transition Agreement is intended to constitute a separate payment for purposes of U.S. Treasury Regulation Section 1.409A-2(b)(2). The Company makes no representations or warranties with respect to the tax consequences of the payments and any other consideration provided to Executive or made on Executive’s behalf under the terms of this Transition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pStyle w:val="TextBody"/>
        <w:bidi w:val="0"/>
        <w:spacing w:lineRule="auto" w:line="288" w:before="220" w:after="8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Transition Agreement Effective Date</w:t>
      </w:r>
      <w:r>
        <w:rPr>
          <w:rFonts w:ascii="Times New Roman;serif" w:hAnsi="Times New Roman;serif"/>
          <w:b w:val="false"/>
          <w:color w:val="000000"/>
          <w:sz w:val="22"/>
        </w:rPr>
        <w:t>. Executive understands that this Transition Agreement shall be null and void if not executed by Executive within twenty-one (21) calendar days after Executive’s receipt of the Transition Agreement. In the event Executive signs this Transition Agreement and returns it to the Company in less than the period identified above, Executive hereby acknowledges that Executive has knowingly and voluntarily chosen to waive the time period allotted for considering this Transition Agreement. Each Party has seven (7) days after that Party signs this Transition Agreement to revoke it. This Transition Agreement will become effective on the eighth (8th) day after Executive signed this Transition Agreement, so long as it has been signed by the Parties and has not been revoked by either Party before that date (the “Transition Agreement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Severability and Counterparts</w:t>
      </w:r>
      <w:r>
        <w:rPr>
          <w:rFonts w:ascii="Times New Roman;serif" w:hAnsi="Times New Roman;serif"/>
          <w:b w:val="false"/>
          <w:color w:val="000000"/>
          <w:sz w:val="22"/>
        </w:rPr>
        <w:t>. In the event that any provision or any portion of any provision hereof or any surviving agreement made a part hereof becomes or is declared by a court of competent jurisdiction or arbitrator to be illegal, unenforceable, or void, this Transition Agreement shall continue in full force and effect without said provision or portion of provision. This Transition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Transition Agreement may be executed and delivered by facsimile, photo, email PDF, or other electronic transmission or signature.</w:t>
      </w:r>
    </w:p>
    <w:p>
      <w:pPr>
        <w:pStyle w:val="TextBody"/>
        <w:bidi w:val="0"/>
        <w:spacing w:lineRule="auto" w:line="288" w:before="220" w:after="8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Executive understands and agrees that Executive has executed this Transition Agreement voluntarily, without any duress or undue influence on the part or behalf of the Company or any third party, with the full intent of releasing Executive’s claims against the Company as set forth herein. Executive represents that Executive has been represented in the preparation, negotiation, and execution of this Transition Agreement by legal counsel of Executive’s own choice or has elected not to retain legal counsel. Executive further represents that Executive has carefully read this Agreement and understands the terms and consequences and legal and binding effect of this Agreement and of the releases it contains. Executive has not relied upon any representations or statements made by the Company that are not specifically set forth in this Transition Agreement.</w:t>
      </w:r>
    </w:p>
    <w:p>
      <w:pPr>
        <w:pStyle w:val="TextBody"/>
        <w:bidi w:val="0"/>
        <w:spacing w:before="0" w:after="0"/>
        <w:jc w:val="center"/>
        <w:rPr/>
      </w:pPr>
      <w:r>
        <w:rPr/>
      </w:r>
    </w:p>
    <w:p>
      <w:pPr>
        <w:pStyle w:val="TextBody"/>
        <w:bidi w:val="0"/>
        <w:spacing w:lineRule="auto" w:line="288" w:before="0" w:after="80"/>
        <w:jc w:val="both"/>
        <w:rPr>
          <w:rFonts w:ascii="Times New Roman;serif" w:hAnsi="Times New Roman;serif"/>
          <w:b w:val="false"/>
          <w:i/>
          <w:color w:val="000000"/>
          <w:sz w:val="22"/>
        </w:rPr>
      </w:pPr>
      <w:r>
        <w:rPr>
          <w:rFonts w:ascii="Times New Roman;serif" w:hAnsi="Times New Roman;serif"/>
          <w:b w:val="false"/>
          <w:i/>
          <w:color w:val="000000"/>
          <w:sz w:val="22"/>
        </w:rPr>
        <w:t>(Intentionally blank; 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IN WITNESS WHEREOF, the Parties have executed this Transition Agreement on the respective dates set forth below.</w:t>
      </w:r>
      <w:r>
        <w:rPr>
          <w:color w:val="000000"/>
        </w:rPr>
        <w:t xml:space="preserve"> </w:t>
      </w:r>
    </w:p>
    <w:tbl>
      <w:tblPr>
        <w:tblW w:w="9372"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51"/>
        <w:gridCol w:w="251"/>
        <w:gridCol w:w="251"/>
        <w:gridCol w:w="753"/>
        <w:gridCol w:w="858"/>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an individual</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Dated: </w:t>
            </w:r>
          </w:p>
        </w:tc>
        <w:tc>
          <w:tcPr>
            <w:tcW w:w="16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8/2/2026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Matthew Newcomb</w:t>
            </w:r>
          </w:p>
        </w:tc>
      </w:tr>
      <w:tr>
        <w:trPr/>
        <w:tc>
          <w:tcPr>
            <w:tcW w:w="341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Matthew Newcomb</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Dated: </w:t>
            </w:r>
          </w:p>
        </w:tc>
        <w:tc>
          <w:tcPr>
            <w:tcW w:w="163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8/2/2026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Christopher Britt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Britt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CONFIRMATORY RELEASE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Confirmatory Release (the “Agreement”) is made by and between Executive and the Company. The terms contained herein shall have the meaning set forth in the Transition Agreement unless otherwise defined herein.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signed the Transition Agreement with the Company in July 2026 (the “Transition Agreement”);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Executive resigned from his employment with the Company effective _______ (the “Separation Date”);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made herein, the Company and Executive hereby agree as follows:</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lineRule="auto" w:line="288" w:before="220" w:after="8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Consideration</w:t>
      </w:r>
      <w:r>
        <w:rPr>
          <w:rFonts w:ascii="Times New Roman;serif" w:hAnsi="Times New Roman;serif"/>
          <w:b w:val="false"/>
          <w:color w:val="000000"/>
          <w:sz w:val="22"/>
        </w:rPr>
        <w:t xml:space="preserve">. In consideration of Executive’s execution and non-revocation (pursuant to Section 3 herein) of this Confirmatory Release and Executive’s fulfillment of all of its terms and conditions, the Company agrees to provide the Executive with the Confirmatory Release Consideration. </w:t>
      </w:r>
    </w:p>
    <w:p>
      <w:pPr>
        <w:pStyle w:val="TextBody"/>
        <w:bidi w:val="0"/>
        <w:spacing w:lineRule="auto" w:line="288" w:before="220" w:after="8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Executive agrees that the foregoing consideration represents settlement in full of all outstanding obligations owed to Executive by the Company, its parents and subsidiaries, and their current and former: officers, directors, employees, agents, investors, attorneys, shareholders, administrators, affiliates, benefit plans, plan administrators, professional employer organization or co-employer,</w:t>
      </w:r>
      <w:r>
        <w:rPr>
          <w:color w:val="000000"/>
        </w:rPr>
        <w:t xml:space="preserve"> </w:t>
      </w:r>
      <w:r>
        <w:rPr>
          <w:rFonts w:ascii="Times New Roman;serif" w:hAnsi="Times New Roman;serif"/>
          <w:b w:val="false"/>
          <w:color w:val="000000"/>
          <w:sz w:val="22"/>
        </w:rPr>
        <w:t>insurers, trustees, divisions, parents, subsidiaries,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any and all claims relating to or arising from Executive’s employment relationship with the Company or the termination of that relationship; </w:t>
      </w:r>
    </w:p>
    <w:p>
      <w:pPr>
        <w:pStyle w:val="TextBody"/>
        <w:bidi w:val="0"/>
        <w:spacing w:lineRule="auto" w:line="288" w:before="220" w:after="283"/>
        <w:jc w:val="both"/>
        <w:rPr>
          <w:color w:val="000000"/>
        </w:rPr>
      </w:pPr>
      <w:r>
        <w:rPr>
          <w:color w:val="000000"/>
        </w:rPr>
        <w:t>        </w:t>
      </w:r>
      <w:r>
        <w:rPr>
          <w:rFonts w:ascii="Times New Roman;serif" w:hAnsi="Times New Roman;serif"/>
          <w:b w:val="false"/>
          <w:color w:val="000000"/>
          <w:sz w:val="22"/>
        </w:rPr>
        <w:t xml:space="preserve">b.    any and all claims relating to, or arising from, Executive’s right to purchase, or actual purchase of shares of stock of the Company, including, without limitation, any claims for fraud,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misrepresentation, breach of fiduciary duty, breach of duty under applicable state corporate law, and securities fraud under any state or federal law;</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Immigration Reform and Control Act, the California Family Rights Act, the California Labor Code, and the California Fair Employment and Housing Act; </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violation of the federal or any state constitution;</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claims arising out of any other laws and regulations relating to employment or employment discrimination;</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any claim for any loss, cost, damage, or expense arising out of any dispute over the non-withholding or other tax treatment of any of the proceeds received by Executive; and</w:t>
      </w:r>
    </w:p>
    <w:p>
      <w:pPr>
        <w:pStyle w:val="TextBody"/>
        <w:bidi w:val="0"/>
        <w:spacing w:lineRule="auto" w:line="288" w:before="2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any and all claims for attorneys’ fees and costs.</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this Agreement, except as required by applicable law. This release does not extend to any right Executive may have to workers compensation or unemployment compensation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hereby and forever releases Executive from, and agrees not to sue concerning, or in any manner to institute, prosecute, or pursue, any known claim, complaint, charge, duty, obligation, demand, or cause of action directly relating to any known matters that the Company possesses against Executive relating to Executive’s employment with the Company arising from any omissions, acts, facts, or damages that have occurred up until and including the date the Company signs this Agreement.</w:t>
      </w:r>
    </w:p>
    <w:p>
      <w:pPr>
        <w:pStyle w:val="TextBody"/>
        <w:bidi w:val="0"/>
        <w:spacing w:lineRule="auto" w:line="288" w:before="220" w:after="8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had more than twenty-one (21) days within which to consider this Agreement; (c) Executive has seven (7) days following Executive’s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Executive acknowledges and understands that revocation must be accomplished by a written notification to the Company’s undersigned that is received prior to the Confirmatory Release Effective Date. The Parties agree that changes, whether material or immaterial, do not restart the running of the 21-day period.</w:t>
      </w:r>
    </w:p>
    <w:p>
      <w:pPr>
        <w:pStyle w:val="TextBody"/>
        <w:bidi w:val="0"/>
        <w:spacing w:lineRule="auto" w:line="288" w:before="220" w:after="8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California Civil Code Section 1542</w:t>
      </w:r>
      <w:r>
        <w:rPr>
          <w:rFonts w:ascii="Times New Roman;serif" w:hAnsi="Times New Roman;serif"/>
          <w:b w:val="false"/>
          <w:color w:val="000000"/>
          <w:sz w:val="22"/>
        </w:rPr>
        <w:t>. Executive acknowledges that Executive has been advised to consult with legal counsel and is familiar with the provisions of California Civil Code Section 1542, a statute that otherwise prohibits the release of unknown claims, which provides as follows:</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220" w:after="80"/>
        <w:jc w:val="both"/>
        <w:rPr>
          <w:rFonts w:ascii="Times New Roman;serif" w:hAnsi="Times New Roman;serif"/>
          <w:b w:val="false"/>
          <w:color w:val="000000"/>
          <w:sz w:val="22"/>
        </w:rPr>
      </w:pPr>
      <w:r>
        <w:rPr>
          <w:rFonts w:ascii="Times New Roman;serif" w:hAnsi="Times New Roman;serif"/>
          <w:b w:val="false"/>
          <w:color w:val="000000"/>
          <w:sz w:val="22"/>
        </w:rPr>
        <w:t>Executive, being aware of said code section, agrees to expressly waive any rights Executive may have thereunder, as well as under any other statute or common law principles of similar effect</w:t>
      </w:r>
    </w:p>
    <w:p>
      <w:pPr>
        <w:pStyle w:val="TextBody"/>
        <w:bidi w:val="0"/>
        <w:spacing w:lineRule="auto" w:line="288" w:before="220" w:after="8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Payment of Compensation and Receipt of All Benefits</w:t>
      </w:r>
      <w:r>
        <w:rPr>
          <w:rFonts w:ascii="Times New Roman;serif" w:hAnsi="Times New Roman;serif"/>
          <w:b w:val="false"/>
          <w:color w:val="000000"/>
          <w:sz w:val="22"/>
        </w:rPr>
        <w:t>. Executive acknowledges and represents that the Company has paid or provided all salary, wages, bonuses, vacation/paid time off, premiums, leaves, housing allowances, relocation costs, interest, severance, outplacement costs, fees, reimbursable expenses, commissions, stock, stock options, vesting, and any and all other benefits and compensation due to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Benefits</w:t>
      </w:r>
      <w:r>
        <w:rPr>
          <w:rFonts w:ascii="Times New Roman;serif" w:hAnsi="Times New Roman;serif"/>
          <w:b w:val="false"/>
          <w:color w:val="000000"/>
          <w:sz w:val="22"/>
        </w:rPr>
        <w:t>. Executive’s health, dental and vision insurance benefits shall cease on the last day of the month in which the Separation Date occurs, subject to Executive’s right to continue Executive’s health insurance under COBRA. Employee’s Flexible Spending Account(s) (FSA), if any, shall cease on the last day worked. Executive’s participation in all benefits and incidents of employment, including, but not limited to, vesting in equity awards, and the accrual of bonuses, vacation, and paid time off, ceased as of the Separation Date.</w:t>
      </w:r>
    </w:p>
    <w:p>
      <w:pPr>
        <w:pStyle w:val="TextBody"/>
        <w:bidi w:val="0"/>
        <w:spacing w:lineRule="auto" w:line="288" w:before="220" w:after="8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Stock</w:t>
      </w:r>
      <w:r>
        <w:rPr>
          <w:rFonts w:ascii="Times New Roman;serif" w:hAnsi="Times New Roman;serif"/>
          <w:b w:val="false"/>
          <w:color w:val="000000"/>
          <w:sz w:val="22"/>
        </w:rPr>
        <w:t>. The Parties agree that for purposes of determining the number of shares of the Company’s common stock that Executive is entitled to purchase from the Company (if any), pursuant to the exercise of outstanding options, or for vesting and settlement of any restricted stock units, Executive will be considered to have vested only up to the Separation Date. The exercise of Executive’s vested options and shares shall continue to be governed by the terms and conditions of the applicable stock agreements and as modified by Section 3 of the Transition Agreement.</w:t>
      </w:r>
    </w:p>
    <w:p>
      <w:pPr>
        <w:pStyle w:val="TextBody"/>
        <w:bidi w:val="0"/>
        <w:spacing w:lineRule="auto" w:line="288" w:before="220" w:after="8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Pending or Future Lawsuits</w:t>
      </w:r>
      <w:r>
        <w:rPr>
          <w:rFonts w:ascii="Times New Roman;serif" w:hAnsi="Times New Roman;serif"/>
          <w:b w:val="false"/>
          <w:color w:val="000000"/>
          <w:sz w:val="22"/>
        </w:rPr>
        <w:t xml:space="preserve">. Executive represents that, with respect to the claims released herein,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w:t>
      </w:r>
    </w:p>
    <w:p>
      <w:pPr>
        <w:pStyle w:val="TextBody"/>
        <w:bidi w:val="0"/>
        <w:spacing w:lineRule="auto" w:line="288" w:before="220" w:after="8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Subject to the Protected Activity Not Prohibited Section below and prior to this Agreement being filed publicly, Executive agrees to maintain in complete confidence, and represents that Executive has to date maintained in complete confidence, the existence of this Agreement, the terms of this Agreement and the consideration for this Agreement (in each case, together with the Transition Agreement, hereinafter collectively referred to as “Separation Information”), and Executive agrees that Executive has not publicized and will not publicize, directly or indirectly, any Separation Information. Except as required by law, and subject to the “Protected Activity Not Prohibited Section” below, Executive may disclose Separation Information only to Executive’s immediate family members, the Court in any proceedings to enforce the terms of this Agreement, Executive’s counsel, and Executive’s accountant and any professional tax advisor to the extent that they need to know the Separation Information in order to provide advice on tax treatment or to prepare tax returns, and must prevent disclosure of any Separation Information to all other third parties.</w:t>
      </w:r>
    </w:p>
    <w:p>
      <w:pPr>
        <w:pStyle w:val="TextBody"/>
        <w:bidi w:val="0"/>
        <w:spacing w:lineRule="auto" w:line="288" w:before="220" w:after="8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Surviving Obligations/Return of Company Property</w:t>
      </w:r>
      <w:r>
        <w:rPr>
          <w:rFonts w:ascii="Times New Roman;serif" w:hAnsi="Times New Roman;serif"/>
          <w:b w:val="false"/>
          <w:color w:val="000000"/>
          <w:sz w:val="22"/>
        </w:rPr>
        <w:t>. Executive acknowledges that, separate from this Agreement, Executive remains under continuing obligations to the Company under the Proprietary Information Agreement, with the exception of the post-employment non-solicitation covenant contained in Section 5 therein, the enforcement of which is hereby waived by the Company. Executive’s signature below constitutes Executive’s certification under penalty of perjury that Executive has returned all Company property and information, and, to the extent any additional copies of Company property or information are on Executive’s personal devices or storage spaces, Executive has taken all necessary steps to permanently delete or destroy all such property and documents from such locations, with the exception of a copy of any Employee Handbook and personnel documents specifically relating to Executive, which Executive may keep.</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Breach</w:t>
      </w:r>
      <w:r>
        <w:rPr>
          <w:rFonts w:ascii="Times New Roman;serif" w:hAnsi="Times New Roman;serif"/>
          <w:b w:val="false"/>
          <w:color w:val="000000"/>
          <w:sz w:val="22"/>
        </w:rPr>
        <w:t>. In addition to the rights provided in the “Attorneys’ Fees” Section below and within the Transition Agreement, Executive acknowledges and agrees that any material breach of this Agreement, unless such breach constitutes a legal action by Executive challenging or seeking a determination in good faith of the validity of the waiver herein under the ADEA, or of the Transition Agreement, or the Proprietary Information Agreement (other than Section 5 therein), shall entitle the Company immediately to recover and/or cease providing the consideration provided to Executive under this Agreement and to obtain damages, except as provided by law.</w:t>
      </w:r>
    </w:p>
    <w:p>
      <w:pPr>
        <w:pStyle w:val="TextBody"/>
        <w:bidi w:val="0"/>
        <w:spacing w:lineRule="auto" w:line="288" w:before="220" w:after="8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No Cooperation</w:t>
      </w:r>
      <w:r>
        <w:rPr>
          <w:rFonts w:ascii="Times New Roman;serif" w:hAnsi="Times New Roman;serif"/>
          <w:b w:val="false"/>
          <w:color w:val="000000"/>
          <w:sz w:val="22"/>
        </w:rPr>
        <w:t>. 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Executive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ARBITRATION</w:t>
      </w:r>
      <w:r>
        <w:rPr>
          <w:rFonts w:ascii="Times New Roman;serif" w:hAnsi="Times New Roman;serif"/>
          <w:b w:val="false"/>
          <w:color w:val="000000"/>
          <w:sz w:val="22"/>
        </w:rPr>
        <w:t>. EXCEPT AS PROHIBITED BY LAW, THE PARTIES AGREE THAT ANY AND ALL DISPUTES ARISING OUT OF THE TERMS OF THIS AGREEMENT, THEIR INTERPRETATION, EXECUTIVE’S EMPLOYMENT WITH THE COMPANY OR THE TERMS THEREOF, OR ANY OF THE MATTERS HEREIN RELEASED OR RELEASED IN THE TRANSITION AGREEMENT,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 EXECUTIVE MAY BRING ANY SUCH ARBITRATION PROCEEDING ONLY IN EXECUTIVE’S INDIVIDUAL CAPACITY.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EMPLOYEES. ANY ARBITRATION WILL OCCUR IN SAN FRANCISCO COUNTY,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Protected Activity Not Prohibited</w:t>
      </w:r>
      <w:r>
        <w:rPr>
          <w:rFonts w:ascii="Times New Roman;serif" w:hAnsi="Times New Roman;serif"/>
          <w:b w:val="false"/>
          <w:color w:val="000000"/>
          <w:sz w:val="22"/>
        </w:rPr>
        <w:t>.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including the Securities and Exchange Commission, the Equal Employment Opportunity Commission, the California Civil Rights Department,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Finally, nothing in this Agreement constitutes a waiver of any rights Executive may have under the Sarbanes-Oxley Act.</w:t>
      </w:r>
    </w:p>
    <w:p>
      <w:pPr>
        <w:pStyle w:val="TextBody"/>
        <w:bidi w:val="0"/>
        <w:spacing w:lineRule="auto" w:line="288" w:before="220" w:after="8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Subject to the Protected Activity provision, Executive agrees and covenants that Executive shall not make, publish, or communicate any defamatory, disparaging, libelous, or slanderous remarks, comments, or statements concerning any of the Company’s products or services, and agrees to refrain from any tortious interference with the contracts and relationships of any of the Releasees. Executive further agrees and covenants that the Executive shall not make, publish, or communicate to any person or entity or in any public forum maliciously false defamatory or disparaging remarks, comments, or statements concerning the Company or its business, or any of its employees, officers, or directors, and the Company’s existing and prospective customers, suppliers, investors, and other associated third parties, now or at any time in the future for 10 years after the date of this Agreement. Nothing in this agreement prevents Executive from taking part in any Protected Activity or discussing or disclosing information about unlawful acts in the workplace such as harassment or discrimination or any other conduct that Executive has reason to believe is unlawful. </w:t>
      </w:r>
    </w:p>
    <w:p>
      <w:pPr>
        <w:pStyle w:val="TextBody"/>
        <w:bidi w:val="0"/>
        <w:spacing w:lineRule="auto" w:line="288" w:before="220" w:after="80"/>
        <w:jc w:val="both"/>
        <w:rPr>
          <w:rFonts w:ascii="Times New Roman;serif" w:hAnsi="Times New Roman;serif"/>
          <w:b w:val="false"/>
          <w:color w:val="000000"/>
          <w:sz w:val="22"/>
        </w:rPr>
      </w:pPr>
      <w:r>
        <w:rPr>
          <w:rFonts w:ascii="Times New Roman;serif" w:hAnsi="Times New Roman;serif"/>
          <w:b w:val="false"/>
          <w:color w:val="000000"/>
          <w:sz w:val="22"/>
        </w:rPr>
        <w:t>Subject to the “Protected Activity Not Prohibited” provision the Company agrees to instruct its Section 16 officers to refrain from engaging in disparagement, defamation, libel, or slander concerning Executive’s employment with the Company.</w:t>
      </w:r>
    </w:p>
    <w:p>
      <w:pPr>
        <w:pStyle w:val="TextBody"/>
        <w:bidi w:val="0"/>
        <w:spacing w:lineRule="auto" w:line="288" w:before="220" w:after="8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pStyle w:val="TextBody"/>
        <w:bidi w:val="0"/>
        <w:spacing w:lineRule="auto" w:line="288" w:before="220" w:after="8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Costs</w:t>
      </w:r>
      <w:r>
        <w:rPr>
          <w:rFonts w:ascii="Times New Roman;serif" w:hAnsi="Times New Roman;serif"/>
          <w:b w:val="false"/>
          <w:color w:val="000000"/>
          <w:sz w:val="22"/>
        </w:rPr>
        <w:t>. The Parties shall each bear their own costs, attorneys’ fees, and other fees incurred in connection with the preparation of this Agreement.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rPr>
        <w:t xml:space="preserve">Agreement to Cooperate.  The Parties agree that certain matters in which Executive has been involved during Executive’s employment may need Executive’s cooperation with the Company in the future.  Accordingly, Executive agrees that Executive will cooperate with the Company with regard to defending, investigating, responding to, or prosecuting any present, future, or potential claims, lawsuits, investigations, or actions involving matters that arose during Executive’s employment and which may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require Executive’s testimony, deposition, or involvement.  The Company shall reimburse Executive for reasonable expenses incurred in connection with this cooperation.</w:t>
      </w:r>
    </w:p>
    <w:p>
      <w:pPr>
        <w:pStyle w:val="TextBody"/>
        <w:bidi w:val="0"/>
        <w:spacing w:lineRule="auto" w:line="288" w:before="220" w:after="8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Authority</w:t>
      </w:r>
      <w:r>
        <w:rPr>
          <w:rFonts w:ascii="Times New Roman;serif" w:hAnsi="Times New Roman;serif"/>
          <w:b w:val="false"/>
          <w:color w:val="000000"/>
          <w:sz w:val="22"/>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88" w:before="220" w:after="8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88" w:before="220" w:after="8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This Transition Agreement is intended to be exempt from, or comply with, Section 409A of the Internal Revenue Code and the Treasury Regulations and official IRS guidance thereunder (“Section 409A”) so that none of the payments or benefits will be subject to the additional tax imposed under Section 409A, and any ambiguities herein will be interpreted in accordance with this intent. Each payment, installment, and benefit payable under this Transition Agreement is intended to constitute a separate payment for purposes of U.S. Treasury Regulation Section 1.409A-2(b)(2).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pStyle w:val="TextBody"/>
        <w:bidi w:val="0"/>
        <w:spacing w:lineRule="auto" w:line="288" w:before="220" w:after="8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Attorneys’ Fees</w:t>
      </w:r>
      <w:r>
        <w:rPr>
          <w:rFonts w:ascii="Times New Roman;serif" w:hAnsi="Times New Roman;serif"/>
          <w:b w:val="false"/>
          <w:color w:val="000000"/>
          <w:sz w:val="22"/>
        </w:rPr>
        <w:t>. Except as provided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lineRule="auto" w:line="288" w:before="220" w:after="8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together with the Transition Agreement, upon becoming effective,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Offer Letter, but with the exception of the Proprietary Information Agreement (as modified), the Arbitration Agreement and the Equity Agreements. </w:t>
      </w:r>
    </w:p>
    <w:p>
      <w:pPr>
        <w:pStyle w:val="TextBody"/>
        <w:bidi w:val="0"/>
        <w:spacing w:lineRule="auto" w:line="288" w:before="220" w:after="8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This Agreement may only be amended in a writing signed by Executive and the Company’s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8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the laws of the State of California, without regard for choice-of-law provisions. Executive consents to personal and exclusive jurisdiction and venue in the State of California, except that any dispute regarding the enforceability of the of the “Arbitration” section of this Transition Agreement shall be governed by the Federal Arbitration Act. </w:t>
      </w:r>
    </w:p>
    <w:p>
      <w:pPr>
        <w:pStyle w:val="TextBody"/>
        <w:bidi w:val="0"/>
        <w:spacing w:lineRule="auto" w:line="288" w:before="220" w:after="80"/>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Confirmatory Release Effective Date</w:t>
      </w:r>
      <w:r>
        <w:rPr>
          <w:rFonts w:ascii="Times New Roman;serif" w:hAnsi="Times New Roman;serif"/>
          <w:b w:val="false"/>
          <w:color w:val="000000"/>
          <w:sz w:val="22"/>
        </w:rPr>
        <w:t>. Executive understands that this Agreement shall be null and void if not executed by Executive within the later of (i) five (5) business days after the Separation Date and (ii) twenty-one (21) calendar days after Executive’s receipt of the Transition Agreement. In the event Executive signs this Agreement and returns it to the Company in less than the greater of the two periods identified above, Executive hereby acknowledges that Executive has knowingly and voluntarily chosen to waive the time period allotted for considering this Agreement.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“Confirmatory Release Effective Date”).</w:t>
      </w:r>
    </w:p>
    <w:p>
      <w:pPr>
        <w:pStyle w:val="TextBody"/>
        <w:bidi w:val="0"/>
        <w:spacing w:lineRule="auto" w:line="288" w:before="220" w:after="80"/>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spacing w:lineRule="auto" w:line="288" w:before="220" w:after="80"/>
        <w:ind w:left="0" w:right="0" w:firstLine="720"/>
        <w:jc w:val="both"/>
        <w:rPr/>
      </w:pPr>
      <w:r>
        <w:rPr>
          <w:rFonts w:ascii="Times New Roman;serif" w:hAnsi="Times New Roman;serif"/>
          <w:b w:val="false"/>
          <w:color w:val="000000"/>
          <w:sz w:val="22"/>
        </w:rPr>
        <w:t>28.</w:t>
      </w:r>
      <w:r>
        <w:rPr>
          <w:rFonts w:ascii="Times New Roman;serif" w:hAnsi="Times New Roman;serif"/>
          <w:b w:val="false"/>
          <w:color w:val="000000"/>
          <w:sz w:val="22"/>
          <w:u w:val="single"/>
        </w:rPr>
        <w:t>Voluntary Execution of Agreement; No Representations</w:t>
      </w:r>
      <w:r>
        <w:rPr>
          <w:rFonts w:ascii="Times New Roman;serif" w:hAnsi="Times New Roman;serif"/>
          <w:b w:val="false"/>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represents that Executive has been represented in the preparation, negotiation, and execution of this Agreement by legal counsel of Executive’s own choice or has elected not to retain legal counsel. Executive further represents that Executive has carefully read this Agreement and understands the terms and consequences and legal and binding effect of this Agreement and of the releases it contains. Executive has not relied upon any representations or statements made by the Company that are not specifically set forth in this Agreement.</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i/>
          <w:color w:val="000000"/>
          <w:sz w:val="22"/>
        </w:rPr>
      </w:pPr>
      <w:r>
        <w:rPr>
          <w:rFonts w:ascii="Times New Roman;serif" w:hAnsi="Times New Roman;serif"/>
          <w:b w:val="false"/>
          <w:i/>
          <w:color w:val="000000"/>
          <w:sz w:val="22"/>
        </w:rPr>
        <w:t>(Intentionally blank; 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respective dates set forth below.</w:t>
      </w:r>
    </w:p>
    <w:tbl>
      <w:tblPr>
        <w:tblW w:w="9376"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51"/>
        <w:gridCol w:w="251"/>
        <w:gridCol w:w="251"/>
        <w:gridCol w:w="753"/>
        <w:gridCol w:w="86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an individual</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Dated: </w:t>
            </w:r>
          </w:p>
        </w:tc>
        <w:tc>
          <w:tcPr>
            <w:tcW w:w="163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7"/>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Matthew Newcomb</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Dated: </w:t>
            </w:r>
          </w:p>
        </w:tc>
        <w:tc>
          <w:tcPr>
            <w:tcW w:w="163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68"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Britt</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Reports Second Quarter 2026 Financial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27% year-over-year revenue growth exceeds guidance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Chime Prime™ launch fuels accelerating growth in Active Members, Purchase Volume, and ARPAM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Achieves second consecutive quarter of GAAP profitability and raises full-year outlook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SAN FRANCISCO – (BUSINESS WIRE) – Aug. 5, 2026 – Chime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(Nasdaq: CHYM) today reported financial results for the quarter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delivered another strong quarter, with accelerating revenue growth, expanding margins, and a second consecutive quarter of GAAP profitability," said Chris Britt, CEO and Co-founder of Chime. "The strong adoption of Chime Prime, continued momentum across our liquidity products, and major new Chime Enterprise employer partnerships show that our strategy is working. As we continue to expand our product portfolio and deepen member engagement, we believe we are well positioned to achieve our ambition to be the market leader in primary bank account relationships in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reported strong top-line and bottom-line growth in the second quarter, exceeding our guidance. These results build on our seasonally strong first quarter, when tax refund activity drives seasonally high transaction volumes and pulls forward member acquisition and reengagement.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 was $670 million, up 27% year over year.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Payments revenue grew 17% year over year to $430 million, and 21% year over year when combined with Outbound Instant Transfer (OIT) revenue. The launch of Chime Prime, our membership tier for members making qualifying direct deposits of $3,000 or more per month, contributed to an acceleration in Purchase Volume (PV) growth and, in turn, payments revenue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Platform-related revenue grew 48% year over year to $240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Gross profit was $595 million, yielding an 89% gross margin.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 profit (non-GAAP) grew 36%</w:t>
      </w:r>
      <w:r>
        <w:rPr>
          <w:color w:val="000000"/>
        </w:rPr>
        <w:t xml:space="preserve"> </w:t>
      </w:r>
      <w:r>
        <w:rPr>
          <w:rFonts w:ascii="Times New Roman;serif" w:hAnsi="Times New Roman;serif"/>
          <w:b w:val="false"/>
          <w:color w:val="000000"/>
          <w:sz w:val="20"/>
        </w:rPr>
        <w:t>year over year to $492 million, yielding a 73% transaction margin.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was $28 million and net margin was 4%, delivering our second consecutive quarter of positive GAAP net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(non-GAAP) was $102 million. Adjusted EBITDA margin of 15% expanded more than 12 percentage points year over year, translating to a 60% incremental adjusted EBITDA margin.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Active Members grew 20% year over year to 10.4</w:t>
      </w:r>
      <w:r>
        <w:rPr>
          <w:color w:val="000000"/>
        </w:rPr>
        <w:t xml:space="preserve"> </w:t>
      </w:r>
      <w:r>
        <w:rPr>
          <w:rFonts w:ascii="Times New Roman;serif" w:hAnsi="Times New Roman;serif"/>
          <w:b w:val="false"/>
          <w:color w:val="000000"/>
          <w:sz w:val="20"/>
        </w:rPr>
        <w:t>million. Over the last year, we added 1.7 million net new Active Members, more than any consecutive 12-month period in our history. In Q2, we added approximately 200,000 net new Active Members quarter over quarter, twice as many as we typically add in seasonally slower second quarters.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Average Revenue per Active Member (ARPAM) grew 6% year over year to $260.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PV growth accelerated to 17% year over year to $38 billion and 20% year over year to $39.4 billion when including OIT volume.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 xml:space="preserve">Chime Prime accelerates member engagement: </w:t>
      </w:r>
      <w:r>
        <w:rPr>
          <w:rFonts w:ascii="Times New Roman;serif" w:hAnsi="Times New Roman;serif"/>
          <w:b w:val="false"/>
          <w:color w:val="000000"/>
          <w:sz w:val="20"/>
        </w:rPr>
        <w:t xml:space="preserve">In Q2, Chime Prime fueled the acceleration in Active Member, PV, and ARPAM growth. We added more members who deposit at least $3,000 per month than ever before. Our fastest-growing segment continues to be members making $75,000 and more annually, who are increasingly depositing more of their income to Chime. Chime Prime is also driving Chime Card </w:t>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adoption, which earns higher interchange rates, net of rewards, and credit mix is now at 27% of total PV. Chime Prime members generated more than double the ARPAM of the average Active Member.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MyPay</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transaction profit dollars more than tripled:</w:t>
      </w:r>
      <w:r>
        <w:rPr>
          <w:color w:val="000000"/>
        </w:rPr>
        <w:t xml:space="preserve"> </w:t>
      </w:r>
      <w:r>
        <w:rPr>
          <w:rFonts w:ascii="Times New Roman;serif" w:hAnsi="Times New Roman;serif"/>
          <w:b w:val="false"/>
          <w:color w:val="000000"/>
          <w:sz w:val="20"/>
        </w:rPr>
        <w:t>MyPay origination volume grew to $4.5 billion in Q2, while the loss rate improved to 0.9%. Strong origination volume and a lower loss rate drove MyPay transaction profit dollars to $73 million, more than tripling the amount in one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Instant Loans expansion:</w:t>
      </w:r>
      <w:r>
        <w:rPr>
          <w:color w:val="000000"/>
        </w:rPr>
        <w:t xml:space="preserve"> </w:t>
      </w:r>
      <w:r>
        <w:rPr>
          <w:rFonts w:ascii="Times New Roman;serif" w:hAnsi="Times New Roman;serif"/>
          <w:b w:val="false"/>
          <w:color w:val="000000"/>
          <w:sz w:val="20"/>
        </w:rPr>
        <w:t>Instant Loans originations grew nearly 70% quarter over quarter to $300 million, while loss rate performance remained strong, with up to 50% lower loss rates for repeat borrowers. We see significant growth potential as we expand loan eligibility, increase limits and duration, and serve higher-income segments with greater liquidity needs. Based on this momentum, we expect Instant Loans to exit Q3 with an annualized revenue run rate of more than $100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Chime Enterprise continued momentum: </w:t>
      </w:r>
      <w:r>
        <w:rPr>
          <w:rFonts w:ascii="Times New Roman;serif" w:hAnsi="Times New Roman;serif"/>
          <w:b w:val="false"/>
          <w:color w:val="000000"/>
          <w:sz w:val="20"/>
        </w:rPr>
        <w:t>Chime Enterprise recently signed two major new employer partners, including Allied Universal, one of the largest employers in the U.S., and a large national retailer. Together, these companies employ more than 350,000 people across the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Chime Invest™ launches:</w:t>
      </w:r>
      <w:r>
        <w:rPr>
          <w:color w:val="000000"/>
        </w:rPr>
        <w:t xml:space="preserve"> </w:t>
      </w:r>
      <w:r>
        <w:rPr>
          <w:rFonts w:ascii="Times New Roman;serif" w:hAnsi="Times New Roman;serif"/>
          <w:b w:val="false"/>
          <w:color w:val="000000"/>
          <w:sz w:val="20"/>
        </w:rPr>
        <w:t>We expanded our product portfolio with the launch of Chime Invest, bringing commission-free investing and expert-managed portfolios with no account minimums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into the Chime app. By adding investing to where members already get paid, spend, save, and build credit, we're strengthening Chime's role as their primary financial relationship and expanding our ability to serve more Americans across every stage of their financial journey.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and Full-Year 2026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raising our full-year 2026 guidance based on second-quarter performance. For the full year of 2026, we now expect: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between $2.725 and $2.745 billion, representing year-over-year revenue growth between 25% and 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between $465 and $475 million, with an adjusted EBITDA margin of 17%, representing an incremental adjusted EBITDA margin of approximately 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2026, we expect: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between $680 and $690 million, resulting in year-over-year revenue growth between 25% and 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between $105 and $110 million, with an adjusted EBITDA margin between 15% and 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outlook provided above constitutes forward-looking information within the meaning of applicable securities laws and is based on a number of assumptions and is subject to a number of risks. See the cautionary note regarding “Forward-Looking Statements”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CFO Transition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Chime today also announced that Matt Newcomb is stepping down as Chief Financial Officer, effective Friday, August 7, 2026. Mark Troughton, Chime's President, has been appointed President &amp; Interim Chief Financial Officer. Mr. Troughton is a seasoned public company executive and Chartered Accountant with deep knowledge of </w:t>
      </w:r>
    </w:p>
    <w:p>
      <w:pPr>
        <w:pStyle w:val="TextBody"/>
        <w:bidi w:val="0"/>
        <w:spacing w:lineRule="auto" w:line="288"/>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Investment advisory services provided by Atomic Invest LLC (“Atomic”), an SEC registered investment adviser. Chime is a paid promoter of Atomic and receives compensation based on the assets of referred clients, which creates an incentive for Chime to refer clients to Atomic. See the Atomic Invest Promoter Disclosure Statement for more information. Members can buy stocks and ETFs commission-free; other fees and expenses may apply. Investments in securities: Not FDIC Insured, Not Bank Guaranteed, May Lose Value. Investing involves risks, including the possible loss of principal.</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Chime's business. In his current role, he oversees Operations, Risk, Lending, Corporate Development, and Strategy, and has been instrumental in shaping the company's growth and operating model. The Company has initiated an executive search for a permanent Chief Financial Officer. To ensure a seamless transition, Mr. Newcomb will remain with Chime as an advisor during the search and leadership transition period.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Over his 10-year tenure, Matt has been instrumental to the success of Chime. He drove our financial and investment strategy as we pioneered a new category and scaled our business through multiple private financing rounds, and guided us through our IPO and transition to a public company. His impact on Chime extended well beyond his role as CFO and, while we will all miss Matt, he has earned a well-deserved break,” said Mr. Britt. “Mark is one of Chime’s most seasoned executives with deep knowledge of our business and financials. Having worked alongside Mark for more than 20 years, I know he has the experience to lead our finance team through this transition to a new CFO.”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 will host a conference call to discuss its second quarter 2026 financial results and financial outlook at 3 p.m. Pacific Time (6 p.m. Eastern Time) today. A live webcast of the earnings conference call will be accessible on the Events &amp; Presentations section of Chime's Investor Relations website at investors.chime.com. A replay will be available on the website following the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investor presentation, including supplemental financial information and reconciliation of certain non-GAAP financial measures to their nearest comparable GAAP measures, will be available through Chime's Investor Relations website at investors.chime.com.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Chime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 (Nasdaq: CHYM) is a financial technology company founded on the premise that core banking services should be helpful, easy, and free. We offer a broad range of low-cost banking, payments, lending, and investing products that address the most critical financial needs of everyday people. Our member-aligned business model has helped millions of people to unlock financial progress™. Funds in Chime deposit accounts are FDIC-insured through The Bancorp Bank, N.A. or Stride Bank, N.A., Members FDIC, up to applicable limits*.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*Chime is not FDIC-insured. The Bancorp Bank, N.A. and Stride Bank, N.A. are the FDIC-insured members. Deposit insurance covers the failure of an insured bank. Certain conditions must be satisfied for pass-through deposit insurance coverage to apply. FDIC deposit insurance limit is $250,000 per depositor, per insured bank, per ownership category.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 and Analysts: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ir@chime.com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Press:</w:t>
      </w:r>
    </w:p>
    <w:p>
      <w:pPr>
        <w:pStyle w:val="TextBody"/>
        <w:bidi w:val="0"/>
        <w:spacing w:lineRule="auto" w:line="288" w:before="0" w:after="0"/>
        <w:jc w:val="left"/>
        <w:rPr/>
      </w:pPr>
      <w:r>
        <w:rPr>
          <w:rFonts w:ascii="Times New Roman;serif" w:hAnsi="Times New Roman;serif"/>
          <w:b w:val="false"/>
          <w:color w:val="000000"/>
          <w:sz w:val="20"/>
        </w:rPr>
        <w:t>press@chime.com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future financial or operating performance. In some cases, you can identify forward-looking statements by terminology such as “may,” “will,” “should,” “expect,” “plan,” “anticipate,” “could,” “would,” “intend,” “target,” “project,” “contemplate,” “believe,” “estimate,” “predict,” “potential,” “goal,” “objective,” “seek,” or “continue,” or the negative of these words or other similar terms or expressions that concern Chime’s expectations, strategy, plans, or intentions.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release may include, among others, statements relating to our future results of operations or financial performance; expectations regarding certain of our key financial and operating metrics; our business and growth strategy, including future product development plans; our ability to attract and retain Active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Members and develop primary account relationships; our market opportunity; the performance of newly launched products and innovations; our technological capabilities; the demand for Chime’s products and services; our expectations and management of future growth and acceleration; and our expectations regarding our industry and traditional banks. Investors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information available at the time those statements are made or on management’s good faith beliefs and assumptions as of that time with respect to future events, and are subject to risks and uncertainties that could cause actual performance or results to differ materially from those expressed in, or suggested by, the forward-looking statements. These risks and uncertainties include risks related to our ability to attract and retain Active Members; our relationships with our bank partners; changes in rules and practices concerning interchange fees, card network fees, and other fees and assessments; our ability to maintain and protect our brand; our ability to maintain member satisfaction and provide reliable member support; our ability to develop new products and enhancements for existing products; our reliance on third parties and their systems; our history of net losses and ability to achieve and maintain profitability; and the complex and evolving laws and regulations applicable to our business and the banking ecosystem. Further information on these risks and other factors that could affect our financial results are set forth in our filings with the Securities and Exchange Commission, including in our most recent Quarterly Report on Form 10-Q. In light of these risks and uncertainties, the forward-looking events and circumstances discussed in this release may not occur and actual results could differ materially from those anticipated or implied in the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release. Except as required by law, Chime does not undertake any obligation to publicly update or revise any forward-looking statement, whether as a result of new information, future developments,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information prepared and presented in accordance with U.S. generally accepted accounting principles (“GAAP”), we use certain financial measures that are not prepared in accordance with GAAP, including transaction profit, transaction margin, adjusted EBITDA, and adjusted EBITDA margin, to facilitate analysis of our financial trends and for internal planning and forecasting purposes. We use these non-GAAP financial measures in conjunction with GAAP measures to evaluate our operating performance, formulate business plans, prepare budgets and forecasts, and make strategic decisions, including those relating to operating expenses and the allocation of internal resources. We believe that these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Accordingly, our non-GAAP financial measures are presented for supplemental purposes only and should be considered in addition to, and not as substitutes for, or in isolation from, measures prepared in accordance with GAAP. A reconciliation of these measures to the most directly comparable GAAP measures is included at the end of this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provided the forward-looking GAAP equivalents for certain forward-looking non-GAAP measures included in this release, or a GAAP reconciliation, as a result of the uncertainty regarding, and the potential variability of, reconciling items such as stock-based compensation expense. Accordingly, a reconciliation of these forward-looking non-GAAP metrics to their corresponding forward-looking GAAP equivalents is not available without unreasonable effort. However, it is important to note that material changes to reconciling items could have a significant effect on future GAAP results.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divided by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adjusted EBITDA and adjusted EBITDA margin are key measures of our operating performance, and management uses these measures to formulate business plans, prepare budgets and forecasts, and make strategic decisions.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transaction profit as gross profit less transaction and risk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Transaction Margin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transaction margin as transaction profit divided by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transaction profit and transaction margin are key measures of the incremental profit generated by member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Metrics 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the following key metrics to help us evaluate our business and growth trends, establish budgets, evaluate the effectiveness of our investments, and assess operational efficiencies.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Active Members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or repaying a MyPay advance or an Instant Loan. Active Members are a key indicator of the scale of our engaged member base.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Average Revenue Per Active Member (“ARPAM”)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Volume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networks. Purchase Volume is also a key indicator of aggregate member engagement. Purchase Volume does not include other types of transaction volumes such as deposits, ATM withdrawals, SpotMe and MyPay advances, Instant Loans, sending or receiving funds with Pay Anyone, outbound instant transfers, and other types of ACH or direct debit transfers.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01"/>
        <w:gridCol w:w="2275"/>
        <w:gridCol w:w="2258"/>
        <w:gridCol w:w="196"/>
        <w:gridCol w:w="871"/>
        <w:gridCol w:w="109"/>
        <w:gridCol w:w="109"/>
        <w:gridCol w:w="109"/>
        <w:gridCol w:w="109"/>
        <w:gridCol w:w="219"/>
        <w:gridCol w:w="974"/>
        <w:gridCol w:w="175"/>
      </w:tblGrid>
      <w:tr>
        <w:trPr/>
        <w:tc>
          <w:tcPr>
            <w:tcW w:w="280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466,252 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587,828 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251,204 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257,884 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71,581 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106,753 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1,789,516 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1,756,010 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83,429 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1,996,649 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38,680 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201,862 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147,382 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387,924 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Warehouse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51,691 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562,899 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347,106,501 shares issued and outstanding as of June 30, 2026. 5,000,000,000 shares authorized, 347,751,083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31,565,259 shares issued and outstanding as of June 30, 2026. 65,000,000 shares authorized, 32,182,289 issued and outstanding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4,775,607 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(3,292,798)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(3,374,104)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1,401,706 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1,996,649 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79"/>
        <w:gridCol w:w="1093"/>
        <w:gridCol w:w="1097"/>
        <w:gridCol w:w="241"/>
        <w:gridCol w:w="945"/>
        <w:gridCol w:w="109"/>
        <w:gridCol w:w="109"/>
        <w:gridCol w:w="109"/>
        <w:gridCol w:w="109"/>
        <w:gridCol w:w="237"/>
        <w:gridCol w:w="949"/>
        <w:gridCol w:w="109"/>
        <w:gridCol w:w="109"/>
        <w:gridCol w:w="109"/>
        <w:gridCol w:w="109"/>
        <w:gridCol w:w="211"/>
        <w:gridCol w:w="976"/>
        <w:gridCol w:w="109"/>
        <w:gridCol w:w="109"/>
        <w:gridCol w:w="109"/>
        <w:gridCol w:w="109"/>
        <w:gridCol w:w="211"/>
        <w:gridCol w:w="976"/>
        <w:gridCol w:w="109"/>
        <w:gridCol w:w="109"/>
        <w:gridCol w:w="109"/>
        <w:gridCol w:w="155"/>
      </w:tblGrid>
      <w:tr>
        <w:trPr/>
        <w:tc>
          <w:tcPr>
            <w:tcW w:w="14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before income taxes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379,820,643 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396,943,274 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0" w:after="180"/>
        <w:jc w:val="left"/>
        <w:rPr/>
      </w:pPr>
      <w:r>
        <w:rPr>
          <w:rFonts w:ascii="Times New Roman;serif" w:hAnsi="Times New Roman;serif"/>
          <w:b w:val="false"/>
          <w:color w:val="000000"/>
          <w:sz w:val="16"/>
        </w:rPr>
        <w:t>(1)</w:t>
      </w:r>
      <w:r>
        <w:rPr>
          <w:rFonts w:ascii="Times New Roman;serif" w:hAnsi="Times New Roman;serif"/>
          <w:b w:val="false"/>
          <w:color w:val="000000"/>
          <w:sz w:val="16"/>
        </w:rPr>
        <w:t>Total depreciation and amortization includes amounts as follows:</w:t>
      </w:r>
    </w:p>
    <w:tbl>
      <w:tblPr>
        <w:tblW w:w="9277" w:type="dxa"/>
        <w:jc w:val="left"/>
        <w:tblInd w:w="0" w:type="dxa"/>
        <w:tblLayout w:type="fixed"/>
        <w:tblCellMar>
          <w:top w:w="28" w:type="dxa"/>
          <w:left w:w="28" w:type="dxa"/>
          <w:bottom w:w="28" w:type="dxa"/>
          <w:right w:w="28" w:type="dxa"/>
        </w:tblCellMar>
      </w:tblPr>
      <w:tblGrid>
        <w:gridCol w:w="1596"/>
        <w:gridCol w:w="1401"/>
        <w:gridCol w:w="141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recorded in 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recorded as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40"/>
        <w:jc w:val="left"/>
        <w:rPr/>
      </w:pPr>
      <w:r>
        <w:rPr>
          <w:rFonts w:ascii="Times New Roman;serif" w:hAnsi="Times New Roman;serif"/>
          <w:b w:val="false"/>
          <w:color w:val="000000"/>
          <w:sz w:val="16"/>
        </w:rPr>
        <w:t>(2)</w:t>
      </w:r>
      <w:r>
        <w:rPr>
          <w:rFonts w:ascii="Times New Roman;serif" w:hAnsi="Times New Roman;serif"/>
          <w:b w:val="false"/>
          <w:color w:val="000000"/>
          <w:sz w:val="16"/>
        </w:rPr>
        <w:t>Amounts include stock-based compensation and related payroll tax as follows:</w:t>
      </w:r>
    </w:p>
    <w:tbl>
      <w:tblPr>
        <w:tblW w:w="9922" w:type="dxa"/>
        <w:jc w:val="left"/>
        <w:tblInd w:w="0" w:type="dxa"/>
        <w:tblLayout w:type="fixed"/>
        <w:tblCellMar>
          <w:top w:w="28" w:type="dxa"/>
          <w:left w:w="28" w:type="dxa"/>
          <w:bottom w:w="28" w:type="dxa"/>
          <w:right w:w="28" w:type="dxa"/>
        </w:tblCellMar>
      </w:tblPr>
      <w:tblGrid>
        <w:gridCol w:w="1666"/>
        <w:gridCol w:w="1463"/>
        <w:gridCol w:w="1475"/>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 and related payroll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74"/>
        <w:gridCol w:w="2222"/>
        <w:gridCol w:w="2230"/>
        <w:gridCol w:w="197"/>
        <w:gridCol w:w="744"/>
        <w:gridCol w:w="109"/>
        <w:gridCol w:w="109"/>
        <w:gridCol w:w="109"/>
        <w:gridCol w:w="109"/>
        <w:gridCol w:w="196"/>
        <w:gridCol w:w="795"/>
        <w:gridCol w:w="109"/>
        <w:gridCol w:w="109"/>
        <w:gridCol w:w="109"/>
        <w:gridCol w:w="109"/>
        <w:gridCol w:w="109"/>
        <w:gridCol w:w="109"/>
        <w:gridCol w:w="157"/>
      </w:tblGrid>
      <w:tr>
        <w:trPr/>
        <w:tc>
          <w:tcPr>
            <w:tcW w:w="257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operating activities </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investing activities </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the warehouse facility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financing activities </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85"/>
        <w:gridCol w:w="2273"/>
        <w:gridCol w:w="2282"/>
        <w:gridCol w:w="196"/>
        <w:gridCol w:w="556"/>
        <w:gridCol w:w="109"/>
        <w:gridCol w:w="109"/>
        <w:gridCol w:w="109"/>
        <w:gridCol w:w="109"/>
        <w:gridCol w:w="196"/>
        <w:gridCol w:w="871"/>
        <w:gridCol w:w="109"/>
        <w:gridCol w:w="109"/>
        <w:gridCol w:w="109"/>
        <w:gridCol w:w="109"/>
        <w:gridCol w:w="109"/>
        <w:gridCol w:w="109"/>
        <w:gridCol w:w="156"/>
      </w:tblGrid>
      <w:tr>
        <w:trPr/>
        <w:tc>
          <w:tcPr>
            <w:tcW w:w="258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 in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9161" w:type="dxa"/>
        <w:jc w:val="left"/>
        <w:tblInd w:w="0" w:type="dxa"/>
        <w:tblLayout w:type="fixed"/>
        <w:tblCellMar>
          <w:top w:w="28" w:type="dxa"/>
          <w:left w:w="28" w:type="dxa"/>
          <w:bottom w:w="28" w:type="dxa"/>
          <w:right w:w="28" w:type="dxa"/>
        </w:tblCellMar>
      </w:tblPr>
      <w:tblGrid>
        <w:gridCol w:w="1096"/>
        <w:gridCol w:w="965"/>
        <w:gridCol w:w="96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1,175,186 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 Transaction and risk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0"/>
        <w:gridCol w:w="1192"/>
        <w:gridCol w:w="1196"/>
        <w:gridCol w:w="109"/>
        <w:gridCol w:w="109"/>
        <w:gridCol w:w="109"/>
        <w:gridCol w:w="196"/>
        <w:gridCol w:w="736"/>
        <w:gridCol w:w="256"/>
        <w:gridCol w:w="109"/>
        <w:gridCol w:w="109"/>
        <w:gridCol w:w="109"/>
        <w:gridCol w:w="196"/>
        <w:gridCol w:w="802"/>
        <w:gridCol w:w="256"/>
        <w:gridCol w:w="109"/>
        <w:gridCol w:w="109"/>
        <w:gridCol w:w="109"/>
        <w:gridCol w:w="196"/>
        <w:gridCol w:w="736"/>
        <w:gridCol w:w="256"/>
        <w:gridCol w:w="109"/>
        <w:gridCol w:w="109"/>
        <w:gridCol w:w="109"/>
        <w:gridCol w:w="196"/>
        <w:gridCol w:w="802"/>
        <w:gridCol w:w="256"/>
        <w:gridCol w:w="109"/>
        <w:gridCol w:w="156"/>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15190</Words>
  <Characters>86592</Characters>
  <CharactersWithSpaces>101259</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