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King Ryan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CHIME FINANCIAL,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CALIFORNIA STREET,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Chime Financial,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65"/>
        <w:spacing w:after="0"/>
        <w:rPr>
          <w:sz w:val="20"/>
          <w:szCs w:val="20"/>
          <w:color w:val="auto"/>
        </w:rPr>
      </w:pPr>
      <w:r>
        <w:rPr>
          <w:rFonts w:ascii="Times New Roman" w:cs="Times New Roman" w:eastAsia="Times New Roman" w:hAnsi="Times New Roman"/>
          <w:sz w:val="17"/>
          <w:szCs w:val="17"/>
          <w:color w:val="0000FF"/>
        </w:rPr>
        <w:t>Co-Founder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94111</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4,187</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17.88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135,814</w:t>
            </w:r>
            <w:r>
              <w:rPr>
                <w:rFonts w:ascii="Times New Roman" w:cs="Times New Roman" w:eastAsia="Times New Roman" w:hAnsi="Times New Roman"/>
                <w:sz w:val="22"/>
                <w:szCs w:val="22"/>
                <w:color w:val="008000"/>
                <w:w w:val="9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7,480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128,334</w:t>
            </w:r>
            <w:r>
              <w:rPr>
                <w:rFonts w:ascii="Times New Roman" w:cs="Times New Roman" w:eastAsia="Times New Roman" w:hAnsi="Times New Roman"/>
                <w:sz w:val="22"/>
                <w:szCs w:val="22"/>
                <w:color w:val="008000"/>
                <w:w w:val="9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7,480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17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37,102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its tax withholding and remittance obligations in connection with the net settlement of restricted stock units ("RSUs")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RSUs. Each RSU represents a contingent right to receive one share of the Issuer's Class A Common Stock, subject to the applicable vesting schedule and conditions of each RSU.</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King Family Trust, for which the Reporting Person serves as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Theresa Bloom, by power</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1219" TargetMode="External"/><Relationship Id="rId14" Type="http://schemas.openxmlformats.org/officeDocument/2006/relationships/hyperlink" Target="http://www.sec.gov/cgi-bin/browse-edgar?action=getcompany&amp;CIK=0001795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2026-05-18T17:50:04Z</dcterms:created>
  <dcterms:modified xsi:type="dcterms:W3CDTF">2026-05-18T17:50:04Z</dcterms:modified>
</cp:coreProperties>
</file>