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DECKER SUSAN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Chime Financial,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CHYM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CHIME FINANCIAL,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101 CALIFORNIA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20"/>
                <w:szCs w:val="20"/>
                <w:color w:val="0000FF"/>
              </w:rPr>
              <w:t>6,667</w:t>
            </w:r>
            <w:r>
              <w:rPr>
                <w:rFonts w:ascii="Times New Roman" w:cs="Times New Roman" w:eastAsia="Times New Roman" w:hAnsi="Times New Roman"/>
                <w:sz w:val="25"/>
                <w:szCs w:val="25"/>
                <w:color w:val="008000"/>
                <w:vertAlign w:val="superscript"/>
              </w:rPr>
              <w:t>(2)</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20"/>
                <w:szCs w:val="20"/>
                <w:color w:val="0000FF"/>
              </w:rPr>
              <w:t>57,000</w:t>
            </w:r>
            <w:r>
              <w:rPr>
                <w:rFonts w:ascii="Times New Roman" w:cs="Times New Roman" w:eastAsia="Times New Roman" w:hAnsi="Times New Roman"/>
                <w:sz w:val="25"/>
                <w:szCs w:val="25"/>
                <w:color w:val="008000"/>
                <w:vertAlign w:val="superscript"/>
              </w:rPr>
              <w:t>(2)</w:t>
            </w:r>
          </w:p>
        </w:tc>
        <w:tc>
          <w:tcPr>
            <w:tcW w:w="10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Common Stock will be reclassified into one share of Class A Common Stock immediately prior to the completion of the Issuer's initial public offering of Class A Common Stock.</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Common Stock, subject to the applicable vesting schedule and conditions.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SJCE Family LP, for which the Reporting Person serves as general partner.</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Theresa Bloom, by</w:t>
            </w:r>
          </w:p>
        </w:tc>
        <w:tc>
          <w:tcPr>
            <w:tcW w:w="4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LIMITED POWER OF ATTORNEY - SECURITIES LAW COMPLIANCE</w:t>
      </w:r>
    </w:p>
    <w:p>
      <w:pPr>
        <w:spacing w:after="0" w:line="264" w:lineRule="exact"/>
        <w:rPr>
          <w:sz w:val="20"/>
          <w:szCs w:val="20"/>
          <w:color w:val="auto"/>
        </w:rPr>
      </w:pPr>
    </w:p>
    <w:p>
      <w:pPr>
        <w:ind w:right="20" w:firstLine="720"/>
        <w:spacing w:after="0" w:line="238" w:lineRule="auto"/>
        <w:rPr>
          <w:sz w:val="20"/>
          <w:szCs w:val="20"/>
          <w:color w:val="auto"/>
        </w:rPr>
      </w:pPr>
      <w:r>
        <w:rPr>
          <w:rFonts w:ascii="Times New Roman" w:cs="Times New Roman" w:eastAsia="Times New Roman" w:hAnsi="Times New Roman"/>
          <w:sz w:val="24"/>
          <w:szCs w:val="24"/>
          <w:color w:val="auto"/>
        </w:rPr>
        <w:t xml:space="preserve">The undersigned, as an officer or director of </w:t>
      </w:r>
      <w:r>
        <w:rPr>
          <w:rFonts w:ascii="Times New Roman" w:cs="Times New Roman" w:eastAsia="Times New Roman" w:hAnsi="Times New Roman"/>
          <w:sz w:val="24"/>
          <w:szCs w:val="24"/>
          <w:b w:val="1"/>
          <w:bCs w:val="1"/>
          <w:color w:val="auto"/>
        </w:rPr>
        <w:t>Chime Financial, Inc.</w:t>
      </w:r>
      <w:r>
        <w:rPr>
          <w:rFonts w:ascii="Times New Roman" w:cs="Times New Roman" w:eastAsia="Times New Roman" w:hAnsi="Times New Roman"/>
          <w:sz w:val="24"/>
          <w:szCs w:val="24"/>
          <w:color w:val="auto"/>
        </w:rPr>
        <w:t xml:space="preserve"> (the “</w:t>
      </w:r>
      <w:r>
        <w:rPr>
          <w:rFonts w:ascii="Times New Roman" w:cs="Times New Roman" w:eastAsia="Times New Roman" w:hAnsi="Times New Roman"/>
          <w:sz w:val="24"/>
          <w:szCs w:val="24"/>
          <w:b w:val="1"/>
          <w:bCs w:val="1"/>
          <w:color w:val="auto"/>
        </w:rPr>
        <w:t>Company</w:t>
      </w:r>
      <w:r>
        <w:rPr>
          <w:rFonts w:ascii="Times New Roman" w:cs="Times New Roman" w:eastAsia="Times New Roman" w:hAnsi="Times New Roman"/>
          <w:sz w:val="24"/>
          <w:szCs w:val="24"/>
          <w:color w:val="auto"/>
        </w:rPr>
        <w:t>”), hereby constitutes and appoints Adam Frankel, Gaelen Gates, Theresa Bloom, Erika Fiore, and Apple Palarca, each the undersigned’s true and lawful attorney-in-fact and agent to complete and execute such Forms 144, Forms 3, 4 and 5, and all amendments thereto, and other forms as such attorney-in-fact shall in his or her discretion determine to be required or advisable pursuant to Rule 144 promulgated under the Securities Act of 1933, as amended (the “</w:t>
      </w:r>
      <w:r>
        <w:rPr>
          <w:rFonts w:ascii="Times New Roman" w:cs="Times New Roman" w:eastAsia="Times New Roman" w:hAnsi="Times New Roman"/>
          <w:sz w:val="24"/>
          <w:szCs w:val="24"/>
          <w:b w:val="1"/>
          <w:bCs w:val="1"/>
          <w:color w:val="auto"/>
        </w:rPr>
        <w:t>Securities Act</w:t>
      </w:r>
      <w:r>
        <w:rPr>
          <w:rFonts w:ascii="Times New Roman" w:cs="Times New Roman" w:eastAsia="Times New Roman" w:hAnsi="Times New Roman"/>
          <w:sz w:val="24"/>
          <w:szCs w:val="24"/>
          <w:color w:val="auto"/>
        </w:rPr>
        <w:t>”), Section 16 of the Securities Exchange Act of 1934, as amended (the “</w:t>
      </w:r>
      <w:r>
        <w:rPr>
          <w:rFonts w:ascii="Times New Roman" w:cs="Times New Roman" w:eastAsia="Times New Roman" w:hAnsi="Times New Roman"/>
          <w:sz w:val="24"/>
          <w:szCs w:val="24"/>
          <w:b w:val="1"/>
          <w:bCs w:val="1"/>
          <w:color w:val="auto"/>
        </w:rPr>
        <w:t>Exchange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Act</w:t>
      </w:r>
      <w:r>
        <w:rPr>
          <w:rFonts w:ascii="Times New Roman" w:cs="Times New Roman" w:eastAsia="Times New Roman" w:hAnsi="Times New Roman"/>
          <w:sz w:val="24"/>
          <w:szCs w:val="24"/>
          <w:color w:val="auto"/>
        </w:rPr>
        <w:t>”), and the rules and regulations promulgated thereunder, or any successor laws and regulations, as 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consequence of the undersigned’s ownership, acquisition or disposition of securities of the Company, and to do all acts necessary in order to file such forms with the Securities and Exchange Commission, any securities exchange or national association, the Company and such other person or agency as the attorney-in-fact shall deem appropriate.</w:t>
      </w:r>
    </w:p>
    <w:p>
      <w:pPr>
        <w:spacing w:after="0" w:line="237"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Rule 144 promulgated under the Securities Act or Section 16 of the Exchange Act.</w:t>
      </w:r>
    </w:p>
    <w:p>
      <w:pPr>
        <w:spacing w:after="0" w:line="22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undersigned is no longer required to file Forms 144 and/or Forms 3, 4 and 5 with respect to the undersigned’s holdings of and transactions in securities issued by the Company unless earlier revoked by the undersigned in a writing delivered to the foregoing attorneys-in-fact.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This Limited Power of Attorney is executed as of the date set forth below.</w:t>
      </w:r>
    </w:p>
    <w:p>
      <w:pPr>
        <w:spacing w:after="0" w:line="384" w:lineRule="exact"/>
        <w:rPr>
          <w:sz w:val="20"/>
          <w:szCs w:val="20"/>
          <w:color w:val="auto"/>
        </w:rPr>
      </w:pPr>
    </w:p>
    <w:tbl>
      <w:tblPr>
        <w:tblLayout w:type="fixed"/>
        <w:tblInd w:w="3880" w:type="dxa"/>
        <w:tblCellMar>
          <w:top w:w="0" w:type="dxa"/>
          <w:left w:w="0" w:type="dxa"/>
          <w:bottom w:w="0" w:type="dxa"/>
          <w:right w:w="0" w:type="dxa"/>
        </w:tblCellMar>
      </w:tblPr>
      <w:tr>
        <w:trPr>
          <w:trHeight w:val="300"/>
        </w:trPr>
        <w:tc>
          <w:tcPr>
            <w:tcW w:w="1620" w:type="dxa"/>
            <w:vAlign w:val="bottom"/>
          </w:tcPr>
          <w:p>
            <w:pPr>
              <w:spacing w:after="0"/>
              <w:rPr>
                <w:sz w:val="20"/>
                <w:szCs w:val="20"/>
                <w:color w:val="auto"/>
              </w:rPr>
            </w:pPr>
            <w:r>
              <w:rPr>
                <w:rFonts w:ascii="Times New Roman" w:cs="Times New Roman" w:eastAsia="Times New Roman" w:hAnsi="Times New Roman"/>
                <w:sz w:val="24"/>
                <w:szCs w:val="24"/>
                <w:color w:val="auto"/>
              </w:rPr>
              <w:t>Signature: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/s/ Susan Decker</w:t>
            </w:r>
          </w:p>
        </w:tc>
      </w:tr>
      <w:tr>
        <w:trPr>
          <w:trHeight w:val="385"/>
        </w:trPr>
        <w:tc>
          <w:tcPr>
            <w:tcW w:w="1620" w:type="dxa"/>
            <w:vAlign w:val="bottom"/>
          </w:tcPr>
          <w:p>
            <w:pPr>
              <w:spacing w:after="0"/>
              <w:rPr>
                <w:sz w:val="20"/>
                <w:szCs w:val="20"/>
                <w:color w:val="auto"/>
              </w:rPr>
            </w:pPr>
            <w:r>
              <w:rPr>
                <w:rFonts w:ascii="Times New Roman" w:cs="Times New Roman" w:eastAsia="Times New Roman" w:hAnsi="Times New Roman"/>
                <w:sz w:val="24"/>
                <w:szCs w:val="24"/>
                <w:color w:val="auto"/>
              </w:rPr>
              <w:t>Print Name: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Susan Decker</w:t>
            </w:r>
          </w:p>
        </w:tc>
      </w:tr>
      <w:tr>
        <w:trPr>
          <w:trHeight w:val="385"/>
        </w:trPr>
        <w:tc>
          <w:tcPr>
            <w:tcW w:w="1620" w:type="dxa"/>
            <w:vAlign w:val="bottom"/>
          </w:tcPr>
          <w:p>
            <w:pPr>
              <w:spacing w:after="0"/>
              <w:rPr>
                <w:sz w:val="20"/>
                <w:szCs w:val="20"/>
                <w:color w:val="auto"/>
              </w:rPr>
            </w:pPr>
            <w:r>
              <w:rPr>
                <w:rFonts w:ascii="Times New Roman" w:cs="Times New Roman" w:eastAsia="Times New Roman" w:hAnsi="Times New Roman"/>
                <w:sz w:val="24"/>
                <w:szCs w:val="24"/>
                <w:color w:val="auto"/>
              </w:rPr>
              <w:t>Dated:</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4"/>
                <w:szCs w:val="24"/>
                <w:color w:val="auto"/>
              </w:rPr>
              <w:t>June 11, 2025</w:t>
            </w:r>
          </w:p>
        </w:tc>
      </w:tr>
    </w:tbl>
    <w:p>
      <w:pPr>
        <w:spacing w:after="0" w:line="1" w:lineRule="exact"/>
        <w:rPr>
          <w:sz w:val="20"/>
          <w:szCs w:val="20"/>
          <w:color w:val="auto"/>
        </w:rPr>
      </w:pPr>
    </w:p>
    <w:sectPr>
      <w:pgSz w:w="11900" w:h="16838" w:orient="portrait"/>
      <w:cols w:equalWidth="0" w:num="1">
        <w:col w:w="10920"/>
      </w:cols>
      <w:pgMar w:left="480" w:top="3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34655" TargetMode="External"/><Relationship Id="rId11"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2025-06-11T20:04:55Z</dcterms:created>
  <dcterms:modified xsi:type="dcterms:W3CDTF">2025-06-11T20:04:55Z</dcterms:modified>
</cp:coreProperties>
</file>