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46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46137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Feuille James</w:t>
              </w:r>
            </w:hyperlink>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Chime Financial,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CHYM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5"/>
                <w:szCs w:val="5"/>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6"/>
                <w:szCs w:val="16"/>
                <w:color w:val="auto"/>
              </w:rPr>
            </w:pPr>
          </w:p>
        </w:tc>
        <w:tc>
          <w:tcPr>
            <w:tcW w:w="80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CHIME FINANCIAL, INC.</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101 CALIFORNIA STREET, SUITE 500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10,753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9"/>
              <w:spacing w:after="0"/>
              <w:rPr>
                <w:sz w:val="20"/>
                <w:szCs w:val="20"/>
                <w:color w:val="auto"/>
              </w:rPr>
            </w:pPr>
            <w:r>
              <w:rPr>
                <w:rFonts w:ascii="Times New Roman" w:cs="Times New Roman" w:eastAsia="Times New Roman" w:hAnsi="Times New Roman"/>
                <w:sz w:val="17"/>
                <w:szCs w:val="17"/>
                <w:color w:val="0000FF"/>
                <w:w w:val="98"/>
              </w:rPr>
              <w:t>23,315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Crosslink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left="9"/>
              <w:spacing w:after="0"/>
              <w:rPr>
                <w:sz w:val="20"/>
                <w:szCs w:val="20"/>
                <w:color w:val="auto"/>
              </w:rPr>
            </w:pPr>
            <w:r>
              <w:rPr>
                <w:rFonts w:ascii="Times New Roman" w:cs="Times New Roman" w:eastAsia="Times New Roman" w:hAnsi="Times New Roman"/>
                <w:sz w:val="17"/>
                <w:szCs w:val="17"/>
                <w:color w:val="0000FF"/>
              </w:rPr>
              <w:t>7,037,707</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Crossover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VI,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w w:val="96"/>
              </w:rPr>
              <w:t>9,578,469</w:t>
            </w:r>
            <w:r>
              <w:rPr>
                <w:rFonts w:ascii="Times New Roman" w:cs="Times New Roman" w:eastAsia="Times New Roman" w:hAnsi="Times New Roman"/>
                <w:sz w:val="22"/>
                <w:szCs w:val="22"/>
                <w:color w:val="008000"/>
                <w:w w:val="96"/>
                <w:vertAlign w:val="superscript"/>
              </w:rPr>
              <w:t>(3)</w:t>
            </w:r>
          </w:p>
        </w:tc>
        <w:tc>
          <w:tcPr>
            <w:tcW w:w="30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Crosslink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continue"/>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VII,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Crosslink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w w:val="96"/>
              </w:rPr>
              <w:t>4,104,408</w:t>
            </w:r>
            <w:r>
              <w:rPr>
                <w:rFonts w:ascii="Times New Roman" w:cs="Times New Roman" w:eastAsia="Times New Roman" w:hAnsi="Times New Roman"/>
                <w:sz w:val="22"/>
                <w:szCs w:val="22"/>
                <w:color w:val="008000"/>
                <w:w w:val="96"/>
                <w:vertAlign w:val="superscript"/>
              </w:rPr>
              <w:t>(5)</w:t>
            </w:r>
          </w:p>
        </w:tc>
        <w:tc>
          <w:tcPr>
            <w:tcW w:w="30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VII-B,</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Crosslink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left="9"/>
              <w:spacing w:after="0" w:line="213" w:lineRule="exact"/>
              <w:rPr>
                <w:sz w:val="20"/>
                <w:szCs w:val="20"/>
                <w:color w:val="auto"/>
              </w:rPr>
            </w:pPr>
            <w:r>
              <w:rPr>
                <w:rFonts w:ascii="Times New Roman" w:cs="Times New Roman" w:eastAsia="Times New Roman" w:hAnsi="Times New Roman"/>
                <w:sz w:val="17"/>
                <w:szCs w:val="17"/>
                <w:color w:val="0000FF"/>
                <w:w w:val="96"/>
              </w:rPr>
              <w:t>1,014,747</w:t>
            </w:r>
            <w:r>
              <w:rPr>
                <w:rFonts w:ascii="Times New Roman" w:cs="Times New Roman" w:eastAsia="Times New Roman" w:hAnsi="Times New Roman"/>
                <w:sz w:val="22"/>
                <w:szCs w:val="22"/>
                <w:color w:val="008000"/>
                <w:w w:val="96"/>
                <w:vertAlign w:val="superscript"/>
              </w:rPr>
              <w:t>(7)</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Bayview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34"/>
                <w:szCs w:val="34"/>
                <w:color w:val="0000FF"/>
                <w:w w:val="83"/>
                <w:vertAlign w:val="subscript"/>
              </w:rPr>
              <w:t>93,726</w:t>
            </w:r>
            <w:r>
              <w:rPr>
                <w:rFonts w:ascii="Times New Roman" w:cs="Times New Roman" w:eastAsia="Times New Roman" w:hAnsi="Times New Roman"/>
                <w:sz w:val="11"/>
                <w:szCs w:val="11"/>
                <w:color w:val="008000"/>
                <w:w w:val="83"/>
              </w:rPr>
              <w:t>(9)(10)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34"/>
                <w:szCs w:val="34"/>
                <w:color w:val="0000FF"/>
                <w:w w:val="86"/>
                <w:vertAlign w:val="subscript"/>
              </w:rPr>
              <w:t>45,246</w:t>
            </w:r>
            <w:r>
              <w:rPr>
                <w:rFonts w:ascii="Times New Roman" w:cs="Times New Roman" w:eastAsia="Times New Roman" w:hAnsi="Times New Roman"/>
                <w:sz w:val="11"/>
                <w:szCs w:val="11"/>
                <w:color w:val="008000"/>
                <w:w w:val="86"/>
              </w:rPr>
              <w:t>(10)(12)</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100% of the RSUs shall vest on the earlier of (i) June 2, 2027 or (ii) the day immediately before the date of the Issuer's next annual meeting, subject to the Reporting Person continuing as a service provider through each such date.</w:t>
      </w:r>
    </w:p>
    <w:p>
      <w:pPr>
        <w:spacing w:after="0" w:line="7" w:lineRule="exact"/>
        <w:rPr>
          <w:rFonts w:ascii="Times New Roman" w:cs="Times New Roman" w:eastAsia="Times New Roman" w:hAnsi="Times New Roman"/>
          <w:sz w:val="13"/>
          <w:szCs w:val="13"/>
          <w:color w:val="008000"/>
        </w:rPr>
      </w:pPr>
    </w:p>
    <w:p>
      <w:pPr>
        <w:ind w:right="5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directly held by Crosslink Crossover Fund VI, L.P. ("CO VI"). Crossover Fund VI Management, L.L.C. ("CF VI Mgr") is the general partner of CO VI and the Reporting Person is a managing member of CF VI Mgr. The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Crosslink Ventures VII, L.P. ("CV VII") prior to the transactions reported herein reflect pro rata distributions in kind, effected by CV VII to its general partner and limited partners for no additional consideration, which were exempt from reporting pursuant to Rule 16a-13.</w:t>
      </w:r>
    </w:p>
    <w:p>
      <w:pPr>
        <w:spacing w:after="0" w:line="7" w:lineRule="exact"/>
        <w:rPr>
          <w:rFonts w:ascii="Times New Roman" w:cs="Times New Roman" w:eastAsia="Times New Roman" w:hAnsi="Times New Roman"/>
          <w:sz w:val="13"/>
          <w:szCs w:val="13"/>
          <w:color w:val="008000"/>
        </w:rPr>
      </w:pPr>
    </w:p>
    <w:p>
      <w:pPr>
        <w:ind w:right="2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directly held by CV VII. Crosslink Ventures VII Holdings, LLC ("CV VII Hldgs") is the general partner of CV VII and the Reporting Person is a managing member of CV VII Hldgs. The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Crosslink Ventures VII-B, L.P. ("CV VII-B") prior to the transactions reported herein reflect pro rata distributions in kind, effected by CV VII-B to its general partner and limited partners for no additional consideration, which were exempt from reporting pursuant to Rule 16a-13.</w:t>
      </w:r>
    </w:p>
    <w:p>
      <w:pPr>
        <w:spacing w:after="0" w:line="7"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directly held by CV VII-B. CV VII Hldgs is the general partner of CV VII-B and the Reporting Person is a managing member of CV VII Hldgs. The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right="2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Crosslink Bayview VII, LLC ("CB VII") prior to the transactions reported herein reflect pro rata distributions in kind, effected by CB VII to its members, including the Reporting Person, for no additional consideration, which were exempt from reporting pursuant to Rule 16a-13.</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directly held by CB VII. CV VII Hldgs is the manager of CB VII and the Reporting Person is a managing member of CV VII Hldgs. The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right="6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the trust prior to the transactions reported herein reflect the receipt of shares pursuant to pro rata distributions in kind, effected by CB VII to its members for no additional consideration, including the trust, which were exempt from reporting pursuant to Rule 16a-13.</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the trust prior to the transactions reported herein reflect the receipt of shares pursuant to a pro rata distribution in kind, effected by CV VII Hldgs to its members for no additional consideration, including the trust, which was exempt from reporting pursuant to Rule 16a-13.</w:t>
      </w:r>
    </w:p>
    <w:p>
      <w:pPr>
        <w:spacing w:after="0" w:line="7" w:lineRule="exact"/>
        <w:rPr>
          <w:rFonts w:ascii="Times New Roman" w:cs="Times New Roman" w:eastAsia="Times New Roman" w:hAnsi="Times New Roman"/>
          <w:sz w:val="13"/>
          <w:szCs w:val="13"/>
          <w:color w:val="008000"/>
        </w:rPr>
      </w:pPr>
    </w:p>
    <w:p>
      <w:pPr>
        <w:ind w:right="280" w:firstLine="7"/>
        <w:spacing w:after="0" w:line="272"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an irrevocable trust, of which the Reporting Person is a trustee. The Reporting Person disclaims beneficial ownership of such shares except to the extent of his proportionate pecuniary interest therein.</w:t>
      </w:r>
    </w:p>
    <w:p>
      <w:pPr>
        <w:spacing w:after="0" w:line="7" w:lineRule="exact"/>
        <w:rPr>
          <w:rFonts w:ascii="Times New Roman" w:cs="Times New Roman" w:eastAsia="Times New Roman" w:hAnsi="Times New Roman"/>
          <w:sz w:val="13"/>
          <w:szCs w:val="13"/>
          <w:color w:val="008000"/>
        </w:rPr>
      </w:pPr>
    </w:p>
    <w:p>
      <w:pPr>
        <w:jc w:val="both"/>
        <w:ind w:right="20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by the trust prior to the transactions reported herein reflect the receipt of shares pursuant to a pro rata distribution in kind, effected by CV VII Hldgs to its members for no additional consideration, including Crosslink Capital Fund Holdings, LLC, which effected a further distribution in kind to its members for no additional consideration, including the trust, which was exempt from reporting pursuant to Rule 16a-13.</w:t>
      </w:r>
    </w:p>
    <w:p>
      <w:pPr>
        <w:spacing w:after="0" w:line="20" w:lineRule="exact"/>
        <w:rPr>
          <w:rFonts w:ascii="Times New Roman" w:cs="Times New Roman" w:eastAsia="Times New Roman" w:hAnsi="Times New Roman"/>
          <w:sz w:val="13"/>
          <w:szCs w:val="13"/>
          <w:color w:val="008000"/>
        </w:rPr>
      </w:pPr>
    </w:p>
    <w:p>
      <w:pPr>
        <w:ind w:right="42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a revocable trust, of which the Reporting Person is a trustee. The Reporting Person disclaims beneficial ownership of such shares except to the extent of his proportionate pecuniary interest therein.</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Feuille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8214" TargetMode="External"/><Relationship Id="rId14"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2026-06-04T16:21:00Z</dcterms:created>
  <dcterms:modified xsi:type="dcterms:W3CDTF">2026-06-04T16:21:00Z</dcterms:modified>
</cp:coreProperties>
</file>