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42424"/>
        </w:rPr>
        <w:t>June 2,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Chime Financial,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001-42693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46-0925388</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34" w:lineRule="exact"/>
        <w:rPr>
          <w:sz w:val="24"/>
          <w:szCs w:val="24"/>
          <w:color w:val="auto"/>
        </w:rPr>
      </w:pPr>
    </w:p>
    <w:p>
      <w:pPr>
        <w:sectPr>
          <w:pgSz w:w="11900" w:h="16838" w:orient="portrait"/>
          <w:cols w:equalWidth="0" w:num="3">
            <w:col w:w="3900" w:space="720"/>
            <w:col w:w="2560" w:space="720"/>
            <w:col w:w="3340"/>
          </w:cols>
          <w:pgMar w:left="320" w:top="1245"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California Street, Suite 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244-6363</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ectPr>
          <w:pgSz w:w="11900" w:h="16838" w:orient="portrait"/>
          <w:cols w:equalWidth="0" w:num="1">
            <w:col w:w="11240"/>
          </w:cols>
          <w:pgMar w:left="320" w:top="1245" w:right="339" w:bottom="1440" w:gutter="0" w:footer="0" w:header="0"/>
          <w:type w:val="continuous"/>
        </w:sectPr>
      </w:pP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8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7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w:t>
            </w:r>
          </w:p>
        </w:tc>
        <w:tc>
          <w:tcPr>
            <w:tcW w:w="54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CHYM</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ind w:right="220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2, 2026, at the 2026 Annual Meeting of Stockholders (the “Annual Meeting”) of Chime Financial, Inc. (the “Company”), the Company’s stockholders voted upon the following proposals described in the Company’s definitive proxy statement filed with the Securities and Exchange Commission on April 17, 2026: (1) to elect three nominees as Class I directors, to hold office until the 2029 Annual Meeting of Stockholders and until their successors are duly elected and qualified; (2) to ratify the appointment of Ernst &amp; Young LLP as the Company’s independent registered public accounting firm for the fiscal year ending December 31, 2026; (3) to approve, on a non-binding advisory basis, the compensation of the Company’s named executive officers; and (4) to select, on a non-binding advisory basis, whether future advisory votes on the compensation of the Company's named executive officers should be held every one, two, or three years.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with respect to each proposal are as set forth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Proposal for the election of three Class I directors: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0"/>
        </w:trPr>
        <w:tc>
          <w:tcPr>
            <w:tcW w:w="2120" w:type="dxa"/>
            <w:vAlign w:val="bottom"/>
            <w:tcBorders>
              <w:bottom w:val="single" w:sz="8" w:color="CCEEFF"/>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r>
        <w:trPr>
          <w:trHeight w:val="257"/>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669,932,083</w:t>
            </w: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22,666,650</w:t>
            </w: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115,016</w:t>
            </w:r>
          </w:p>
        </w:tc>
        <w:tc>
          <w:tcPr>
            <w:tcW w:w="8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120,030,740</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Shawn Carolan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691,382,248</w:t>
            </w:r>
          </w:p>
        </w:tc>
        <w:tc>
          <w:tcPr>
            <w:tcW w:w="1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1,170,676</w:t>
            </w:r>
          </w:p>
        </w:tc>
        <w:tc>
          <w:tcPr>
            <w:tcW w:w="100" w:type="dxa"/>
            <w:vAlign w:val="bottom"/>
          </w:tcPr>
          <w:p>
            <w:pPr>
              <w:spacing w:after="0"/>
              <w:rPr>
                <w:sz w:val="21"/>
                <w:szCs w:val="21"/>
                <w:color w:val="auto"/>
              </w:rPr>
            </w:pP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160,825</w:t>
            </w:r>
          </w:p>
        </w:tc>
        <w:tc>
          <w:tcPr>
            <w:tcW w:w="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120,030,740</w:t>
            </w:r>
          </w:p>
        </w:tc>
      </w:tr>
      <w:tr>
        <w:trPr>
          <w:trHeight w:val="41"/>
        </w:trPr>
        <w:tc>
          <w:tcPr>
            <w:tcW w:w="21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Dunne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667,719,395</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24,832,777</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161,577</w:t>
            </w:r>
          </w:p>
        </w:tc>
        <w:tc>
          <w:tcPr>
            <w:tcW w:w="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120,030,740</w:t>
            </w:r>
          </w:p>
        </w:tc>
      </w:tr>
      <w:tr>
        <w:trPr>
          <w:trHeight w:val="40"/>
        </w:trPr>
        <w:tc>
          <w:tcPr>
            <w:tcW w:w="212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r>
    </w:tbl>
    <w:p>
      <w:pPr>
        <w:spacing w:after="0" w:line="319"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Based on the votes set forth above, each director nominee was duly elected to serve until the 2029 Annual Meeting of Stockholders and until his or her successor is duly elected and qualified.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Proposal to ratify Ernst &amp; Young LLP as the Company’s independent registered public accounting firm for the fiscal year ending December 31, 2026: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4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40"/>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r>
      <w:tr>
        <w:trPr>
          <w:trHeight w:val="237"/>
        </w:trPr>
        <w:tc>
          <w:tcPr>
            <w:tcW w:w="27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812,274,646</w:t>
            </w:r>
          </w:p>
        </w:tc>
        <w:tc>
          <w:tcPr>
            <w:tcW w:w="80" w:type="dxa"/>
            <w:vAlign w:val="bottom"/>
            <w:shd w:val="clear" w:color="auto" w:fill="CCEEFF"/>
          </w:tcPr>
          <w:p>
            <w:pPr>
              <w:spacing w:after="0"/>
              <w:rPr>
                <w:sz w:val="20"/>
                <w:szCs w:val="20"/>
                <w:color w:val="auto"/>
              </w:rPr>
            </w:pPr>
          </w:p>
        </w:tc>
        <w:tc>
          <w:tcPr>
            <w:tcW w:w="2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316,594</w:t>
            </w:r>
          </w:p>
        </w:tc>
        <w:tc>
          <w:tcPr>
            <w:tcW w:w="100" w:type="dxa"/>
            <w:vAlign w:val="bottom"/>
            <w:shd w:val="clear" w:color="auto" w:fill="CCEEFF"/>
          </w:tcPr>
          <w:p>
            <w:pPr>
              <w:spacing w:after="0"/>
              <w:rPr>
                <w:sz w:val="20"/>
                <w:szCs w:val="20"/>
                <w:color w:val="auto"/>
              </w:rPr>
            </w:pPr>
          </w:p>
        </w:tc>
        <w:tc>
          <w:tcPr>
            <w:tcW w:w="2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153,249</w:t>
            </w:r>
          </w:p>
        </w:tc>
      </w:tr>
      <w:tr>
        <w:trPr>
          <w:trHeight w:val="40"/>
        </w:trPr>
        <w:tc>
          <w:tcPr>
            <w:tcW w:w="2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r>
    </w:tbl>
    <w:p>
      <w:pPr>
        <w:spacing w:after="0" w:line="306" w:lineRule="exact"/>
        <w:rPr>
          <w:sz w:val="20"/>
          <w:szCs w:val="20"/>
          <w:color w:val="auto"/>
        </w:rPr>
      </w:pPr>
    </w:p>
    <w:p>
      <w:pPr>
        <w:ind w:right="540"/>
        <w:spacing w:after="0" w:line="297" w:lineRule="auto"/>
        <w:rPr>
          <w:sz w:val="20"/>
          <w:szCs w:val="20"/>
          <w:color w:val="auto"/>
        </w:rPr>
      </w:pPr>
      <w:r>
        <w:rPr>
          <w:rFonts w:ascii="Times New Roman" w:cs="Times New Roman" w:eastAsia="Times New Roman" w:hAnsi="Times New Roman"/>
          <w:sz w:val="18"/>
          <w:szCs w:val="18"/>
          <w:color w:val="auto"/>
        </w:rPr>
        <w:t>Based on the votes set forth above, the stockholders ratified the appointment of Ernst &amp; Young LLP as the Company’s independent registered public accounting firm for the fiscal year ending December 31,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Proposal to approve, on a non-binding advisory basis, the compensation of the Company’s named executive officers: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0"/>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r>
      <w:tr>
        <w:trPr>
          <w:trHeight w:val="236"/>
        </w:trPr>
        <w:tc>
          <w:tcPr>
            <w:tcW w:w="27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685,837,192</w:t>
            </w:r>
          </w:p>
        </w:tc>
        <w:tc>
          <w:tcPr>
            <w:tcW w:w="80" w:type="dxa"/>
            <w:vAlign w:val="bottom"/>
            <w:shd w:val="clear" w:color="auto" w:fill="CCEEFF"/>
          </w:tcPr>
          <w:p>
            <w:pPr>
              <w:spacing w:after="0"/>
              <w:rPr>
                <w:sz w:val="20"/>
                <w:szCs w:val="20"/>
                <w:color w:val="auto"/>
              </w:rPr>
            </w:pPr>
          </w:p>
        </w:tc>
        <w:tc>
          <w:tcPr>
            <w:tcW w:w="27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6,658,614</w:t>
            </w:r>
          </w:p>
        </w:tc>
        <w:tc>
          <w:tcPr>
            <w:tcW w:w="100" w:type="dxa"/>
            <w:vAlign w:val="bottom"/>
            <w:shd w:val="clear" w:color="auto" w:fill="CCEEFF"/>
          </w:tcPr>
          <w:p>
            <w:pPr>
              <w:spacing w:after="0"/>
              <w:rPr>
                <w:sz w:val="20"/>
                <w:szCs w:val="20"/>
                <w:color w:val="auto"/>
              </w:rPr>
            </w:pPr>
          </w:p>
        </w:tc>
        <w:tc>
          <w:tcPr>
            <w:tcW w:w="2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217,943</w:t>
            </w:r>
          </w:p>
        </w:tc>
        <w:tc>
          <w:tcPr>
            <w:tcW w:w="100" w:type="dxa"/>
            <w:vAlign w:val="bottom"/>
            <w:shd w:val="clear" w:color="auto" w:fill="CCEEFF"/>
          </w:tcPr>
          <w:p>
            <w:pPr>
              <w:spacing w:after="0"/>
              <w:rPr>
                <w:sz w:val="20"/>
                <w:szCs w:val="20"/>
                <w:color w:val="auto"/>
              </w:rPr>
            </w:pPr>
          </w:p>
        </w:tc>
        <w:tc>
          <w:tcPr>
            <w:tcW w:w="27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120,030,740</w:t>
            </w:r>
          </w:p>
        </w:tc>
      </w:tr>
      <w:tr>
        <w:trPr>
          <w:trHeight w:val="40"/>
        </w:trPr>
        <w:tc>
          <w:tcPr>
            <w:tcW w:w="2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votes set forth above, the stockholders approved, on an advisory basis, the compensation of the Company’s named executive officers.</w:t>
      </w:r>
    </w:p>
    <w:p>
      <w:pPr>
        <w:spacing w:after="0" w:line="252" w:lineRule="exact"/>
        <w:rPr>
          <w:sz w:val="20"/>
          <w:szCs w:val="20"/>
          <w:color w:val="auto"/>
        </w:rPr>
      </w:pPr>
    </w:p>
    <w:p>
      <w:pPr>
        <w:ind w:right="380" w:firstLine="8"/>
        <w:spacing w:after="0" w:line="297"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select, on a non-binding advisory basis, whether future advisory votes on the compensation of the Company’s named executive officers should be held every one, two, or three years: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2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2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40"/>
        </w:trPr>
        <w:tc>
          <w:tcPr>
            <w:tcW w:w="2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36"/>
        </w:trPr>
        <w:tc>
          <w:tcPr>
            <w:tcW w:w="21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691,498,616</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17,654</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209,974</w:t>
            </w:r>
          </w:p>
        </w:tc>
        <w:tc>
          <w:tcPr>
            <w:tcW w:w="80" w:type="dxa"/>
            <w:vAlign w:val="bottom"/>
            <w:shd w:val="clear" w:color="auto" w:fill="CCEEFF"/>
          </w:tcPr>
          <w:p>
            <w:pPr>
              <w:spacing w:after="0"/>
              <w:rPr>
                <w:sz w:val="20"/>
                <w:szCs w:val="20"/>
                <w:color w:val="auto"/>
              </w:rPr>
            </w:pPr>
          </w:p>
        </w:tc>
        <w:tc>
          <w:tcPr>
            <w:tcW w:w="2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987,505</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120,030,740</w:t>
            </w:r>
          </w:p>
        </w:tc>
      </w:tr>
      <w:tr>
        <w:trPr>
          <w:trHeight w:val="40"/>
        </w:trPr>
        <w:tc>
          <w:tcPr>
            <w:tcW w:w="2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r>
    </w:tbl>
    <w:p>
      <w:pPr>
        <w:spacing w:after="0" w:line="31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Based on the votes set forth above, the stockholders advised that they were in favor of every one year as the frequency of holding a non-binding advisory vote on named executive officer compensation. Based on the results of the vote, and consistent with the recommendation of the Company’s Board of Directors (the “Board”), the Board has determined to hold a non-binding advisory vote regarding named executive officer compensation every one year until the next required non-binding advisory vote on the frequency of holding future votes regarding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8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Chime Financial, Inc.</w:t>
            </w:r>
          </w:p>
        </w:tc>
        <w:tc>
          <w:tcPr>
            <w:tcW w:w="0" w:type="dxa"/>
            <w:vAlign w:val="bottom"/>
          </w:tcPr>
          <w:p>
            <w:pPr>
              <w:spacing w:after="0"/>
              <w:rPr>
                <w:sz w:val="1"/>
                <w:szCs w:val="1"/>
                <w:color w:val="auto"/>
              </w:rPr>
            </w:pPr>
          </w:p>
        </w:tc>
      </w:tr>
      <w:tr>
        <w:trPr>
          <w:trHeight w:val="55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June 4, 2026</w:t>
            </w:r>
          </w:p>
        </w:tc>
        <w:tc>
          <w:tcPr>
            <w:tcW w:w="32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Adam Frankel</w:t>
            </w: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320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320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Adam Frankel</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4"/>
                <w:szCs w:val="24"/>
                <w:color w:val="auto"/>
              </w:rPr>
            </w:pPr>
          </w:p>
        </w:tc>
        <w:tc>
          <w:tcPr>
            <w:tcW w:w="32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2026-06-04T15:58:56Z</dcterms:created>
  <dcterms:modified xsi:type="dcterms:W3CDTF">2026-06-04T15:58:56Z</dcterms:modified>
</cp:coreProperties>
</file>