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7049135" cy="882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882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Troughton Mark T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CHIME FINANCIAL,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101 CALIFORNIA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Chime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CHYM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OPERATING OFFICER</w:t>
      </w:r>
    </w:p>
    <w:p>
      <w:pPr>
        <w:spacing w:after="0" w:line="5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06/12/2025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103,678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2,653,622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2"/>
                <w:vertAlign w:val="superscript"/>
              </w:rPr>
              <w:t>(2)(3)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2,653,622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2,653,622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2,653,622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07/22/2030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500,000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07/22/2030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233,333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233,333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02/06/2033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233,333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233,333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02/06/2033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233,333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11/28/2033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600,000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11/28/2033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233,400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233,400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233,400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233,400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233,400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2310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231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383,400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383,400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3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383,400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383,400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383,400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 w:right="420" w:hanging="3"/>
        <w:spacing w:after="0" w:line="281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shares have been withheld by the Issuer, in an exempt disposition to the Issuer under Rule 16b-3(e), to satisfy its income tax withholding and remittance obligations in connection with the net settlement of restricted stock units ("RSUs") pursuant to the Issuer's initial public offering of Class A Common Stock (the "IPO").</w:t>
      </w: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a reclassification exempt under Rule 16b-7, each share of Common Stock was automatically reclassified into one share of Class A Common Stock immediately prior to the completion of the IPO.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Certain of these securities are RSUs. Each RSU represents a contingent right to receive one share of the Issuer's Common Stock, subject to the applicable vesting schedule and conditions of each RSU.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Certain of these securities are RSUs. Each RSU represents a contingent right to receive one share of the Issuer's Class A Common Stock, subject to the applicable vesting schedule and conditions of each RSU.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All of the shares subject to the option are fully vested and exercisable as of the date hereof.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1/48th of the shares subject to the option vested on March 7, 2023 and 1/48th of the shares vest monthly thereafter, subject to the Reporting Person's continued service through each vesting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1/48th of the shares subject to the option vested on October 1, 2023 and 1/48th of the shares vest monthly thereafter, subject to the Reporting Person's continued service through each vesting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1/48th of the shares subject to the option vested on March 15, 2025 and 1/48th of the shares vest monthly thereafter, subject to the Reporting Person's continued service through each vesting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240" w:hanging="3"/>
        <w:spacing w:after="0" w:line="281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10% of shares subject to the option vest on each of February 15, 2026 and February 15, 2027, 30% of shares subject to the option vest on February 15, 2028, and 50% of shares subject to the option vest on February 15, 2029, subject to the Reporting Person's continued service through each vesting date.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Theresa Bloom,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hanging="3"/>
        <w:spacing w:after="0" w:line="324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393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2025-06-13T18:52:01Z</dcterms:created>
  <dcterms:modified xsi:type="dcterms:W3CDTF">2025-06-13T18:52:01Z</dcterms:modified>
</cp:coreProperties>
</file>